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CE7C9" w14:textId="333F05BB" w:rsidR="006939E1" w:rsidRPr="00846769" w:rsidRDefault="00B5740F" w:rsidP="00BF317B">
      <w:pPr>
        <w:pStyle w:val="Heading1"/>
      </w:pPr>
      <w:bookmarkStart w:id="0" w:name="_Hlk166176387"/>
      <w:bookmarkStart w:id="1" w:name="_Toc56427327"/>
      <w:bookmarkStart w:id="2" w:name="_Toc87599078"/>
      <w:bookmarkStart w:id="3" w:name="_Toc191998634"/>
      <w:bookmarkStart w:id="4" w:name="_Toc430782150"/>
      <w:bookmarkStart w:id="5" w:name="_Toc43120298"/>
      <w:bookmarkStart w:id="6" w:name="_Toc43120299"/>
      <w:bookmarkEnd w:id="0"/>
      <w:r w:rsidRPr="00846769">
        <w:rPr>
          <w:noProof/>
          <w:lang w:eastAsia="en-AU"/>
        </w:rPr>
        <w:drawing>
          <wp:anchor distT="0" distB="0" distL="114300" distR="114300" simplePos="0" relativeHeight="251635713" behindDoc="1" locked="0" layoutInCell="1" allowOverlap="1" wp14:anchorId="673086D8" wp14:editId="32CF6A53">
            <wp:simplePos x="0" y="0"/>
            <wp:positionH relativeFrom="page">
              <wp:posOffset>0</wp:posOffset>
            </wp:positionH>
            <wp:positionV relativeFrom="paragraph">
              <wp:posOffset>-972185</wp:posOffset>
            </wp:positionV>
            <wp:extent cx="7595870" cy="10745470"/>
            <wp:effectExtent l="0" t="0" r="5080" b="0"/>
            <wp:wrapNone/>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val="0"/>
                        </a:ext>
                      </a:extLst>
                    </a:blip>
                    <a:stretch>
                      <a:fillRect/>
                    </a:stretch>
                  </pic:blipFill>
                  <pic:spPr>
                    <a:xfrm>
                      <a:off x="0" y="0"/>
                      <a:ext cx="7595870" cy="10745470"/>
                    </a:xfrm>
                    <a:prstGeom prst="rect">
                      <a:avLst/>
                    </a:prstGeom>
                  </pic:spPr>
                </pic:pic>
              </a:graphicData>
            </a:graphic>
            <wp14:sizeRelH relativeFrom="page">
              <wp14:pctWidth>0</wp14:pctWidth>
            </wp14:sizeRelH>
            <wp14:sizeRelV relativeFrom="page">
              <wp14:pctHeight>0</wp14:pctHeight>
            </wp14:sizeRelV>
          </wp:anchor>
        </w:drawing>
      </w:r>
      <w:r w:rsidRPr="00846769">
        <w:t xml:space="preserve">Response manual for invasive marine </w:t>
      </w:r>
      <w:bookmarkEnd w:id="1"/>
      <w:bookmarkEnd w:id="2"/>
      <w:r w:rsidRPr="00846769">
        <w:t>bivalves</w:t>
      </w:r>
      <w:bookmarkEnd w:id="3"/>
    </w:p>
    <w:p w14:paraId="4D64D4DF" w14:textId="6AEEC933" w:rsidR="006939E1" w:rsidRPr="00846769" w:rsidRDefault="00EA08BF" w:rsidP="00BF317B">
      <w:pPr>
        <w:spacing w:before="240"/>
      </w:pPr>
      <w:r w:rsidRPr="00A04E26">
        <w:t>V</w:t>
      </w:r>
      <w:r w:rsidRPr="00B840C5">
        <w:t>ersion</w:t>
      </w:r>
      <w:r w:rsidR="007054D8" w:rsidRPr="00B840C5">
        <w:t xml:space="preserve"> 1.0, </w:t>
      </w:r>
      <w:r w:rsidR="00F308C7">
        <w:t>April</w:t>
      </w:r>
      <w:r w:rsidR="00545633" w:rsidRPr="00B840C5">
        <w:t xml:space="preserve"> 2025</w:t>
      </w:r>
    </w:p>
    <w:p w14:paraId="30475A76" w14:textId="77777777" w:rsidR="006939E1" w:rsidRPr="00846769" w:rsidRDefault="00B5740F">
      <w:pPr>
        <w:spacing w:after="160" w:line="259" w:lineRule="auto"/>
        <w:rPr>
          <w:rFonts w:ascii="Calibri" w:eastAsiaTheme="minorEastAsia" w:hAnsi="Calibri"/>
          <w:bCs/>
          <w:color w:val="049885"/>
          <w:sz w:val="56"/>
          <w:szCs w:val="28"/>
          <w:lang w:eastAsia="ja-JP"/>
        </w:rPr>
      </w:pPr>
      <w:r w:rsidRPr="00846769">
        <w:br w:type="page"/>
      </w:r>
    </w:p>
    <w:p w14:paraId="3C66267A" w14:textId="3D2B8BE8" w:rsidR="006939E1" w:rsidRPr="00846769" w:rsidRDefault="00B5740F" w:rsidP="00BF317B">
      <w:pPr>
        <w:pStyle w:val="Normalsmall"/>
      </w:pPr>
      <w:r w:rsidRPr="00846769">
        <w:rPr>
          <w:rFonts w:cstheme="minorHAnsi"/>
        </w:rPr>
        <w:lastRenderedPageBreak/>
        <w:t>©</w:t>
      </w:r>
      <w:r w:rsidRPr="00846769">
        <w:t xml:space="preserve"> Commonwealth of Australia 202</w:t>
      </w:r>
      <w:r w:rsidR="00EB0CEE">
        <w:t>5</w:t>
      </w:r>
    </w:p>
    <w:p w14:paraId="35DEE658" w14:textId="77777777" w:rsidR="006939E1" w:rsidRPr="00846769" w:rsidRDefault="00B5740F" w:rsidP="00BF317B">
      <w:pPr>
        <w:pStyle w:val="Normalsmall"/>
        <w:rPr>
          <w:rStyle w:val="Strong"/>
        </w:rPr>
      </w:pPr>
      <w:r w:rsidRPr="00846769">
        <w:rPr>
          <w:rStyle w:val="Strong"/>
        </w:rPr>
        <w:t>Ownership of intellectual property rights</w:t>
      </w:r>
    </w:p>
    <w:p w14:paraId="43379782" w14:textId="77777777" w:rsidR="006939E1" w:rsidRPr="00846769" w:rsidRDefault="00B5740F" w:rsidP="00BF317B">
      <w:pPr>
        <w:pStyle w:val="Normalsmall"/>
      </w:pPr>
      <w:r w:rsidRPr="00846769">
        <w:t>Unless otherwise noted, copyright (and any other intellectual property rights, if any) in this publication is owned by the Commonwealth of Australia (referred to as the Commonwealth).</w:t>
      </w:r>
    </w:p>
    <w:p w14:paraId="46BC3263" w14:textId="77777777" w:rsidR="006939E1" w:rsidRPr="00846769" w:rsidRDefault="00B5740F" w:rsidP="00BF317B">
      <w:pPr>
        <w:pStyle w:val="Normalsmall"/>
        <w:rPr>
          <w:rStyle w:val="Strong"/>
        </w:rPr>
      </w:pPr>
      <w:r w:rsidRPr="00846769">
        <w:rPr>
          <w:rStyle w:val="Strong"/>
        </w:rPr>
        <w:t>Creative Commons licence</w:t>
      </w:r>
    </w:p>
    <w:p w14:paraId="3CE5E9D7" w14:textId="00951790" w:rsidR="006939E1" w:rsidRPr="00846769" w:rsidRDefault="00B5740F" w:rsidP="00BF317B">
      <w:pPr>
        <w:pStyle w:val="Normalsmall"/>
      </w:pPr>
      <w:r w:rsidRPr="00846769">
        <w:t xml:space="preserve">All material in this publication is licensed under a </w:t>
      </w:r>
      <w:hyperlink r:id="rId12" w:history="1">
        <w:r w:rsidRPr="00846769">
          <w:rPr>
            <w:rStyle w:val="Hyperlink"/>
            <w:sz w:val="18"/>
          </w:rPr>
          <w:t>Creative Commons Attribution 4.0 International Licence</w:t>
        </w:r>
      </w:hyperlink>
      <w:r w:rsidRPr="00846769">
        <w:t xml:space="preserve"> except content supplied by third parties, logos and the Commonwealth Coat of Arms.</w:t>
      </w:r>
    </w:p>
    <w:p w14:paraId="5B48A9D5" w14:textId="6700C554" w:rsidR="006939E1" w:rsidRPr="00846769" w:rsidRDefault="00B5740F" w:rsidP="00BF317B">
      <w:pPr>
        <w:pStyle w:val="Normalsmall"/>
      </w:pPr>
      <w:r w:rsidRPr="00846769">
        <w:t xml:space="preserve">Inquiries about the licence and any use of this document should be emailed to </w:t>
      </w:r>
      <w:r w:rsidRPr="00846769">
        <w:rPr>
          <w:rStyle w:val="Hyperlink"/>
          <w:sz w:val="18"/>
        </w:rPr>
        <w:t>copyright@a</w:t>
      </w:r>
      <w:r w:rsidR="007054D8" w:rsidRPr="00846769">
        <w:rPr>
          <w:rStyle w:val="Hyperlink"/>
          <w:sz w:val="18"/>
        </w:rPr>
        <w:t>ff</w:t>
      </w:r>
      <w:r w:rsidRPr="00846769">
        <w:rPr>
          <w:rStyle w:val="Hyperlink"/>
          <w:sz w:val="18"/>
        </w:rPr>
        <w:t>.gov.au</w:t>
      </w:r>
      <w:r w:rsidRPr="00846769">
        <w:t>.</w:t>
      </w:r>
    </w:p>
    <w:p w14:paraId="0DA82A39" w14:textId="77777777" w:rsidR="006939E1" w:rsidRPr="00846769" w:rsidRDefault="00B5740F" w:rsidP="00BF317B">
      <w:pPr>
        <w:pStyle w:val="Normalsmall"/>
      </w:pPr>
      <w:r w:rsidRPr="00846769">
        <w:rPr>
          <w:noProof/>
        </w:rPr>
        <w:drawing>
          <wp:inline distT="0" distB="0" distL="0" distR="0" wp14:anchorId="03DD0ADD" wp14:editId="4744BB3A">
            <wp:extent cx="725170" cy="25590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3" cstate="email">
                      <a:extLst>
                        <a:ext uri="{28A0092B-C50C-407E-A947-70E740481C1C}">
                          <a14:useLocalDpi xmlns:a14="http://schemas.microsoft.com/office/drawing/2010/main" val="0"/>
                        </a:ext>
                      </a:extLst>
                    </a:blip>
                    <a:stretch>
                      <a:fillRect/>
                    </a:stretch>
                  </pic:blipFill>
                  <pic:spPr bwMode="auto">
                    <a:xfrm>
                      <a:off x="0" y="0"/>
                      <a:ext cx="725170" cy="255905"/>
                    </a:xfrm>
                    <a:prstGeom prst="rect">
                      <a:avLst/>
                    </a:prstGeom>
                    <a:noFill/>
                  </pic:spPr>
                </pic:pic>
              </a:graphicData>
            </a:graphic>
          </wp:inline>
        </w:drawing>
      </w:r>
    </w:p>
    <w:p w14:paraId="07687805" w14:textId="77777777" w:rsidR="006939E1" w:rsidRPr="00846769" w:rsidRDefault="00B5740F" w:rsidP="00BF317B">
      <w:pPr>
        <w:pStyle w:val="Normalsmall"/>
        <w:rPr>
          <w:rStyle w:val="Strong"/>
        </w:rPr>
      </w:pPr>
      <w:r w:rsidRPr="00846769">
        <w:rPr>
          <w:rStyle w:val="Strong"/>
        </w:rPr>
        <w:t>Cataloguing data</w:t>
      </w:r>
    </w:p>
    <w:p w14:paraId="4DD10AD8" w14:textId="173EDECE" w:rsidR="006939E1" w:rsidRPr="00846769" w:rsidRDefault="00B5740F" w:rsidP="00BF317B">
      <w:pPr>
        <w:pStyle w:val="Normalsmall"/>
      </w:pPr>
      <w:r w:rsidRPr="00846769">
        <w:t>This publication (and any material sourced from it) should be attributed as: Marine Pest Sectoral Committee 202</w:t>
      </w:r>
      <w:r w:rsidR="00EB0CEE">
        <w:t>5</w:t>
      </w:r>
      <w:r w:rsidRPr="00846769">
        <w:t xml:space="preserve">, </w:t>
      </w:r>
      <w:r w:rsidRPr="00846769">
        <w:rPr>
          <w:rStyle w:val="Emphasis"/>
        </w:rPr>
        <w:t>Response manual for invasive</w:t>
      </w:r>
      <w:r w:rsidR="001D2129" w:rsidRPr="00846769">
        <w:rPr>
          <w:rStyle w:val="Emphasis"/>
        </w:rPr>
        <w:t xml:space="preserve"> marine</w:t>
      </w:r>
      <w:r w:rsidRPr="00846769">
        <w:rPr>
          <w:rStyle w:val="Emphasis"/>
        </w:rPr>
        <w:t xml:space="preserve"> bivalves</w:t>
      </w:r>
      <w:r w:rsidRPr="00846769">
        <w:t xml:space="preserve">, Department of Agriculture, </w:t>
      </w:r>
      <w:r w:rsidR="00444797" w:rsidRPr="00846769">
        <w:t>Fisheries and Forestry</w:t>
      </w:r>
      <w:r w:rsidRPr="00846769">
        <w:t xml:space="preserve">, Canberra, </w:t>
      </w:r>
      <w:r w:rsidR="00F308C7">
        <w:t>April</w:t>
      </w:r>
      <w:r w:rsidR="00444797" w:rsidRPr="00B840C5">
        <w:t xml:space="preserve"> </w:t>
      </w:r>
      <w:r w:rsidR="00C271D7" w:rsidRPr="00B840C5">
        <w:t>202</w:t>
      </w:r>
      <w:r w:rsidR="00EB0CEE" w:rsidRPr="00B840C5">
        <w:t>5</w:t>
      </w:r>
      <w:r w:rsidRPr="00B840C5">
        <w:t xml:space="preserve">. </w:t>
      </w:r>
      <w:r w:rsidRPr="00846769">
        <w:t>CC BY 4.0. Document modified to meet accessibility requirements.</w:t>
      </w:r>
    </w:p>
    <w:p w14:paraId="6799CEB1" w14:textId="6C6B6ED5" w:rsidR="006939E1" w:rsidRPr="00846769" w:rsidRDefault="00B5740F" w:rsidP="00BF317B">
      <w:pPr>
        <w:pStyle w:val="Normalsmall"/>
      </w:pPr>
      <w:r w:rsidRPr="00846769">
        <w:t xml:space="preserve">This publication is available at </w:t>
      </w:r>
      <w:bookmarkStart w:id="7" w:name="_Hlk187153588"/>
      <w:r w:rsidR="001D2129">
        <w:fldChar w:fldCharType="begin"/>
      </w:r>
      <w:r w:rsidR="001D2129">
        <w:instrText>HYPERLINK "https://www.marinepests.gov.au/what-we-do/emergency/response-manuals"</w:instrText>
      </w:r>
      <w:r w:rsidR="001D2129">
        <w:fldChar w:fldCharType="separate"/>
      </w:r>
      <w:r w:rsidR="001D2129" w:rsidRPr="00846769">
        <w:rPr>
          <w:rStyle w:val="Hyperlink"/>
          <w:sz w:val="18"/>
        </w:rPr>
        <w:t>https://www.marinepests.gov.au/what-we-do/emergency/response-manuals</w:t>
      </w:r>
      <w:r w:rsidR="001D2129">
        <w:rPr>
          <w:rStyle w:val="Hyperlink"/>
          <w:sz w:val="18"/>
        </w:rPr>
        <w:fldChar w:fldCharType="end"/>
      </w:r>
      <w:r w:rsidR="001D2129" w:rsidRPr="00846769">
        <w:t xml:space="preserve"> </w:t>
      </w:r>
      <w:bookmarkEnd w:id="7"/>
    </w:p>
    <w:p w14:paraId="129B4E6B" w14:textId="31E4A489" w:rsidR="006939E1" w:rsidRPr="00846769" w:rsidRDefault="00B5740F" w:rsidP="00BF317B">
      <w:pPr>
        <w:pStyle w:val="Normalsmall"/>
      </w:pPr>
      <w:r w:rsidRPr="00846769">
        <w:t>Marine Pest Sectoral Committee Secretariat</w:t>
      </w:r>
      <w:r w:rsidRPr="00846769">
        <w:br/>
        <w:t xml:space="preserve">Department of Agriculture, </w:t>
      </w:r>
      <w:r w:rsidR="00444797" w:rsidRPr="00846769">
        <w:t>Fisheries and Forestry</w:t>
      </w:r>
      <w:r w:rsidRPr="00846769">
        <w:br/>
        <w:t>GPO 858 Canberra ACT 2601</w:t>
      </w:r>
      <w:r w:rsidRPr="00846769">
        <w:br/>
        <w:t xml:space="preserve">Email </w:t>
      </w:r>
      <w:r w:rsidRPr="00846769">
        <w:rPr>
          <w:rStyle w:val="Hyperlink"/>
          <w:sz w:val="18"/>
        </w:rPr>
        <w:t>mpsc@a</w:t>
      </w:r>
      <w:r w:rsidR="00074D21" w:rsidRPr="00846769">
        <w:rPr>
          <w:rStyle w:val="Hyperlink"/>
          <w:sz w:val="18"/>
        </w:rPr>
        <w:t>ff</w:t>
      </w:r>
      <w:r w:rsidRPr="00846769">
        <w:rPr>
          <w:rStyle w:val="Hyperlink"/>
          <w:sz w:val="18"/>
        </w:rPr>
        <w:t>.gov.au</w:t>
      </w:r>
      <w:r w:rsidRPr="00846769">
        <w:br/>
        <w:t xml:space="preserve">Web </w:t>
      </w:r>
      <w:hyperlink r:id="rId14" w:history="1">
        <w:r w:rsidR="004844E5" w:rsidRPr="00F02822">
          <w:rPr>
            <w:rStyle w:val="Hyperlink"/>
            <w:sz w:val="18"/>
          </w:rPr>
          <w:t>www.marinepests.gov.au</w:t>
        </w:r>
      </w:hyperlink>
      <w:r w:rsidR="004844E5">
        <w:t xml:space="preserve"> </w:t>
      </w:r>
    </w:p>
    <w:p w14:paraId="6B1C2AD9" w14:textId="77777777" w:rsidR="006939E1" w:rsidRPr="00846769" w:rsidRDefault="00B5740F" w:rsidP="00BF317B">
      <w:pPr>
        <w:pStyle w:val="Normalsmall"/>
        <w:rPr>
          <w:rStyle w:val="Strong"/>
        </w:rPr>
      </w:pPr>
      <w:r w:rsidRPr="00846769">
        <w:rPr>
          <w:rStyle w:val="Strong"/>
        </w:rPr>
        <w:t>Disclaimer</w:t>
      </w:r>
    </w:p>
    <w:p w14:paraId="2FAAB0BF" w14:textId="77777777" w:rsidR="008D1D20" w:rsidRPr="00846769" w:rsidRDefault="008D1D20" w:rsidP="008D1D20">
      <w:pPr>
        <w:pStyle w:val="Normalsmall"/>
      </w:pPr>
      <w:r w:rsidRPr="00846769">
        <w:t>These manuals are part of a series of documents providing detailed information and guidance for emergency response to key marine pest species or groups of marine pest species.</w:t>
      </w:r>
    </w:p>
    <w:p w14:paraId="424B6C5F" w14:textId="77777777" w:rsidR="008D1D20" w:rsidRPr="00846769" w:rsidRDefault="008D1D20" w:rsidP="008D1D20">
      <w:pPr>
        <w:pStyle w:val="Normalsmall"/>
      </w:pPr>
      <w:r w:rsidRPr="00846769">
        <w:t xml:space="preserve">The manuals are made available on the understanding that the Commonwealth of Australia is not thereby engaged in rendering professional advice. The Commonwealth does not warrant the accuracy, currency or completeness of the guidelines, or their relevance for any particular purpose. </w:t>
      </w:r>
      <w:proofErr w:type="gramStart"/>
      <w:r w:rsidRPr="00846769">
        <w:t>In particular it</w:t>
      </w:r>
      <w:proofErr w:type="gramEnd"/>
      <w:r w:rsidRPr="00846769">
        <w:t xml:space="preserve"> should be noted that legislation, regulations and by-laws may vary between different jurisdictions and ports in Australia. Consequently, the guidelines do not purport to state what is necessary or sufficient to comply with laws applying in any place.</w:t>
      </w:r>
    </w:p>
    <w:p w14:paraId="6289624F" w14:textId="658C5147" w:rsidR="008D1D20" w:rsidRPr="00846769" w:rsidRDefault="008D1D20" w:rsidP="008D1D20">
      <w:pPr>
        <w:pStyle w:val="Normalsmall"/>
      </w:pPr>
      <w:r w:rsidRPr="00846769">
        <w:t>Before relying on the manuals in any important matter, users should obtain appropriate professional advice to evaluate their accuracy, currency, completeness</w:t>
      </w:r>
      <w:r w:rsidR="008D00FA" w:rsidRPr="00846769">
        <w:t>,</w:t>
      </w:r>
      <w:r w:rsidRPr="00846769">
        <w:t xml:space="preserve"> and relevance for their purposes.</w:t>
      </w:r>
    </w:p>
    <w:p w14:paraId="578FD05C" w14:textId="00DABBD3" w:rsidR="008D1D20" w:rsidRPr="00846769" w:rsidRDefault="008D1D20" w:rsidP="008D1D20">
      <w:pPr>
        <w:pStyle w:val="Normalsmall"/>
        <w:rPr>
          <w:rStyle w:val="Strong"/>
        </w:rPr>
      </w:pPr>
      <w:r w:rsidRPr="00846769">
        <w:rPr>
          <w:rStyle w:val="Strong"/>
        </w:rPr>
        <w:t xml:space="preserve">Acknowledgement of </w:t>
      </w:r>
      <w:r w:rsidR="00C27559" w:rsidRPr="00846769">
        <w:rPr>
          <w:rStyle w:val="Strong"/>
        </w:rPr>
        <w:t>Country</w:t>
      </w:r>
    </w:p>
    <w:p w14:paraId="190107AA" w14:textId="5316F9EB" w:rsidR="008D1D20" w:rsidRPr="00846769" w:rsidRDefault="008D1D20" w:rsidP="00BF317B">
      <w:pPr>
        <w:pStyle w:val="Normalsmall"/>
      </w:pPr>
      <w:r w:rsidRPr="00846769">
        <w:t>We acknowledge the Traditional Custodians of Australia and their continuing connection to land and sea, waters, environment</w:t>
      </w:r>
      <w:r w:rsidR="008D00FA" w:rsidRPr="00846769">
        <w:t>,</w:t>
      </w:r>
      <w:r w:rsidRPr="00846769">
        <w:t xml:space="preserve"> and community. We pay our respects to the Traditional Custodians of the lands we live and work on, their culture, and their Elders past and present.</w:t>
      </w:r>
    </w:p>
    <w:p w14:paraId="12FA9BEA" w14:textId="77777777" w:rsidR="006939E1" w:rsidRPr="00846769" w:rsidRDefault="00B5740F" w:rsidP="00BF317B">
      <w:pPr>
        <w:pStyle w:val="Normalsmall"/>
        <w:rPr>
          <w:rStyle w:val="Strong"/>
        </w:rPr>
      </w:pPr>
      <w:r w:rsidRPr="00846769">
        <w:rPr>
          <w:rStyle w:val="Strong"/>
        </w:rPr>
        <w:t>Note</w:t>
      </w:r>
    </w:p>
    <w:p w14:paraId="333C1402" w14:textId="7AA6A170" w:rsidR="006939E1" w:rsidRPr="00846769" w:rsidRDefault="00B5740F" w:rsidP="00BF317B">
      <w:pPr>
        <w:pStyle w:val="Normalsmall"/>
      </w:pPr>
      <w:r w:rsidRPr="00846769">
        <w:t xml:space="preserve">Response manuals provide guidance for Australian </w:t>
      </w:r>
      <w:r w:rsidR="00ED5146" w:rsidRPr="00846769">
        <w:t xml:space="preserve">marine pest biosecurity </w:t>
      </w:r>
      <w:r w:rsidRPr="00846769">
        <w:t>responses. They provide detailed information and guidance for emergency response to a marine pest incident. The guidance is based on sound analysis and links policy, strategies, implementation, coordination</w:t>
      </w:r>
      <w:r w:rsidR="008D00FA" w:rsidRPr="00846769">
        <w:t>,</w:t>
      </w:r>
      <w:r w:rsidRPr="00846769">
        <w:t xml:space="preserve"> and emergency management plans.</w:t>
      </w:r>
    </w:p>
    <w:p w14:paraId="22D86CD1" w14:textId="77777777" w:rsidR="006939E1" w:rsidRPr="00846769" w:rsidRDefault="00B5740F" w:rsidP="00BF317B">
      <w:pPr>
        <w:rPr>
          <w:sz w:val="18"/>
          <w:szCs w:val="18"/>
        </w:rPr>
      </w:pPr>
      <w:r w:rsidRPr="00846769">
        <w:br w:type="page"/>
      </w:r>
    </w:p>
    <w:p w14:paraId="63D34A77" w14:textId="77777777" w:rsidR="006939E1" w:rsidRPr="00846769" w:rsidRDefault="00B5740F" w:rsidP="00BF317B">
      <w:pPr>
        <w:pStyle w:val="Heading2"/>
        <w:numPr>
          <w:ilvl w:val="0"/>
          <w:numId w:val="0"/>
        </w:numPr>
        <w:ind w:left="851" w:hanging="851"/>
      </w:pPr>
      <w:bookmarkStart w:id="8" w:name="_Toc87599079"/>
      <w:bookmarkStart w:id="9" w:name="_Toc191998635"/>
      <w:r w:rsidRPr="00846769">
        <w:lastRenderedPageBreak/>
        <w:t>Preface</w:t>
      </w:r>
      <w:bookmarkEnd w:id="8"/>
      <w:bookmarkEnd w:id="9"/>
    </w:p>
    <w:p w14:paraId="3BDCAE71" w14:textId="2E0EEECC" w:rsidR="006939E1" w:rsidRPr="00846769" w:rsidRDefault="00B5740F" w:rsidP="00BF317B">
      <w:r w:rsidRPr="00846769">
        <w:t xml:space="preserve">The Australian Government Department of Agriculture, </w:t>
      </w:r>
      <w:r w:rsidR="00444797" w:rsidRPr="00846769">
        <w:t>Fisheries and Forestry</w:t>
      </w:r>
      <w:r w:rsidR="00B23D63" w:rsidRPr="00846769">
        <w:t xml:space="preserve"> (DAFF)</w:t>
      </w:r>
      <w:r w:rsidRPr="00846769">
        <w:t xml:space="preserve"> maintains a series of response</w:t>
      </w:r>
      <w:r w:rsidRPr="00846769">
        <w:rPr>
          <w:rStyle w:val="FootnoteReference"/>
        </w:rPr>
        <w:footnoteReference w:id="2"/>
      </w:r>
      <w:r w:rsidRPr="00846769">
        <w:t xml:space="preserve"> manuals to ensure national coordination of emergency responses to incursions by exotic pests and diseases or significant range expansions of established pests and endemic diseases. The </w:t>
      </w:r>
      <w:r w:rsidR="003A0BFB" w:rsidRPr="00846769">
        <w:t>r</w:t>
      </w:r>
      <w:r w:rsidRPr="00846769">
        <w:t xml:space="preserve">esponse </w:t>
      </w:r>
      <w:r w:rsidR="003A0BFB" w:rsidRPr="00846769">
        <w:t>m</w:t>
      </w:r>
      <w:r w:rsidRPr="00846769">
        <w:t>anuals for marine pests provide detailed information and guidance for emergency response to key marine pest species or groups of pest species of national significance.</w:t>
      </w:r>
    </w:p>
    <w:p w14:paraId="1C1CFE85" w14:textId="5D951D5A" w:rsidR="006939E1" w:rsidRPr="00846769" w:rsidRDefault="00B5740F" w:rsidP="00BF317B">
      <w:r w:rsidRPr="00846769">
        <w:t xml:space="preserve">The </w:t>
      </w:r>
      <w:r w:rsidR="003A0BFB" w:rsidRPr="00846769">
        <w:t>r</w:t>
      </w:r>
      <w:r w:rsidRPr="00846769">
        <w:t xml:space="preserve">esponse </w:t>
      </w:r>
      <w:r w:rsidR="003A0BFB" w:rsidRPr="00846769">
        <w:t>m</w:t>
      </w:r>
      <w:r w:rsidRPr="00846769">
        <w:t xml:space="preserve">anuals are adapted from the Australian emergency plans for terrestrial and aquatic animal diseases—the </w:t>
      </w:r>
      <w:hyperlink r:id="rId15" w:history="1">
        <w:r w:rsidRPr="004844E5">
          <w:rPr>
            <w:rStyle w:val="Hyperlink"/>
          </w:rPr>
          <w:t>Australian Veterinary Emergency Plan (AUSVETPLAN)</w:t>
        </w:r>
      </w:hyperlink>
      <w:r w:rsidRPr="00846769">
        <w:t xml:space="preserve"> and the </w:t>
      </w:r>
      <w:hyperlink r:id="rId16" w:history="1">
        <w:r w:rsidRPr="004844E5">
          <w:rPr>
            <w:rStyle w:val="Hyperlink"/>
          </w:rPr>
          <w:t>Australian Aquatic Veterinary Emergency Plan (AQUAVETPLAN).</w:t>
        </w:r>
      </w:hyperlink>
      <w:r w:rsidRPr="00846769">
        <w:t xml:space="preserve"> The format and content have been kept as similar as possible to those documents to enable emergency response personnel trained in their use to work efficiently with these manuals in the event of a marine pest emergency.</w:t>
      </w:r>
    </w:p>
    <w:p w14:paraId="1F5CE326" w14:textId="754CE167" w:rsidR="006939E1" w:rsidRPr="00846769" w:rsidRDefault="00B5740F" w:rsidP="00BF317B">
      <w:r w:rsidRPr="00846769">
        <w:t>This manual describes the principles for an emergency response to an incident caused by the suspicion or confirmation of incursion by a</w:t>
      </w:r>
      <w:r w:rsidR="00454A1A" w:rsidRPr="00846769">
        <w:t xml:space="preserve">n invasive marine bivalve. </w:t>
      </w:r>
    </w:p>
    <w:p w14:paraId="4982F070" w14:textId="752A90C2" w:rsidR="006939E1" w:rsidRPr="00846769" w:rsidRDefault="00B5740F" w:rsidP="00BF317B">
      <w:r w:rsidRPr="00846769">
        <w:t>The National Institute of Water and Atmospheric Research, New Zealand</w:t>
      </w:r>
      <w:r w:rsidR="008A721D" w:rsidRPr="00846769">
        <w:t xml:space="preserve"> (NIWA)</w:t>
      </w:r>
      <w:r w:rsidR="003A0BFB" w:rsidRPr="00846769">
        <w:t xml:space="preserve">, and </w:t>
      </w:r>
      <w:r w:rsidR="00EB0CEE">
        <w:t>DAFF</w:t>
      </w:r>
      <w:r w:rsidR="003A0BFB" w:rsidRPr="00846769">
        <w:t>, Australia,</w:t>
      </w:r>
      <w:r w:rsidRPr="00846769">
        <w:t xml:space="preserve"> </w:t>
      </w:r>
      <w:r w:rsidR="003A0BFB" w:rsidRPr="00846769">
        <w:t>prepared the first edition of this response manual</w:t>
      </w:r>
      <w:r w:rsidRPr="00846769">
        <w:t>. It has gone through an extensive process of editing and comment from</w:t>
      </w:r>
      <w:r w:rsidR="003A0B23" w:rsidRPr="00846769">
        <w:t xml:space="preserve"> the Marine Pest Sectoral Committee</w:t>
      </w:r>
      <w:r w:rsidRPr="00846769">
        <w:t xml:space="preserve"> </w:t>
      </w:r>
      <w:r w:rsidR="003A0B23" w:rsidRPr="00846769">
        <w:t>(</w:t>
      </w:r>
      <w:r w:rsidRPr="00846769">
        <w:t>MPSC</w:t>
      </w:r>
      <w:r w:rsidR="003A0B23" w:rsidRPr="00846769">
        <w:t>)</w:t>
      </w:r>
      <w:r w:rsidR="003A0BFB" w:rsidRPr="00846769">
        <w:t xml:space="preserve"> and relevant experts</w:t>
      </w:r>
      <w:r w:rsidR="00B23D63" w:rsidRPr="00846769">
        <w:t xml:space="preserve">. </w:t>
      </w:r>
      <w:r w:rsidR="008A721D" w:rsidRPr="00846769">
        <w:t xml:space="preserve">The </w:t>
      </w:r>
      <w:r w:rsidR="003A0B23" w:rsidRPr="00846769">
        <w:t>MPSC endorsed</w:t>
      </w:r>
      <w:r w:rsidRPr="00846769">
        <w:t xml:space="preserve"> this manual on </w:t>
      </w:r>
      <w:r w:rsidR="009218E8" w:rsidRPr="00A04E26">
        <w:t xml:space="preserve">28 October </w:t>
      </w:r>
      <w:r w:rsidR="00C271D7" w:rsidRPr="00A04E26">
        <w:t>202</w:t>
      </w:r>
      <w:r w:rsidR="008D1D20" w:rsidRPr="00A04E26">
        <w:t>4</w:t>
      </w:r>
      <w:r w:rsidRPr="00A04E26">
        <w:t>.</w:t>
      </w:r>
    </w:p>
    <w:p w14:paraId="3F4EC50A" w14:textId="3D2279BD" w:rsidR="006939E1" w:rsidRPr="00846769" w:rsidRDefault="00871D96" w:rsidP="00BF317B">
      <w:r w:rsidRPr="00846769">
        <w:t xml:space="preserve">The manual will be reviewed </w:t>
      </w:r>
      <w:r w:rsidR="00C271D7" w:rsidRPr="00846769">
        <w:t xml:space="preserve">and updated </w:t>
      </w:r>
      <w:r w:rsidR="00A54DCC" w:rsidRPr="00846769">
        <w:t>as required</w:t>
      </w:r>
      <w:r w:rsidR="00454A1A" w:rsidRPr="00846769">
        <w:t xml:space="preserve"> </w:t>
      </w:r>
      <w:r w:rsidRPr="00846769">
        <w:t xml:space="preserve">to incorporate new information and experience gained with incursion management of these or similar marine pests. </w:t>
      </w:r>
      <w:r w:rsidR="00B5740F" w:rsidRPr="00846769">
        <w:t xml:space="preserve">Amended versions will be published on the </w:t>
      </w:r>
      <w:hyperlink r:id="rId17" w:history="1">
        <w:r w:rsidR="00B5740F" w:rsidRPr="00846769">
          <w:rPr>
            <w:rStyle w:val="Hyperlink"/>
          </w:rPr>
          <w:t xml:space="preserve">marine </w:t>
        </w:r>
        <w:proofErr w:type="gramStart"/>
        <w:r w:rsidR="00B5740F" w:rsidRPr="00846769">
          <w:rPr>
            <w:rStyle w:val="Hyperlink"/>
          </w:rPr>
          <w:t>pest</w:t>
        </w:r>
        <w:r w:rsidR="00A54DCC" w:rsidRPr="00846769">
          <w:rPr>
            <w:rStyle w:val="Hyperlink"/>
          </w:rPr>
          <w:t>s</w:t>
        </w:r>
        <w:proofErr w:type="gramEnd"/>
        <w:r w:rsidR="00B5740F" w:rsidRPr="00846769">
          <w:rPr>
            <w:rStyle w:val="Hyperlink"/>
          </w:rPr>
          <w:t xml:space="preserve"> website.</w:t>
        </w:r>
      </w:hyperlink>
    </w:p>
    <w:p w14:paraId="4BE9EDFE" w14:textId="77777777" w:rsidR="006939E1" w:rsidRPr="00846769" w:rsidRDefault="00B5740F">
      <w:pPr>
        <w:spacing w:after="160" w:line="259" w:lineRule="auto"/>
      </w:pPr>
      <w:r w:rsidRPr="00846769">
        <w:br w:type="page"/>
      </w:r>
    </w:p>
    <w:p w14:paraId="685C0F8C" w14:textId="77777777" w:rsidR="006939E1" w:rsidRPr="00846769" w:rsidRDefault="00B5740F" w:rsidP="00BF317B">
      <w:pPr>
        <w:pStyle w:val="Heading3"/>
      </w:pPr>
      <w:bookmarkStart w:id="10" w:name="_Toc87599080"/>
      <w:bookmarkStart w:id="11" w:name="_Toc191998636"/>
      <w:r w:rsidRPr="00846769">
        <w:lastRenderedPageBreak/>
        <w:t>Recommendations for amendments</w:t>
      </w:r>
      <w:bookmarkEnd w:id="10"/>
      <w:bookmarkEnd w:id="11"/>
    </w:p>
    <w:p w14:paraId="2ECD6BBE" w14:textId="74A4B6D4" w:rsidR="006939E1" w:rsidRPr="00846769" w:rsidRDefault="00B5740F" w:rsidP="008C749E">
      <w:r w:rsidRPr="00846769">
        <w:t xml:space="preserve">To recommend changes or corrections to this document, </w:t>
      </w:r>
      <w:r w:rsidR="00A54DCC" w:rsidRPr="00846769">
        <w:t xml:space="preserve">please </w:t>
      </w:r>
      <w:r w:rsidRPr="00846769">
        <w:t>forward your suggestions to:</w:t>
      </w:r>
    </w:p>
    <w:p w14:paraId="19AB117F" w14:textId="77777777" w:rsidR="006939E1" w:rsidRPr="00846769" w:rsidRDefault="00B5740F" w:rsidP="008C749E">
      <w:pPr>
        <w:spacing w:after="0"/>
      </w:pPr>
      <w:r w:rsidRPr="00846769">
        <w:t>Marine Pest Sectoral Committee Secretariat</w:t>
      </w:r>
    </w:p>
    <w:p w14:paraId="52CAF4D3" w14:textId="2F93E8B7" w:rsidR="006939E1" w:rsidRPr="00846769" w:rsidRDefault="00B5740F" w:rsidP="008C749E">
      <w:pPr>
        <w:spacing w:after="0"/>
      </w:pPr>
      <w:r w:rsidRPr="00846769">
        <w:t xml:space="preserve">Department of Agriculture, </w:t>
      </w:r>
      <w:r w:rsidR="00444797" w:rsidRPr="00846769">
        <w:t>Fisheries and Forestry</w:t>
      </w:r>
    </w:p>
    <w:p w14:paraId="4F1F2BA0" w14:textId="77777777" w:rsidR="006939E1" w:rsidRPr="00846769" w:rsidRDefault="00B5740F" w:rsidP="008C749E">
      <w:pPr>
        <w:spacing w:after="0"/>
      </w:pPr>
      <w:r w:rsidRPr="00846769">
        <w:t>GPO 858 Canberra City ACT 2601</w:t>
      </w:r>
    </w:p>
    <w:p w14:paraId="28DC7FB8" w14:textId="48C5E1EB" w:rsidR="006939E1" w:rsidRPr="00846769" w:rsidRDefault="00B5740F" w:rsidP="008C749E">
      <w:r w:rsidRPr="00846769">
        <w:t xml:space="preserve">Email </w:t>
      </w:r>
      <w:hyperlink r:id="rId18" w:history="1">
        <w:r w:rsidR="00C60C93" w:rsidRPr="00846769">
          <w:rPr>
            <w:rStyle w:val="Hyperlink"/>
          </w:rPr>
          <w:t>mpsc@aff.gov.au</w:t>
        </w:r>
      </w:hyperlink>
    </w:p>
    <w:p w14:paraId="3A0909DE" w14:textId="77777777" w:rsidR="001D2129" w:rsidRPr="00846769" w:rsidRDefault="00B5740F" w:rsidP="008C749E">
      <w:pPr>
        <w:spacing w:after="160"/>
      </w:pPr>
      <w:r w:rsidRPr="00846769">
        <w:t xml:space="preserve">Proposed changes will be considered by </w:t>
      </w:r>
      <w:r w:rsidR="00B23D63" w:rsidRPr="00846769">
        <w:t xml:space="preserve">the </w:t>
      </w:r>
      <w:r w:rsidRPr="00846769">
        <w:t>MPSC before being incorporated into the manual.</w:t>
      </w:r>
    </w:p>
    <w:p w14:paraId="21594FA7" w14:textId="77F71B6B" w:rsidR="001D2129" w:rsidRPr="00846769" w:rsidRDefault="001D2129" w:rsidP="00E8211D">
      <w:pPr>
        <w:pStyle w:val="Heading4"/>
        <w:spacing w:after="120"/>
      </w:pPr>
      <w:bookmarkStart w:id="12" w:name="_Hlk170460354"/>
      <w:r w:rsidRPr="00846769">
        <w:t>Version history</w:t>
      </w:r>
    </w:p>
    <w:tbl>
      <w:tblPr>
        <w:tblW w:w="5109" w:type="pct"/>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993"/>
        <w:gridCol w:w="1798"/>
        <w:gridCol w:w="6432"/>
      </w:tblGrid>
      <w:tr w:rsidR="00C93104" w:rsidRPr="00846769" w14:paraId="61A41B57" w14:textId="77777777" w:rsidTr="00B840C5">
        <w:trPr>
          <w:cantSplit/>
          <w:tblHeader/>
        </w:trPr>
        <w:tc>
          <w:tcPr>
            <w:tcW w:w="538" w:type="pct"/>
            <w:tcBorders>
              <w:bottom w:val="single" w:sz="4" w:space="0" w:color="auto"/>
            </w:tcBorders>
            <w:shd w:val="clear" w:color="auto" w:fill="FFFFFF" w:themeFill="background1"/>
          </w:tcPr>
          <w:p w14:paraId="376BEFC8" w14:textId="21C01DCC" w:rsidR="00C93104" w:rsidRPr="00846769" w:rsidRDefault="00C93104" w:rsidP="006966B1">
            <w:pPr>
              <w:pStyle w:val="TableText"/>
              <w:rPr>
                <w:b/>
                <w:bCs/>
                <w:sz w:val="20"/>
                <w:szCs w:val="24"/>
              </w:rPr>
            </w:pPr>
            <w:bookmarkStart w:id="13" w:name="Version_Table"/>
            <w:bookmarkEnd w:id="13"/>
            <w:r w:rsidRPr="00846769">
              <w:rPr>
                <w:b/>
                <w:bCs/>
                <w:sz w:val="20"/>
                <w:szCs w:val="24"/>
              </w:rPr>
              <w:t>Version</w:t>
            </w:r>
          </w:p>
        </w:tc>
        <w:tc>
          <w:tcPr>
            <w:tcW w:w="975" w:type="pct"/>
            <w:tcBorders>
              <w:bottom w:val="single" w:sz="4" w:space="0" w:color="auto"/>
            </w:tcBorders>
            <w:shd w:val="clear" w:color="auto" w:fill="FFFFFF" w:themeFill="background1"/>
          </w:tcPr>
          <w:p w14:paraId="42DAA918" w14:textId="086EF482" w:rsidR="00C93104" w:rsidRPr="00846769" w:rsidRDefault="00C93104" w:rsidP="006966B1">
            <w:pPr>
              <w:pStyle w:val="TableText"/>
              <w:rPr>
                <w:b/>
                <w:bCs/>
                <w:sz w:val="20"/>
                <w:szCs w:val="24"/>
              </w:rPr>
            </w:pPr>
            <w:r w:rsidRPr="00846769">
              <w:rPr>
                <w:b/>
                <w:bCs/>
                <w:sz w:val="20"/>
                <w:szCs w:val="24"/>
              </w:rPr>
              <w:t>Date</w:t>
            </w:r>
          </w:p>
        </w:tc>
        <w:tc>
          <w:tcPr>
            <w:tcW w:w="3487" w:type="pct"/>
            <w:tcBorders>
              <w:bottom w:val="single" w:sz="4" w:space="0" w:color="auto"/>
            </w:tcBorders>
            <w:shd w:val="clear" w:color="auto" w:fill="FFFFFF" w:themeFill="background1"/>
          </w:tcPr>
          <w:p w14:paraId="5995C49A" w14:textId="0473517E" w:rsidR="00C93104" w:rsidRPr="00846769" w:rsidRDefault="00C93104" w:rsidP="006966B1">
            <w:pPr>
              <w:pStyle w:val="TableText"/>
              <w:rPr>
                <w:b/>
                <w:bCs/>
                <w:sz w:val="20"/>
                <w:szCs w:val="24"/>
              </w:rPr>
            </w:pPr>
            <w:r w:rsidRPr="00846769">
              <w:rPr>
                <w:b/>
                <w:bCs/>
                <w:sz w:val="20"/>
                <w:szCs w:val="24"/>
              </w:rPr>
              <w:t>Amendment details</w:t>
            </w:r>
          </w:p>
        </w:tc>
      </w:tr>
      <w:tr w:rsidR="00C93104" w:rsidRPr="00846769" w14:paraId="1C8648EF" w14:textId="77777777" w:rsidTr="00B840C5">
        <w:trPr>
          <w:cantSplit/>
          <w:tblHeader/>
        </w:trPr>
        <w:tc>
          <w:tcPr>
            <w:tcW w:w="538" w:type="pct"/>
            <w:tcBorders>
              <w:bottom w:val="single" w:sz="4" w:space="0" w:color="auto"/>
            </w:tcBorders>
            <w:shd w:val="clear" w:color="auto" w:fill="FFFFFF" w:themeFill="background1"/>
          </w:tcPr>
          <w:p w14:paraId="6FB9B8D0" w14:textId="441CED2C" w:rsidR="00C93104" w:rsidRPr="00846769" w:rsidRDefault="00C93104" w:rsidP="006966B1">
            <w:pPr>
              <w:pStyle w:val="TableText"/>
              <w:rPr>
                <w:sz w:val="20"/>
                <w:szCs w:val="24"/>
                <w:highlight w:val="yellow"/>
              </w:rPr>
            </w:pPr>
            <w:r w:rsidRPr="00846769">
              <w:rPr>
                <w:sz w:val="20"/>
                <w:szCs w:val="24"/>
              </w:rPr>
              <w:t>1</w:t>
            </w:r>
          </w:p>
        </w:tc>
        <w:tc>
          <w:tcPr>
            <w:tcW w:w="975" w:type="pct"/>
            <w:tcBorders>
              <w:bottom w:val="single" w:sz="4" w:space="0" w:color="auto"/>
            </w:tcBorders>
            <w:shd w:val="clear" w:color="auto" w:fill="FFFFFF" w:themeFill="background1"/>
          </w:tcPr>
          <w:p w14:paraId="42F3E618" w14:textId="06ABE991" w:rsidR="00C93104" w:rsidRPr="00846769" w:rsidRDefault="00A04E26" w:rsidP="006966B1">
            <w:pPr>
              <w:pStyle w:val="TableText"/>
              <w:rPr>
                <w:sz w:val="20"/>
                <w:szCs w:val="24"/>
                <w:highlight w:val="yellow"/>
              </w:rPr>
            </w:pPr>
            <w:r w:rsidRPr="00A04E26">
              <w:rPr>
                <w:sz w:val="20"/>
                <w:szCs w:val="24"/>
              </w:rPr>
              <w:t>March 2025</w:t>
            </w:r>
          </w:p>
        </w:tc>
        <w:tc>
          <w:tcPr>
            <w:tcW w:w="3487" w:type="pct"/>
            <w:tcBorders>
              <w:bottom w:val="single" w:sz="4" w:space="0" w:color="auto"/>
            </w:tcBorders>
            <w:shd w:val="clear" w:color="auto" w:fill="FFFFFF" w:themeFill="background1"/>
          </w:tcPr>
          <w:p w14:paraId="21CEFB2A" w14:textId="08E89BA2" w:rsidR="00C93104" w:rsidRPr="00846769" w:rsidRDefault="00C93104" w:rsidP="006966B1">
            <w:pPr>
              <w:pStyle w:val="TableText"/>
              <w:rPr>
                <w:sz w:val="20"/>
                <w:szCs w:val="24"/>
                <w:highlight w:val="yellow"/>
              </w:rPr>
            </w:pPr>
            <w:r w:rsidRPr="00846769">
              <w:rPr>
                <w:sz w:val="20"/>
                <w:szCs w:val="24"/>
              </w:rPr>
              <w:t>First publication</w:t>
            </w:r>
          </w:p>
        </w:tc>
      </w:tr>
      <w:bookmarkEnd w:id="12"/>
    </w:tbl>
    <w:p w14:paraId="2E1C8319" w14:textId="62FDB4AC" w:rsidR="006939E1" w:rsidRPr="00846769" w:rsidRDefault="00B5740F" w:rsidP="00A04E26">
      <w:pPr>
        <w:pStyle w:val="Heading4"/>
      </w:pPr>
      <w:r w:rsidRPr="00846769">
        <w:br w:type="page"/>
      </w:r>
    </w:p>
    <w:sdt>
      <w:sdtPr>
        <w:rPr>
          <w:rFonts w:asciiTheme="minorHAnsi" w:eastAsiaTheme="minorHAnsi" w:hAnsiTheme="minorHAnsi"/>
          <w:bCs w:val="0"/>
          <w:color w:val="auto"/>
          <w:sz w:val="22"/>
          <w:szCs w:val="22"/>
          <w:lang w:eastAsia="en-US"/>
        </w:rPr>
        <w:id w:val="102007301"/>
        <w:docPartObj>
          <w:docPartGallery w:val="Table of Contents"/>
          <w:docPartUnique/>
        </w:docPartObj>
      </w:sdtPr>
      <w:sdtEndPr>
        <w:rPr>
          <w:b/>
        </w:rPr>
      </w:sdtEndPr>
      <w:sdtContent>
        <w:p w14:paraId="16DE13FA" w14:textId="77777777" w:rsidR="006939E1" w:rsidRPr="00846769" w:rsidRDefault="00B5740F">
          <w:pPr>
            <w:pStyle w:val="TOCHeading"/>
            <w:rPr>
              <w:rStyle w:val="Heading2Char"/>
            </w:rPr>
          </w:pPr>
          <w:r w:rsidRPr="00846769">
            <w:rPr>
              <w:rStyle w:val="Heading2Char"/>
            </w:rPr>
            <w:t>Contents</w:t>
          </w:r>
        </w:p>
        <w:p w14:paraId="403AAEC9" w14:textId="32116887" w:rsidR="00B840C5" w:rsidRDefault="00B5740F">
          <w:pPr>
            <w:pStyle w:val="TOC1"/>
            <w:rPr>
              <w:rFonts w:eastAsiaTheme="minorEastAsia"/>
              <w:b w:val="0"/>
              <w:kern w:val="2"/>
              <w:sz w:val="24"/>
              <w:szCs w:val="24"/>
              <w:lang w:eastAsia="en-AU"/>
              <w14:ligatures w14:val="standardContextual"/>
            </w:rPr>
          </w:pPr>
          <w:r w:rsidRPr="00846769">
            <w:rPr>
              <w:b w:val="0"/>
              <w:noProof w:val="0"/>
            </w:rPr>
            <w:fldChar w:fldCharType="begin"/>
          </w:r>
          <w:r w:rsidRPr="00846769">
            <w:rPr>
              <w:noProof w:val="0"/>
            </w:rPr>
            <w:instrText xml:space="preserve"> TOC \o "1-3" \h \z \u </w:instrText>
          </w:r>
          <w:r w:rsidRPr="00846769">
            <w:rPr>
              <w:noProof w:val="0"/>
            </w:rPr>
            <w:fldChar w:fldCharType="separate"/>
          </w:r>
          <w:hyperlink w:anchor="_Toc191998634" w:history="1">
            <w:r w:rsidR="00B840C5" w:rsidRPr="0021174C">
              <w:rPr>
                <w:rStyle w:val="Hyperlink"/>
              </w:rPr>
              <w:t>Response manual for invasive marine bivalves</w:t>
            </w:r>
            <w:r w:rsidR="00B840C5">
              <w:rPr>
                <w:webHidden/>
              </w:rPr>
              <w:tab/>
            </w:r>
            <w:r w:rsidR="00B840C5">
              <w:rPr>
                <w:webHidden/>
              </w:rPr>
              <w:fldChar w:fldCharType="begin"/>
            </w:r>
            <w:r w:rsidR="00B840C5">
              <w:rPr>
                <w:webHidden/>
              </w:rPr>
              <w:instrText xml:space="preserve"> PAGEREF _Toc191998634 \h </w:instrText>
            </w:r>
            <w:r w:rsidR="00B840C5">
              <w:rPr>
                <w:webHidden/>
              </w:rPr>
            </w:r>
            <w:r w:rsidR="00B840C5">
              <w:rPr>
                <w:webHidden/>
              </w:rPr>
              <w:fldChar w:fldCharType="separate"/>
            </w:r>
            <w:r w:rsidR="00B840C5">
              <w:rPr>
                <w:webHidden/>
              </w:rPr>
              <w:t>i</w:t>
            </w:r>
            <w:r w:rsidR="00B840C5">
              <w:rPr>
                <w:webHidden/>
              </w:rPr>
              <w:fldChar w:fldCharType="end"/>
            </w:r>
          </w:hyperlink>
        </w:p>
        <w:p w14:paraId="26502319" w14:textId="53B92820" w:rsidR="00B840C5" w:rsidRPr="008D3749" w:rsidRDefault="00B840C5" w:rsidP="008D3749">
          <w:pPr>
            <w:pStyle w:val="TOC2"/>
            <w:ind w:firstLine="270"/>
            <w:rPr>
              <w:rFonts w:eastAsiaTheme="minorEastAsia"/>
              <w:b/>
              <w:bCs/>
              <w:kern w:val="2"/>
              <w:sz w:val="24"/>
              <w:szCs w:val="24"/>
              <w:lang w:eastAsia="en-AU"/>
              <w14:ligatures w14:val="standardContextual"/>
            </w:rPr>
          </w:pPr>
          <w:hyperlink w:anchor="_Toc191998635" w:history="1">
            <w:r w:rsidRPr="008D3749">
              <w:rPr>
                <w:rStyle w:val="Hyperlink"/>
                <w:b/>
                <w:bCs/>
              </w:rPr>
              <w:t>Preface</w:t>
            </w:r>
            <w:r w:rsidRPr="008D3749">
              <w:rPr>
                <w:b/>
                <w:bCs/>
                <w:webHidden/>
              </w:rPr>
              <w:tab/>
            </w:r>
            <w:r w:rsidRPr="008D3749">
              <w:rPr>
                <w:b/>
                <w:bCs/>
                <w:webHidden/>
              </w:rPr>
              <w:fldChar w:fldCharType="begin"/>
            </w:r>
            <w:r w:rsidRPr="008D3749">
              <w:rPr>
                <w:b/>
                <w:bCs/>
                <w:webHidden/>
              </w:rPr>
              <w:instrText xml:space="preserve"> PAGEREF _Toc191998635 \h </w:instrText>
            </w:r>
            <w:r w:rsidRPr="008D3749">
              <w:rPr>
                <w:b/>
                <w:bCs/>
                <w:webHidden/>
              </w:rPr>
            </w:r>
            <w:r w:rsidRPr="008D3749">
              <w:rPr>
                <w:b/>
                <w:bCs/>
                <w:webHidden/>
              </w:rPr>
              <w:fldChar w:fldCharType="separate"/>
            </w:r>
            <w:r w:rsidRPr="008D3749">
              <w:rPr>
                <w:b/>
                <w:bCs/>
                <w:webHidden/>
              </w:rPr>
              <w:t>iii</w:t>
            </w:r>
            <w:r w:rsidRPr="008D3749">
              <w:rPr>
                <w:b/>
                <w:bCs/>
                <w:webHidden/>
              </w:rPr>
              <w:fldChar w:fldCharType="end"/>
            </w:r>
          </w:hyperlink>
        </w:p>
        <w:p w14:paraId="6B5F33E5" w14:textId="5EFD3056" w:rsidR="00B840C5" w:rsidRDefault="00B840C5" w:rsidP="008D3749">
          <w:pPr>
            <w:pStyle w:val="TOC3"/>
            <w:ind w:firstLine="630"/>
            <w:rPr>
              <w:rFonts w:eastAsiaTheme="minorEastAsia"/>
              <w:kern w:val="2"/>
              <w:sz w:val="24"/>
              <w:szCs w:val="24"/>
              <w:lang w:eastAsia="en-AU"/>
              <w14:ligatures w14:val="standardContextual"/>
            </w:rPr>
          </w:pPr>
          <w:hyperlink w:anchor="_Toc191998636" w:history="1">
            <w:r w:rsidRPr="0021174C">
              <w:rPr>
                <w:rStyle w:val="Hyperlink"/>
              </w:rPr>
              <w:t>Recommendations for amendments</w:t>
            </w:r>
            <w:r>
              <w:rPr>
                <w:webHidden/>
              </w:rPr>
              <w:tab/>
            </w:r>
            <w:r>
              <w:rPr>
                <w:webHidden/>
              </w:rPr>
              <w:fldChar w:fldCharType="begin"/>
            </w:r>
            <w:r>
              <w:rPr>
                <w:webHidden/>
              </w:rPr>
              <w:instrText xml:space="preserve"> PAGEREF _Toc191998636 \h </w:instrText>
            </w:r>
            <w:r>
              <w:rPr>
                <w:webHidden/>
              </w:rPr>
            </w:r>
            <w:r>
              <w:rPr>
                <w:webHidden/>
              </w:rPr>
              <w:fldChar w:fldCharType="separate"/>
            </w:r>
            <w:r>
              <w:rPr>
                <w:webHidden/>
              </w:rPr>
              <w:t>iv</w:t>
            </w:r>
            <w:r>
              <w:rPr>
                <w:webHidden/>
              </w:rPr>
              <w:fldChar w:fldCharType="end"/>
            </w:r>
          </w:hyperlink>
        </w:p>
        <w:p w14:paraId="3E56D2C6" w14:textId="692DB5A9" w:rsidR="00B840C5" w:rsidRDefault="00B840C5" w:rsidP="008D3749">
          <w:pPr>
            <w:pStyle w:val="TOC3"/>
            <w:ind w:firstLine="630"/>
            <w:rPr>
              <w:rFonts w:eastAsiaTheme="minorEastAsia"/>
              <w:kern w:val="2"/>
              <w:sz w:val="24"/>
              <w:szCs w:val="24"/>
              <w:lang w:eastAsia="en-AU"/>
              <w14:ligatures w14:val="standardContextual"/>
            </w:rPr>
          </w:pPr>
          <w:hyperlink w:anchor="_Toc191998637" w:history="1">
            <w:r w:rsidRPr="0021174C">
              <w:rPr>
                <w:rStyle w:val="Hyperlink"/>
              </w:rPr>
              <w:t>Tables</w:t>
            </w:r>
            <w:r>
              <w:rPr>
                <w:webHidden/>
              </w:rPr>
              <w:tab/>
            </w:r>
            <w:r>
              <w:rPr>
                <w:webHidden/>
              </w:rPr>
              <w:fldChar w:fldCharType="begin"/>
            </w:r>
            <w:r>
              <w:rPr>
                <w:webHidden/>
              </w:rPr>
              <w:instrText xml:space="preserve"> PAGEREF _Toc191998637 \h </w:instrText>
            </w:r>
            <w:r>
              <w:rPr>
                <w:webHidden/>
              </w:rPr>
            </w:r>
            <w:r>
              <w:rPr>
                <w:webHidden/>
              </w:rPr>
              <w:fldChar w:fldCharType="separate"/>
            </w:r>
            <w:r>
              <w:rPr>
                <w:webHidden/>
              </w:rPr>
              <w:t>vii</w:t>
            </w:r>
            <w:r>
              <w:rPr>
                <w:webHidden/>
              </w:rPr>
              <w:fldChar w:fldCharType="end"/>
            </w:r>
          </w:hyperlink>
        </w:p>
        <w:p w14:paraId="23E0D611" w14:textId="64C9146F" w:rsidR="00B840C5" w:rsidRDefault="00B840C5" w:rsidP="008D3749">
          <w:pPr>
            <w:pStyle w:val="TOC3"/>
            <w:ind w:firstLine="630"/>
            <w:rPr>
              <w:rFonts w:eastAsiaTheme="minorEastAsia"/>
              <w:kern w:val="2"/>
              <w:sz w:val="24"/>
              <w:szCs w:val="24"/>
              <w:lang w:eastAsia="en-AU"/>
              <w14:ligatures w14:val="standardContextual"/>
            </w:rPr>
          </w:pPr>
          <w:hyperlink w:anchor="_Toc191998638" w:history="1">
            <w:r w:rsidRPr="0021174C">
              <w:rPr>
                <w:rStyle w:val="Hyperlink"/>
              </w:rPr>
              <w:t>Figures</w:t>
            </w:r>
            <w:r>
              <w:rPr>
                <w:webHidden/>
              </w:rPr>
              <w:tab/>
            </w:r>
            <w:r>
              <w:rPr>
                <w:webHidden/>
              </w:rPr>
              <w:fldChar w:fldCharType="begin"/>
            </w:r>
            <w:r>
              <w:rPr>
                <w:webHidden/>
              </w:rPr>
              <w:instrText xml:space="preserve"> PAGEREF _Toc191998638 \h </w:instrText>
            </w:r>
            <w:r>
              <w:rPr>
                <w:webHidden/>
              </w:rPr>
            </w:r>
            <w:r>
              <w:rPr>
                <w:webHidden/>
              </w:rPr>
              <w:fldChar w:fldCharType="separate"/>
            </w:r>
            <w:r>
              <w:rPr>
                <w:webHidden/>
              </w:rPr>
              <w:t>vii</w:t>
            </w:r>
            <w:r>
              <w:rPr>
                <w:webHidden/>
              </w:rPr>
              <w:fldChar w:fldCharType="end"/>
            </w:r>
          </w:hyperlink>
        </w:p>
        <w:p w14:paraId="0380FF61" w14:textId="6D05E2FF" w:rsidR="00B840C5" w:rsidRDefault="00B840C5" w:rsidP="008D3749">
          <w:pPr>
            <w:pStyle w:val="TOC3"/>
            <w:ind w:firstLine="630"/>
            <w:rPr>
              <w:rFonts w:eastAsiaTheme="minorEastAsia"/>
              <w:kern w:val="2"/>
              <w:sz w:val="24"/>
              <w:szCs w:val="24"/>
              <w:lang w:eastAsia="en-AU"/>
              <w14:ligatures w14:val="standardContextual"/>
            </w:rPr>
          </w:pPr>
          <w:hyperlink w:anchor="_Toc191998639" w:history="1">
            <w:r w:rsidRPr="0021174C">
              <w:rPr>
                <w:rStyle w:val="Hyperlink"/>
              </w:rPr>
              <w:t>Photographs</w:t>
            </w:r>
            <w:r>
              <w:rPr>
                <w:webHidden/>
              </w:rPr>
              <w:tab/>
            </w:r>
            <w:r>
              <w:rPr>
                <w:webHidden/>
              </w:rPr>
              <w:fldChar w:fldCharType="begin"/>
            </w:r>
            <w:r>
              <w:rPr>
                <w:webHidden/>
              </w:rPr>
              <w:instrText xml:space="preserve"> PAGEREF _Toc191998639 \h </w:instrText>
            </w:r>
            <w:r>
              <w:rPr>
                <w:webHidden/>
              </w:rPr>
            </w:r>
            <w:r>
              <w:rPr>
                <w:webHidden/>
              </w:rPr>
              <w:fldChar w:fldCharType="separate"/>
            </w:r>
            <w:r>
              <w:rPr>
                <w:webHidden/>
              </w:rPr>
              <w:t>viii</w:t>
            </w:r>
            <w:r>
              <w:rPr>
                <w:webHidden/>
              </w:rPr>
              <w:fldChar w:fldCharType="end"/>
            </w:r>
          </w:hyperlink>
        </w:p>
        <w:p w14:paraId="06D1DE5E" w14:textId="64C53334" w:rsidR="00B840C5" w:rsidRDefault="00B840C5" w:rsidP="008D3749">
          <w:pPr>
            <w:pStyle w:val="TOC3"/>
            <w:ind w:firstLine="630"/>
            <w:rPr>
              <w:rFonts w:eastAsiaTheme="minorEastAsia"/>
              <w:kern w:val="2"/>
              <w:sz w:val="24"/>
              <w:szCs w:val="24"/>
              <w:lang w:eastAsia="en-AU"/>
              <w14:ligatures w14:val="standardContextual"/>
            </w:rPr>
          </w:pPr>
          <w:hyperlink w:anchor="_Toc191998640" w:history="1">
            <w:r w:rsidRPr="0021174C">
              <w:rPr>
                <w:rStyle w:val="Hyperlink"/>
              </w:rPr>
              <w:t>Maps</w:t>
            </w:r>
            <w:r>
              <w:rPr>
                <w:webHidden/>
              </w:rPr>
              <w:tab/>
            </w:r>
            <w:r>
              <w:rPr>
                <w:webHidden/>
              </w:rPr>
              <w:fldChar w:fldCharType="begin"/>
            </w:r>
            <w:r>
              <w:rPr>
                <w:webHidden/>
              </w:rPr>
              <w:instrText xml:space="preserve"> PAGEREF _Toc191998640 \h </w:instrText>
            </w:r>
            <w:r>
              <w:rPr>
                <w:webHidden/>
              </w:rPr>
            </w:r>
            <w:r>
              <w:rPr>
                <w:webHidden/>
              </w:rPr>
              <w:fldChar w:fldCharType="separate"/>
            </w:r>
            <w:r>
              <w:rPr>
                <w:webHidden/>
              </w:rPr>
              <w:t>ix</w:t>
            </w:r>
            <w:r>
              <w:rPr>
                <w:webHidden/>
              </w:rPr>
              <w:fldChar w:fldCharType="end"/>
            </w:r>
          </w:hyperlink>
        </w:p>
        <w:p w14:paraId="3C4C837B" w14:textId="7D7A821A" w:rsidR="00B840C5" w:rsidRPr="008D3749" w:rsidRDefault="00B840C5" w:rsidP="008D3749">
          <w:pPr>
            <w:pStyle w:val="TOC2"/>
            <w:ind w:firstLine="270"/>
            <w:rPr>
              <w:rFonts w:eastAsiaTheme="minorEastAsia"/>
              <w:b/>
              <w:bCs/>
              <w:kern w:val="2"/>
              <w:sz w:val="24"/>
              <w:szCs w:val="24"/>
              <w:lang w:eastAsia="en-AU"/>
              <w14:ligatures w14:val="standardContextual"/>
            </w:rPr>
          </w:pPr>
          <w:hyperlink w:anchor="_Toc191998641" w:history="1">
            <w:r w:rsidRPr="008D3749">
              <w:rPr>
                <w:rStyle w:val="Hyperlink"/>
                <w:b/>
                <w:bCs/>
              </w:rPr>
              <w:t>Introduction</w:t>
            </w:r>
            <w:r w:rsidRPr="008D3749">
              <w:rPr>
                <w:b/>
                <w:bCs/>
                <w:webHidden/>
              </w:rPr>
              <w:tab/>
            </w:r>
            <w:r w:rsidRPr="008D3749">
              <w:rPr>
                <w:b/>
                <w:bCs/>
                <w:webHidden/>
              </w:rPr>
              <w:fldChar w:fldCharType="begin"/>
            </w:r>
            <w:r w:rsidRPr="008D3749">
              <w:rPr>
                <w:b/>
                <w:bCs/>
                <w:webHidden/>
              </w:rPr>
              <w:instrText xml:space="preserve"> PAGEREF _Toc191998641 \h </w:instrText>
            </w:r>
            <w:r w:rsidRPr="008D3749">
              <w:rPr>
                <w:b/>
                <w:bCs/>
                <w:webHidden/>
              </w:rPr>
            </w:r>
            <w:r w:rsidRPr="008D3749">
              <w:rPr>
                <w:b/>
                <w:bCs/>
                <w:webHidden/>
              </w:rPr>
              <w:fldChar w:fldCharType="separate"/>
            </w:r>
            <w:r w:rsidRPr="008D3749">
              <w:rPr>
                <w:b/>
                <w:bCs/>
                <w:webHidden/>
              </w:rPr>
              <w:t>1</w:t>
            </w:r>
            <w:r w:rsidRPr="008D3749">
              <w:rPr>
                <w:b/>
                <w:bCs/>
                <w:webHidden/>
              </w:rPr>
              <w:fldChar w:fldCharType="end"/>
            </w:r>
          </w:hyperlink>
        </w:p>
        <w:p w14:paraId="5E5CDC86" w14:textId="5A61C7CC" w:rsidR="00B840C5" w:rsidRDefault="00B840C5" w:rsidP="008D3749">
          <w:pPr>
            <w:pStyle w:val="TOC3"/>
            <w:ind w:firstLine="630"/>
            <w:rPr>
              <w:rFonts w:eastAsiaTheme="minorEastAsia"/>
              <w:kern w:val="2"/>
              <w:sz w:val="24"/>
              <w:szCs w:val="24"/>
              <w:lang w:eastAsia="en-AU"/>
              <w14:ligatures w14:val="standardContextual"/>
            </w:rPr>
          </w:pPr>
          <w:hyperlink w:anchor="_Toc191998642" w:history="1">
            <w:r w:rsidRPr="0021174C">
              <w:rPr>
                <w:rStyle w:val="Hyperlink"/>
              </w:rPr>
              <w:t>Manual purpose</w:t>
            </w:r>
            <w:r>
              <w:rPr>
                <w:webHidden/>
              </w:rPr>
              <w:tab/>
            </w:r>
            <w:r>
              <w:rPr>
                <w:webHidden/>
              </w:rPr>
              <w:fldChar w:fldCharType="begin"/>
            </w:r>
            <w:r>
              <w:rPr>
                <w:webHidden/>
              </w:rPr>
              <w:instrText xml:space="preserve"> PAGEREF _Toc191998642 \h </w:instrText>
            </w:r>
            <w:r>
              <w:rPr>
                <w:webHidden/>
              </w:rPr>
            </w:r>
            <w:r>
              <w:rPr>
                <w:webHidden/>
              </w:rPr>
              <w:fldChar w:fldCharType="separate"/>
            </w:r>
            <w:r>
              <w:rPr>
                <w:webHidden/>
              </w:rPr>
              <w:t>1</w:t>
            </w:r>
            <w:r>
              <w:rPr>
                <w:webHidden/>
              </w:rPr>
              <w:fldChar w:fldCharType="end"/>
            </w:r>
          </w:hyperlink>
        </w:p>
        <w:p w14:paraId="2B84EE87" w14:textId="3E457EF7" w:rsidR="00B840C5" w:rsidRDefault="00B840C5" w:rsidP="008D3749">
          <w:pPr>
            <w:pStyle w:val="TOC3"/>
            <w:ind w:firstLine="630"/>
            <w:rPr>
              <w:rFonts w:eastAsiaTheme="minorEastAsia"/>
              <w:kern w:val="2"/>
              <w:sz w:val="24"/>
              <w:szCs w:val="24"/>
              <w:lang w:eastAsia="en-AU"/>
              <w14:ligatures w14:val="standardContextual"/>
            </w:rPr>
          </w:pPr>
          <w:hyperlink w:anchor="_Toc191998643" w:history="1">
            <w:r w:rsidRPr="0021174C">
              <w:rPr>
                <w:rStyle w:val="Hyperlink"/>
              </w:rPr>
              <w:t>Manual format</w:t>
            </w:r>
            <w:r>
              <w:rPr>
                <w:webHidden/>
              </w:rPr>
              <w:tab/>
            </w:r>
            <w:r>
              <w:rPr>
                <w:webHidden/>
              </w:rPr>
              <w:fldChar w:fldCharType="begin"/>
            </w:r>
            <w:r>
              <w:rPr>
                <w:webHidden/>
              </w:rPr>
              <w:instrText xml:space="preserve"> PAGEREF _Toc191998643 \h </w:instrText>
            </w:r>
            <w:r>
              <w:rPr>
                <w:webHidden/>
              </w:rPr>
            </w:r>
            <w:r>
              <w:rPr>
                <w:webHidden/>
              </w:rPr>
              <w:fldChar w:fldCharType="separate"/>
            </w:r>
            <w:r>
              <w:rPr>
                <w:webHidden/>
              </w:rPr>
              <w:t>2</w:t>
            </w:r>
            <w:r>
              <w:rPr>
                <w:webHidden/>
              </w:rPr>
              <w:fldChar w:fldCharType="end"/>
            </w:r>
          </w:hyperlink>
        </w:p>
        <w:p w14:paraId="25BF6F76" w14:textId="593506DC" w:rsidR="00B840C5" w:rsidRDefault="00B840C5" w:rsidP="008D3749">
          <w:pPr>
            <w:pStyle w:val="TOC3"/>
            <w:ind w:firstLine="630"/>
            <w:rPr>
              <w:rFonts w:eastAsiaTheme="minorEastAsia"/>
              <w:kern w:val="2"/>
              <w:sz w:val="24"/>
              <w:szCs w:val="24"/>
              <w:lang w:eastAsia="en-AU"/>
              <w14:ligatures w14:val="standardContextual"/>
            </w:rPr>
          </w:pPr>
          <w:hyperlink w:anchor="_Toc191998644" w:history="1">
            <w:r w:rsidRPr="0021174C">
              <w:rPr>
                <w:rStyle w:val="Hyperlink"/>
              </w:rPr>
              <w:t>Manual scope</w:t>
            </w:r>
            <w:r>
              <w:rPr>
                <w:webHidden/>
              </w:rPr>
              <w:tab/>
            </w:r>
            <w:r>
              <w:rPr>
                <w:webHidden/>
              </w:rPr>
              <w:fldChar w:fldCharType="begin"/>
            </w:r>
            <w:r>
              <w:rPr>
                <w:webHidden/>
              </w:rPr>
              <w:instrText xml:space="preserve"> PAGEREF _Toc191998644 \h </w:instrText>
            </w:r>
            <w:r>
              <w:rPr>
                <w:webHidden/>
              </w:rPr>
            </w:r>
            <w:r>
              <w:rPr>
                <w:webHidden/>
              </w:rPr>
              <w:fldChar w:fldCharType="separate"/>
            </w:r>
            <w:r>
              <w:rPr>
                <w:webHidden/>
              </w:rPr>
              <w:t>3</w:t>
            </w:r>
            <w:r>
              <w:rPr>
                <w:webHidden/>
              </w:rPr>
              <w:fldChar w:fldCharType="end"/>
            </w:r>
          </w:hyperlink>
        </w:p>
        <w:p w14:paraId="3C23C11B" w14:textId="607F12BD" w:rsidR="00B840C5" w:rsidRDefault="00B840C5" w:rsidP="008D3749">
          <w:pPr>
            <w:pStyle w:val="TOC3"/>
            <w:ind w:firstLine="630"/>
            <w:rPr>
              <w:rFonts w:eastAsiaTheme="minorEastAsia"/>
              <w:kern w:val="2"/>
              <w:sz w:val="24"/>
              <w:szCs w:val="24"/>
              <w:lang w:eastAsia="en-AU"/>
              <w14:ligatures w14:val="standardContextual"/>
            </w:rPr>
          </w:pPr>
          <w:hyperlink w:anchor="_Toc191998645" w:history="1">
            <w:r w:rsidRPr="0021174C">
              <w:rPr>
                <w:rStyle w:val="Hyperlink"/>
              </w:rPr>
              <w:t>General bivalve biology</w:t>
            </w:r>
            <w:r>
              <w:rPr>
                <w:webHidden/>
              </w:rPr>
              <w:tab/>
            </w:r>
            <w:r>
              <w:rPr>
                <w:webHidden/>
              </w:rPr>
              <w:fldChar w:fldCharType="begin"/>
            </w:r>
            <w:r>
              <w:rPr>
                <w:webHidden/>
              </w:rPr>
              <w:instrText xml:space="preserve"> PAGEREF _Toc191998645 \h </w:instrText>
            </w:r>
            <w:r>
              <w:rPr>
                <w:webHidden/>
              </w:rPr>
            </w:r>
            <w:r>
              <w:rPr>
                <w:webHidden/>
              </w:rPr>
              <w:fldChar w:fldCharType="separate"/>
            </w:r>
            <w:r>
              <w:rPr>
                <w:webHidden/>
              </w:rPr>
              <w:t>7</w:t>
            </w:r>
            <w:r>
              <w:rPr>
                <w:webHidden/>
              </w:rPr>
              <w:fldChar w:fldCharType="end"/>
            </w:r>
          </w:hyperlink>
        </w:p>
        <w:p w14:paraId="42B40E56" w14:textId="131FCDFC" w:rsidR="00B840C5" w:rsidRDefault="00B840C5" w:rsidP="008D3749">
          <w:pPr>
            <w:pStyle w:val="TOC3"/>
            <w:ind w:firstLine="630"/>
            <w:rPr>
              <w:rFonts w:eastAsiaTheme="minorEastAsia"/>
              <w:kern w:val="2"/>
              <w:sz w:val="24"/>
              <w:szCs w:val="24"/>
              <w:lang w:eastAsia="en-AU"/>
              <w14:ligatures w14:val="standardContextual"/>
            </w:rPr>
          </w:pPr>
          <w:hyperlink w:anchor="_Toc191998646" w:history="1">
            <w:r w:rsidRPr="0021174C">
              <w:rPr>
                <w:rStyle w:val="Hyperlink"/>
              </w:rPr>
              <w:t>Bivalve diseases</w:t>
            </w:r>
            <w:r>
              <w:rPr>
                <w:webHidden/>
              </w:rPr>
              <w:tab/>
            </w:r>
            <w:r>
              <w:rPr>
                <w:webHidden/>
              </w:rPr>
              <w:fldChar w:fldCharType="begin"/>
            </w:r>
            <w:r>
              <w:rPr>
                <w:webHidden/>
              </w:rPr>
              <w:instrText xml:space="preserve"> PAGEREF _Toc191998646 \h </w:instrText>
            </w:r>
            <w:r>
              <w:rPr>
                <w:webHidden/>
              </w:rPr>
            </w:r>
            <w:r>
              <w:rPr>
                <w:webHidden/>
              </w:rPr>
              <w:fldChar w:fldCharType="separate"/>
            </w:r>
            <w:r>
              <w:rPr>
                <w:webHidden/>
              </w:rPr>
              <w:t>10</w:t>
            </w:r>
            <w:r>
              <w:rPr>
                <w:webHidden/>
              </w:rPr>
              <w:fldChar w:fldCharType="end"/>
            </w:r>
          </w:hyperlink>
        </w:p>
        <w:p w14:paraId="1096D7CE" w14:textId="3BCE4B82" w:rsidR="00B840C5" w:rsidRDefault="00B840C5" w:rsidP="008D3749">
          <w:pPr>
            <w:pStyle w:val="TOC3"/>
            <w:ind w:firstLine="630"/>
            <w:rPr>
              <w:rFonts w:eastAsiaTheme="minorEastAsia"/>
              <w:kern w:val="2"/>
              <w:sz w:val="24"/>
              <w:szCs w:val="24"/>
              <w:lang w:eastAsia="en-AU"/>
              <w14:ligatures w14:val="standardContextual"/>
            </w:rPr>
          </w:pPr>
          <w:hyperlink w:anchor="_Toc191998647" w:history="1">
            <w:r w:rsidRPr="0021174C">
              <w:rPr>
                <w:rStyle w:val="Hyperlink"/>
              </w:rPr>
              <w:t>Aquaculture</w:t>
            </w:r>
            <w:r>
              <w:rPr>
                <w:webHidden/>
              </w:rPr>
              <w:tab/>
            </w:r>
            <w:r>
              <w:rPr>
                <w:webHidden/>
              </w:rPr>
              <w:fldChar w:fldCharType="begin"/>
            </w:r>
            <w:r>
              <w:rPr>
                <w:webHidden/>
              </w:rPr>
              <w:instrText xml:space="preserve"> PAGEREF _Toc191998647 \h </w:instrText>
            </w:r>
            <w:r>
              <w:rPr>
                <w:webHidden/>
              </w:rPr>
            </w:r>
            <w:r>
              <w:rPr>
                <w:webHidden/>
              </w:rPr>
              <w:fldChar w:fldCharType="separate"/>
            </w:r>
            <w:r>
              <w:rPr>
                <w:webHidden/>
              </w:rPr>
              <w:t>12</w:t>
            </w:r>
            <w:r>
              <w:rPr>
                <w:webHidden/>
              </w:rPr>
              <w:fldChar w:fldCharType="end"/>
            </w:r>
          </w:hyperlink>
        </w:p>
        <w:p w14:paraId="05E1B628" w14:textId="1BD289EF" w:rsidR="00B840C5" w:rsidRDefault="00B840C5" w:rsidP="008D3749">
          <w:pPr>
            <w:pStyle w:val="TOC3"/>
            <w:ind w:firstLine="630"/>
            <w:rPr>
              <w:rFonts w:eastAsiaTheme="minorEastAsia"/>
              <w:kern w:val="2"/>
              <w:sz w:val="24"/>
              <w:szCs w:val="24"/>
              <w:lang w:eastAsia="en-AU"/>
              <w14:ligatures w14:val="standardContextual"/>
            </w:rPr>
          </w:pPr>
          <w:hyperlink w:anchor="_Toc191998648" w:history="1">
            <w:r w:rsidRPr="0021174C">
              <w:rPr>
                <w:rStyle w:val="Hyperlink"/>
              </w:rPr>
              <w:t>Overview of invasive marine bivalve management</w:t>
            </w:r>
            <w:r>
              <w:rPr>
                <w:webHidden/>
              </w:rPr>
              <w:tab/>
            </w:r>
            <w:r>
              <w:rPr>
                <w:webHidden/>
              </w:rPr>
              <w:fldChar w:fldCharType="begin"/>
            </w:r>
            <w:r>
              <w:rPr>
                <w:webHidden/>
              </w:rPr>
              <w:instrText xml:space="preserve"> PAGEREF _Toc191998648 \h </w:instrText>
            </w:r>
            <w:r>
              <w:rPr>
                <w:webHidden/>
              </w:rPr>
            </w:r>
            <w:r>
              <w:rPr>
                <w:webHidden/>
              </w:rPr>
              <w:fldChar w:fldCharType="separate"/>
            </w:r>
            <w:r>
              <w:rPr>
                <w:webHidden/>
              </w:rPr>
              <w:t>13</w:t>
            </w:r>
            <w:r>
              <w:rPr>
                <w:webHidden/>
              </w:rPr>
              <w:fldChar w:fldCharType="end"/>
            </w:r>
          </w:hyperlink>
        </w:p>
        <w:p w14:paraId="3F15D879" w14:textId="47E039DB" w:rsidR="00B840C5" w:rsidRPr="008D3749" w:rsidRDefault="00B840C5" w:rsidP="008D3749">
          <w:pPr>
            <w:pStyle w:val="TOC2"/>
            <w:tabs>
              <w:tab w:val="left" w:pos="630"/>
            </w:tabs>
            <w:ind w:firstLine="270"/>
            <w:rPr>
              <w:rFonts w:eastAsiaTheme="minorEastAsia"/>
              <w:b/>
              <w:bCs/>
              <w:kern w:val="2"/>
              <w:sz w:val="24"/>
              <w:szCs w:val="24"/>
              <w:lang w:eastAsia="en-AU"/>
              <w14:ligatures w14:val="standardContextual"/>
            </w:rPr>
          </w:pPr>
          <w:hyperlink w:anchor="_Toc191998649" w:history="1">
            <w:r w:rsidRPr="008D3749">
              <w:rPr>
                <w:rStyle w:val="Hyperlink"/>
                <w:b/>
                <w:bCs/>
              </w:rPr>
              <w:t>1</w:t>
            </w:r>
            <w:r w:rsidR="008D3749">
              <w:rPr>
                <w:rStyle w:val="Hyperlink"/>
                <w:b/>
                <w:bCs/>
              </w:rPr>
              <w:tab/>
            </w:r>
            <w:r w:rsidRPr="008D3749">
              <w:rPr>
                <w:rStyle w:val="Hyperlink"/>
                <w:b/>
                <w:bCs/>
              </w:rPr>
              <w:t>Guidance and rationale for incursion response</w:t>
            </w:r>
            <w:r w:rsidRPr="008D3749">
              <w:rPr>
                <w:b/>
                <w:bCs/>
                <w:webHidden/>
              </w:rPr>
              <w:tab/>
            </w:r>
            <w:r w:rsidRPr="008D3749">
              <w:rPr>
                <w:b/>
                <w:bCs/>
                <w:webHidden/>
              </w:rPr>
              <w:fldChar w:fldCharType="begin"/>
            </w:r>
            <w:r w:rsidRPr="008D3749">
              <w:rPr>
                <w:b/>
                <w:bCs/>
                <w:webHidden/>
              </w:rPr>
              <w:instrText xml:space="preserve"> PAGEREF _Toc191998649 \h </w:instrText>
            </w:r>
            <w:r w:rsidRPr="008D3749">
              <w:rPr>
                <w:b/>
                <w:bCs/>
                <w:webHidden/>
              </w:rPr>
            </w:r>
            <w:r w:rsidRPr="008D3749">
              <w:rPr>
                <w:b/>
                <w:bCs/>
                <w:webHidden/>
              </w:rPr>
              <w:fldChar w:fldCharType="separate"/>
            </w:r>
            <w:r w:rsidRPr="008D3749">
              <w:rPr>
                <w:b/>
                <w:bCs/>
                <w:webHidden/>
              </w:rPr>
              <w:t>14</w:t>
            </w:r>
            <w:r w:rsidRPr="008D3749">
              <w:rPr>
                <w:b/>
                <w:bCs/>
                <w:webHidden/>
              </w:rPr>
              <w:fldChar w:fldCharType="end"/>
            </w:r>
          </w:hyperlink>
        </w:p>
        <w:p w14:paraId="441E7FC9" w14:textId="1FB4C2DF" w:rsidR="00B840C5" w:rsidRDefault="00B840C5" w:rsidP="008D3749">
          <w:pPr>
            <w:pStyle w:val="TOC3"/>
            <w:tabs>
              <w:tab w:val="left" w:pos="810"/>
              <w:tab w:val="left" w:pos="1260"/>
            </w:tabs>
            <w:ind w:firstLine="630"/>
            <w:rPr>
              <w:rFonts w:eastAsiaTheme="minorEastAsia"/>
              <w:kern w:val="2"/>
              <w:sz w:val="24"/>
              <w:szCs w:val="24"/>
              <w:lang w:eastAsia="en-AU"/>
              <w14:ligatures w14:val="standardContextual"/>
            </w:rPr>
          </w:pPr>
          <w:hyperlink w:anchor="_Toc191998650" w:history="1">
            <w:r w:rsidRPr="0021174C">
              <w:rPr>
                <w:rStyle w:val="Hyperlink"/>
                <w:lang w:eastAsia="ja-JP"/>
              </w:rPr>
              <w:t>1.1</w:t>
            </w:r>
            <w:r>
              <w:rPr>
                <w:rFonts w:eastAsiaTheme="minorEastAsia"/>
                <w:kern w:val="2"/>
                <w:sz w:val="24"/>
                <w:szCs w:val="24"/>
                <w:lang w:eastAsia="en-AU"/>
                <w14:ligatures w14:val="standardContextual"/>
              </w:rPr>
              <w:tab/>
            </w:r>
            <w:r w:rsidRPr="0021174C">
              <w:rPr>
                <w:rStyle w:val="Hyperlink"/>
                <w:lang w:eastAsia="ja-JP"/>
              </w:rPr>
              <w:t>Sources of information</w:t>
            </w:r>
            <w:r>
              <w:rPr>
                <w:webHidden/>
              </w:rPr>
              <w:tab/>
            </w:r>
            <w:r>
              <w:rPr>
                <w:webHidden/>
              </w:rPr>
              <w:fldChar w:fldCharType="begin"/>
            </w:r>
            <w:r>
              <w:rPr>
                <w:webHidden/>
              </w:rPr>
              <w:instrText xml:space="preserve"> PAGEREF _Toc191998650 \h </w:instrText>
            </w:r>
            <w:r>
              <w:rPr>
                <w:webHidden/>
              </w:rPr>
            </w:r>
            <w:r>
              <w:rPr>
                <w:webHidden/>
              </w:rPr>
              <w:fldChar w:fldCharType="separate"/>
            </w:r>
            <w:r>
              <w:rPr>
                <w:webHidden/>
              </w:rPr>
              <w:t>14</w:t>
            </w:r>
            <w:r>
              <w:rPr>
                <w:webHidden/>
              </w:rPr>
              <w:fldChar w:fldCharType="end"/>
            </w:r>
          </w:hyperlink>
        </w:p>
        <w:p w14:paraId="61191616" w14:textId="31CD5CFB" w:rsidR="00B840C5" w:rsidRDefault="00B840C5" w:rsidP="008D3749">
          <w:pPr>
            <w:pStyle w:val="TOC3"/>
            <w:tabs>
              <w:tab w:val="left" w:pos="810"/>
              <w:tab w:val="left" w:pos="1260"/>
            </w:tabs>
            <w:ind w:firstLine="630"/>
            <w:rPr>
              <w:rFonts w:eastAsiaTheme="minorEastAsia"/>
              <w:kern w:val="2"/>
              <w:sz w:val="24"/>
              <w:szCs w:val="24"/>
              <w:lang w:eastAsia="en-AU"/>
              <w14:ligatures w14:val="standardContextual"/>
            </w:rPr>
          </w:pPr>
          <w:hyperlink w:anchor="_Toc191998651" w:history="1">
            <w:r w:rsidRPr="0021174C">
              <w:rPr>
                <w:rStyle w:val="Hyperlink"/>
                <w:lang w:eastAsia="ja-JP"/>
              </w:rPr>
              <w:t>1.2</w:t>
            </w:r>
            <w:r>
              <w:rPr>
                <w:rFonts w:eastAsiaTheme="minorEastAsia"/>
                <w:kern w:val="2"/>
                <w:sz w:val="24"/>
                <w:szCs w:val="24"/>
                <w:lang w:eastAsia="en-AU"/>
                <w14:ligatures w14:val="standardContextual"/>
              </w:rPr>
              <w:tab/>
            </w:r>
            <w:r w:rsidRPr="0021174C">
              <w:rPr>
                <w:rStyle w:val="Hyperlink"/>
                <w:lang w:eastAsia="ja-JP"/>
              </w:rPr>
              <w:t>Policies for management of marine pest responses in Australian waters</w:t>
            </w:r>
            <w:r>
              <w:rPr>
                <w:webHidden/>
              </w:rPr>
              <w:tab/>
            </w:r>
            <w:r>
              <w:rPr>
                <w:webHidden/>
              </w:rPr>
              <w:fldChar w:fldCharType="begin"/>
            </w:r>
            <w:r>
              <w:rPr>
                <w:webHidden/>
              </w:rPr>
              <w:instrText xml:space="preserve"> PAGEREF _Toc191998651 \h </w:instrText>
            </w:r>
            <w:r>
              <w:rPr>
                <w:webHidden/>
              </w:rPr>
            </w:r>
            <w:r>
              <w:rPr>
                <w:webHidden/>
              </w:rPr>
              <w:fldChar w:fldCharType="separate"/>
            </w:r>
            <w:r>
              <w:rPr>
                <w:webHidden/>
              </w:rPr>
              <w:t>15</w:t>
            </w:r>
            <w:r>
              <w:rPr>
                <w:webHidden/>
              </w:rPr>
              <w:fldChar w:fldCharType="end"/>
            </w:r>
          </w:hyperlink>
        </w:p>
        <w:p w14:paraId="1A71428E" w14:textId="30B40D40" w:rsidR="00B840C5" w:rsidRDefault="00B840C5" w:rsidP="008D3749">
          <w:pPr>
            <w:pStyle w:val="TOC3"/>
            <w:tabs>
              <w:tab w:val="left" w:pos="810"/>
              <w:tab w:val="left" w:pos="1260"/>
            </w:tabs>
            <w:ind w:firstLine="630"/>
            <w:rPr>
              <w:rFonts w:eastAsiaTheme="minorEastAsia"/>
              <w:kern w:val="2"/>
              <w:sz w:val="24"/>
              <w:szCs w:val="24"/>
              <w:lang w:eastAsia="en-AU"/>
              <w14:ligatures w14:val="standardContextual"/>
            </w:rPr>
          </w:pPr>
          <w:hyperlink w:anchor="_Toc191998652" w:history="1">
            <w:r w:rsidRPr="0021174C">
              <w:rPr>
                <w:rStyle w:val="Hyperlink"/>
              </w:rPr>
              <w:t>1.3</w:t>
            </w:r>
            <w:r>
              <w:rPr>
                <w:rFonts w:eastAsiaTheme="minorEastAsia"/>
                <w:kern w:val="2"/>
                <w:sz w:val="24"/>
                <w:szCs w:val="24"/>
                <w:lang w:eastAsia="en-AU"/>
                <w14:ligatures w14:val="standardContextual"/>
              </w:rPr>
              <w:tab/>
            </w:r>
            <w:r w:rsidRPr="0021174C">
              <w:rPr>
                <w:rStyle w:val="Hyperlink"/>
              </w:rPr>
              <w:t>Funding of operations and compensation</w:t>
            </w:r>
            <w:r>
              <w:rPr>
                <w:webHidden/>
              </w:rPr>
              <w:tab/>
            </w:r>
            <w:r>
              <w:rPr>
                <w:webHidden/>
              </w:rPr>
              <w:fldChar w:fldCharType="begin"/>
            </w:r>
            <w:r>
              <w:rPr>
                <w:webHidden/>
              </w:rPr>
              <w:instrText xml:space="preserve"> PAGEREF _Toc191998652 \h </w:instrText>
            </w:r>
            <w:r>
              <w:rPr>
                <w:webHidden/>
              </w:rPr>
            </w:r>
            <w:r>
              <w:rPr>
                <w:webHidden/>
              </w:rPr>
              <w:fldChar w:fldCharType="separate"/>
            </w:r>
            <w:r>
              <w:rPr>
                <w:webHidden/>
              </w:rPr>
              <w:t>16</w:t>
            </w:r>
            <w:r>
              <w:rPr>
                <w:webHidden/>
              </w:rPr>
              <w:fldChar w:fldCharType="end"/>
            </w:r>
          </w:hyperlink>
        </w:p>
        <w:p w14:paraId="0612FF08" w14:textId="16DF243F" w:rsidR="00B840C5" w:rsidRDefault="00B840C5" w:rsidP="008D3749">
          <w:pPr>
            <w:pStyle w:val="TOC3"/>
            <w:tabs>
              <w:tab w:val="left" w:pos="810"/>
              <w:tab w:val="left" w:pos="1260"/>
            </w:tabs>
            <w:ind w:firstLine="630"/>
            <w:rPr>
              <w:rFonts w:eastAsiaTheme="minorEastAsia"/>
              <w:kern w:val="2"/>
              <w:sz w:val="24"/>
              <w:szCs w:val="24"/>
              <w:lang w:eastAsia="en-AU"/>
              <w14:ligatures w14:val="standardContextual"/>
            </w:rPr>
          </w:pPr>
          <w:hyperlink w:anchor="_Toc191998653" w:history="1">
            <w:r w:rsidRPr="0021174C">
              <w:rPr>
                <w:rStyle w:val="Hyperlink"/>
                <w:lang w:eastAsia="ja-JP"/>
              </w:rPr>
              <w:t>1.4</w:t>
            </w:r>
            <w:r>
              <w:rPr>
                <w:rFonts w:eastAsiaTheme="minorEastAsia"/>
                <w:kern w:val="2"/>
                <w:sz w:val="24"/>
                <w:szCs w:val="24"/>
                <w:lang w:eastAsia="en-AU"/>
                <w14:ligatures w14:val="standardContextual"/>
              </w:rPr>
              <w:tab/>
            </w:r>
            <w:r w:rsidRPr="0021174C">
              <w:rPr>
                <w:rStyle w:val="Hyperlink"/>
                <w:lang w:eastAsia="ja-JP"/>
              </w:rPr>
              <w:t>Decision points</w:t>
            </w:r>
            <w:r>
              <w:rPr>
                <w:webHidden/>
              </w:rPr>
              <w:tab/>
            </w:r>
            <w:r>
              <w:rPr>
                <w:webHidden/>
              </w:rPr>
              <w:fldChar w:fldCharType="begin"/>
            </w:r>
            <w:r>
              <w:rPr>
                <w:webHidden/>
              </w:rPr>
              <w:instrText xml:space="preserve"> PAGEREF _Toc191998653 \h </w:instrText>
            </w:r>
            <w:r>
              <w:rPr>
                <w:webHidden/>
              </w:rPr>
            </w:r>
            <w:r>
              <w:rPr>
                <w:webHidden/>
              </w:rPr>
              <w:fldChar w:fldCharType="separate"/>
            </w:r>
            <w:r>
              <w:rPr>
                <w:webHidden/>
              </w:rPr>
              <w:t>17</w:t>
            </w:r>
            <w:r>
              <w:rPr>
                <w:webHidden/>
              </w:rPr>
              <w:fldChar w:fldCharType="end"/>
            </w:r>
          </w:hyperlink>
        </w:p>
        <w:p w14:paraId="21CE8749" w14:textId="6F9AF368" w:rsidR="00B840C5" w:rsidRDefault="00B840C5" w:rsidP="008D3749">
          <w:pPr>
            <w:pStyle w:val="TOC3"/>
            <w:tabs>
              <w:tab w:val="left" w:pos="810"/>
              <w:tab w:val="left" w:pos="1260"/>
            </w:tabs>
            <w:ind w:firstLine="630"/>
            <w:rPr>
              <w:rFonts w:eastAsiaTheme="minorEastAsia"/>
              <w:kern w:val="2"/>
              <w:sz w:val="24"/>
              <w:szCs w:val="24"/>
              <w:lang w:eastAsia="en-AU"/>
              <w14:ligatures w14:val="standardContextual"/>
            </w:rPr>
          </w:pPr>
          <w:hyperlink w:anchor="_Toc191998654" w:history="1">
            <w:r w:rsidRPr="0021174C">
              <w:rPr>
                <w:rStyle w:val="Hyperlink"/>
                <w:lang w:eastAsia="ja-JP"/>
              </w:rPr>
              <w:t>1.5</w:t>
            </w:r>
            <w:r>
              <w:rPr>
                <w:rFonts w:eastAsiaTheme="minorEastAsia"/>
                <w:kern w:val="2"/>
                <w:sz w:val="24"/>
                <w:szCs w:val="24"/>
                <w:lang w:eastAsia="en-AU"/>
                <w14:ligatures w14:val="standardContextual"/>
              </w:rPr>
              <w:tab/>
            </w:r>
            <w:r w:rsidRPr="0021174C">
              <w:rPr>
                <w:rStyle w:val="Hyperlink"/>
                <w:lang w:eastAsia="ja-JP"/>
              </w:rPr>
              <w:t>Health, safety, and environment</w:t>
            </w:r>
            <w:r>
              <w:rPr>
                <w:webHidden/>
              </w:rPr>
              <w:tab/>
            </w:r>
            <w:r>
              <w:rPr>
                <w:webHidden/>
              </w:rPr>
              <w:fldChar w:fldCharType="begin"/>
            </w:r>
            <w:r>
              <w:rPr>
                <w:webHidden/>
              </w:rPr>
              <w:instrText xml:space="preserve"> PAGEREF _Toc191998654 \h </w:instrText>
            </w:r>
            <w:r>
              <w:rPr>
                <w:webHidden/>
              </w:rPr>
            </w:r>
            <w:r>
              <w:rPr>
                <w:webHidden/>
              </w:rPr>
              <w:fldChar w:fldCharType="separate"/>
            </w:r>
            <w:r>
              <w:rPr>
                <w:webHidden/>
              </w:rPr>
              <w:t>18</w:t>
            </w:r>
            <w:r>
              <w:rPr>
                <w:webHidden/>
              </w:rPr>
              <w:fldChar w:fldCharType="end"/>
            </w:r>
          </w:hyperlink>
        </w:p>
        <w:p w14:paraId="0B28C9E6" w14:textId="43A34C20" w:rsidR="00B840C5" w:rsidRPr="008D3749" w:rsidRDefault="00B840C5" w:rsidP="008D3749">
          <w:pPr>
            <w:pStyle w:val="TOC2"/>
            <w:tabs>
              <w:tab w:val="left" w:pos="630"/>
            </w:tabs>
            <w:ind w:firstLine="270"/>
            <w:rPr>
              <w:rFonts w:eastAsiaTheme="minorEastAsia"/>
              <w:b/>
              <w:bCs/>
              <w:kern w:val="2"/>
              <w:sz w:val="24"/>
              <w:szCs w:val="24"/>
              <w:lang w:eastAsia="en-AU"/>
              <w14:ligatures w14:val="standardContextual"/>
            </w:rPr>
          </w:pPr>
          <w:hyperlink w:anchor="_Toc191998655" w:history="1">
            <w:r w:rsidRPr="008D3749">
              <w:rPr>
                <w:rStyle w:val="Hyperlink"/>
                <w:b/>
                <w:bCs/>
              </w:rPr>
              <w:t>2</w:t>
            </w:r>
            <w:r w:rsidRPr="008D3749">
              <w:rPr>
                <w:rFonts w:eastAsiaTheme="minorEastAsia"/>
                <w:b/>
                <w:bCs/>
                <w:kern w:val="2"/>
                <w:sz w:val="24"/>
                <w:szCs w:val="24"/>
                <w:lang w:eastAsia="en-AU"/>
                <w14:ligatures w14:val="standardContextual"/>
              </w:rPr>
              <w:tab/>
            </w:r>
            <w:r w:rsidRPr="008D3749">
              <w:rPr>
                <w:rStyle w:val="Hyperlink"/>
                <w:b/>
                <w:bCs/>
              </w:rPr>
              <w:t>Pathways and vectors of introduction and spread</w:t>
            </w:r>
            <w:r w:rsidRPr="008D3749">
              <w:rPr>
                <w:b/>
                <w:bCs/>
                <w:webHidden/>
              </w:rPr>
              <w:tab/>
            </w:r>
            <w:r w:rsidRPr="008D3749">
              <w:rPr>
                <w:b/>
                <w:bCs/>
                <w:webHidden/>
              </w:rPr>
              <w:fldChar w:fldCharType="begin"/>
            </w:r>
            <w:r w:rsidRPr="008D3749">
              <w:rPr>
                <w:b/>
                <w:bCs/>
                <w:webHidden/>
              </w:rPr>
              <w:instrText xml:space="preserve"> PAGEREF _Toc191998655 \h </w:instrText>
            </w:r>
            <w:r w:rsidRPr="008D3749">
              <w:rPr>
                <w:b/>
                <w:bCs/>
                <w:webHidden/>
              </w:rPr>
            </w:r>
            <w:r w:rsidRPr="008D3749">
              <w:rPr>
                <w:b/>
                <w:bCs/>
                <w:webHidden/>
              </w:rPr>
              <w:fldChar w:fldCharType="separate"/>
            </w:r>
            <w:r w:rsidRPr="008D3749">
              <w:rPr>
                <w:b/>
                <w:bCs/>
                <w:webHidden/>
              </w:rPr>
              <w:t>19</w:t>
            </w:r>
            <w:r w:rsidRPr="008D3749">
              <w:rPr>
                <w:b/>
                <w:bCs/>
                <w:webHidden/>
              </w:rPr>
              <w:fldChar w:fldCharType="end"/>
            </w:r>
          </w:hyperlink>
        </w:p>
        <w:p w14:paraId="36D62FE2" w14:textId="1B0A593B" w:rsidR="00B840C5" w:rsidRDefault="00B840C5" w:rsidP="008D3749">
          <w:pPr>
            <w:pStyle w:val="TOC3"/>
            <w:tabs>
              <w:tab w:val="left" w:pos="1260"/>
              <w:tab w:val="left" w:pos="1440"/>
            </w:tabs>
            <w:ind w:firstLine="630"/>
            <w:rPr>
              <w:rFonts w:eastAsiaTheme="minorEastAsia"/>
              <w:kern w:val="2"/>
              <w:sz w:val="24"/>
              <w:szCs w:val="24"/>
              <w:lang w:eastAsia="en-AU"/>
              <w14:ligatures w14:val="standardContextual"/>
            </w:rPr>
          </w:pPr>
          <w:hyperlink w:anchor="_Toc191998656" w:history="1">
            <w:r w:rsidRPr="0021174C">
              <w:rPr>
                <w:rStyle w:val="Hyperlink"/>
              </w:rPr>
              <w:t>2.1</w:t>
            </w:r>
            <w:r>
              <w:rPr>
                <w:rFonts w:eastAsiaTheme="minorEastAsia"/>
                <w:kern w:val="2"/>
                <w:sz w:val="24"/>
                <w:szCs w:val="24"/>
                <w:lang w:eastAsia="en-AU"/>
                <w14:ligatures w14:val="standardContextual"/>
              </w:rPr>
              <w:tab/>
            </w:r>
            <w:r w:rsidRPr="0021174C">
              <w:rPr>
                <w:rStyle w:val="Hyperlink"/>
              </w:rPr>
              <w:t>Biofouling</w:t>
            </w:r>
            <w:r>
              <w:rPr>
                <w:webHidden/>
              </w:rPr>
              <w:tab/>
            </w:r>
            <w:r>
              <w:rPr>
                <w:webHidden/>
              </w:rPr>
              <w:fldChar w:fldCharType="begin"/>
            </w:r>
            <w:r>
              <w:rPr>
                <w:webHidden/>
              </w:rPr>
              <w:instrText xml:space="preserve"> PAGEREF _Toc191998656 \h </w:instrText>
            </w:r>
            <w:r>
              <w:rPr>
                <w:webHidden/>
              </w:rPr>
            </w:r>
            <w:r>
              <w:rPr>
                <w:webHidden/>
              </w:rPr>
              <w:fldChar w:fldCharType="separate"/>
            </w:r>
            <w:r>
              <w:rPr>
                <w:webHidden/>
              </w:rPr>
              <w:t>22</w:t>
            </w:r>
            <w:r>
              <w:rPr>
                <w:webHidden/>
              </w:rPr>
              <w:fldChar w:fldCharType="end"/>
            </w:r>
          </w:hyperlink>
        </w:p>
        <w:p w14:paraId="51F7B4D6" w14:textId="7E15F4D9" w:rsidR="00B840C5" w:rsidRDefault="00B840C5" w:rsidP="008D3749">
          <w:pPr>
            <w:pStyle w:val="TOC3"/>
            <w:tabs>
              <w:tab w:val="left" w:pos="1260"/>
              <w:tab w:val="left" w:pos="1440"/>
            </w:tabs>
            <w:ind w:firstLine="630"/>
            <w:rPr>
              <w:rFonts w:eastAsiaTheme="minorEastAsia"/>
              <w:kern w:val="2"/>
              <w:sz w:val="24"/>
              <w:szCs w:val="24"/>
              <w:lang w:eastAsia="en-AU"/>
              <w14:ligatures w14:val="standardContextual"/>
            </w:rPr>
          </w:pPr>
          <w:hyperlink w:anchor="_Toc191998657" w:history="1">
            <w:r w:rsidRPr="0021174C">
              <w:rPr>
                <w:rStyle w:val="Hyperlink"/>
              </w:rPr>
              <w:t>2.2</w:t>
            </w:r>
            <w:r>
              <w:rPr>
                <w:rFonts w:eastAsiaTheme="minorEastAsia"/>
                <w:kern w:val="2"/>
                <w:sz w:val="24"/>
                <w:szCs w:val="24"/>
                <w:lang w:eastAsia="en-AU"/>
                <w14:ligatures w14:val="standardContextual"/>
              </w:rPr>
              <w:tab/>
            </w:r>
            <w:r w:rsidRPr="0021174C">
              <w:rPr>
                <w:rStyle w:val="Hyperlink"/>
              </w:rPr>
              <w:t>Ballast</w:t>
            </w:r>
            <w:r>
              <w:rPr>
                <w:webHidden/>
              </w:rPr>
              <w:tab/>
            </w:r>
            <w:r>
              <w:rPr>
                <w:webHidden/>
              </w:rPr>
              <w:fldChar w:fldCharType="begin"/>
            </w:r>
            <w:r>
              <w:rPr>
                <w:webHidden/>
              </w:rPr>
              <w:instrText xml:space="preserve"> PAGEREF _Toc191998657 \h </w:instrText>
            </w:r>
            <w:r>
              <w:rPr>
                <w:webHidden/>
              </w:rPr>
            </w:r>
            <w:r>
              <w:rPr>
                <w:webHidden/>
              </w:rPr>
              <w:fldChar w:fldCharType="separate"/>
            </w:r>
            <w:r>
              <w:rPr>
                <w:webHidden/>
              </w:rPr>
              <w:t>24</w:t>
            </w:r>
            <w:r>
              <w:rPr>
                <w:webHidden/>
              </w:rPr>
              <w:fldChar w:fldCharType="end"/>
            </w:r>
          </w:hyperlink>
        </w:p>
        <w:p w14:paraId="26E15760" w14:textId="36F416AD" w:rsidR="00B840C5" w:rsidRDefault="00B840C5" w:rsidP="008D3749">
          <w:pPr>
            <w:pStyle w:val="TOC3"/>
            <w:tabs>
              <w:tab w:val="left" w:pos="1260"/>
              <w:tab w:val="left" w:pos="1440"/>
            </w:tabs>
            <w:ind w:firstLine="630"/>
            <w:rPr>
              <w:rFonts w:eastAsiaTheme="minorEastAsia"/>
              <w:kern w:val="2"/>
              <w:sz w:val="24"/>
              <w:szCs w:val="24"/>
              <w:lang w:eastAsia="en-AU"/>
              <w14:ligatures w14:val="standardContextual"/>
            </w:rPr>
          </w:pPr>
          <w:hyperlink w:anchor="_Toc191998658" w:history="1">
            <w:r w:rsidRPr="0021174C">
              <w:rPr>
                <w:rStyle w:val="Hyperlink"/>
              </w:rPr>
              <w:t>2.3</w:t>
            </w:r>
            <w:r>
              <w:rPr>
                <w:rFonts w:eastAsiaTheme="minorEastAsia"/>
                <w:kern w:val="2"/>
                <w:sz w:val="24"/>
                <w:szCs w:val="24"/>
                <w:lang w:eastAsia="en-AU"/>
                <w14:ligatures w14:val="standardContextual"/>
              </w:rPr>
              <w:tab/>
            </w:r>
            <w:r w:rsidRPr="0021174C">
              <w:rPr>
                <w:rStyle w:val="Hyperlink"/>
              </w:rPr>
              <w:t>Fisheries, aquaculture, and the ornamental trade</w:t>
            </w:r>
            <w:r>
              <w:rPr>
                <w:webHidden/>
              </w:rPr>
              <w:tab/>
            </w:r>
            <w:r>
              <w:rPr>
                <w:webHidden/>
              </w:rPr>
              <w:fldChar w:fldCharType="begin"/>
            </w:r>
            <w:r>
              <w:rPr>
                <w:webHidden/>
              </w:rPr>
              <w:instrText xml:space="preserve"> PAGEREF _Toc191998658 \h </w:instrText>
            </w:r>
            <w:r>
              <w:rPr>
                <w:webHidden/>
              </w:rPr>
            </w:r>
            <w:r>
              <w:rPr>
                <w:webHidden/>
              </w:rPr>
              <w:fldChar w:fldCharType="separate"/>
            </w:r>
            <w:r>
              <w:rPr>
                <w:webHidden/>
              </w:rPr>
              <w:t>26</w:t>
            </w:r>
            <w:r>
              <w:rPr>
                <w:webHidden/>
              </w:rPr>
              <w:fldChar w:fldCharType="end"/>
            </w:r>
          </w:hyperlink>
        </w:p>
        <w:p w14:paraId="2DE1CB5A" w14:textId="4D6E3A30" w:rsidR="00B840C5" w:rsidRDefault="00B840C5" w:rsidP="008D3749">
          <w:pPr>
            <w:pStyle w:val="TOC3"/>
            <w:tabs>
              <w:tab w:val="left" w:pos="1260"/>
              <w:tab w:val="left" w:pos="1440"/>
            </w:tabs>
            <w:ind w:firstLine="630"/>
            <w:rPr>
              <w:rFonts w:eastAsiaTheme="minorEastAsia"/>
              <w:kern w:val="2"/>
              <w:sz w:val="24"/>
              <w:szCs w:val="24"/>
              <w:lang w:eastAsia="en-AU"/>
              <w14:ligatures w14:val="standardContextual"/>
            </w:rPr>
          </w:pPr>
          <w:hyperlink w:anchor="_Toc191998659" w:history="1">
            <w:r w:rsidRPr="0021174C">
              <w:rPr>
                <w:rStyle w:val="Hyperlink"/>
              </w:rPr>
              <w:t>2.4</w:t>
            </w:r>
            <w:r>
              <w:rPr>
                <w:rFonts w:eastAsiaTheme="minorEastAsia"/>
                <w:kern w:val="2"/>
                <w:sz w:val="24"/>
                <w:szCs w:val="24"/>
                <w:lang w:eastAsia="en-AU"/>
                <w14:ligatures w14:val="standardContextual"/>
              </w:rPr>
              <w:tab/>
            </w:r>
            <w:r w:rsidRPr="0021174C">
              <w:rPr>
                <w:rStyle w:val="Hyperlink"/>
              </w:rPr>
              <w:t>Natural dispersal</w:t>
            </w:r>
            <w:r>
              <w:rPr>
                <w:webHidden/>
              </w:rPr>
              <w:tab/>
            </w:r>
            <w:r>
              <w:rPr>
                <w:webHidden/>
              </w:rPr>
              <w:fldChar w:fldCharType="begin"/>
            </w:r>
            <w:r>
              <w:rPr>
                <w:webHidden/>
              </w:rPr>
              <w:instrText xml:space="preserve"> PAGEREF _Toc191998659 \h </w:instrText>
            </w:r>
            <w:r>
              <w:rPr>
                <w:webHidden/>
              </w:rPr>
            </w:r>
            <w:r>
              <w:rPr>
                <w:webHidden/>
              </w:rPr>
              <w:fldChar w:fldCharType="separate"/>
            </w:r>
            <w:r>
              <w:rPr>
                <w:webHidden/>
              </w:rPr>
              <w:t>27</w:t>
            </w:r>
            <w:r>
              <w:rPr>
                <w:webHidden/>
              </w:rPr>
              <w:fldChar w:fldCharType="end"/>
            </w:r>
          </w:hyperlink>
        </w:p>
        <w:p w14:paraId="4A430E7E" w14:textId="04F9CD17" w:rsidR="00B840C5" w:rsidRDefault="00B840C5" w:rsidP="008D3749">
          <w:pPr>
            <w:pStyle w:val="TOC3"/>
            <w:tabs>
              <w:tab w:val="left" w:pos="1260"/>
              <w:tab w:val="left" w:pos="1440"/>
            </w:tabs>
            <w:ind w:firstLine="630"/>
            <w:rPr>
              <w:rFonts w:eastAsiaTheme="minorEastAsia"/>
              <w:kern w:val="2"/>
              <w:sz w:val="24"/>
              <w:szCs w:val="24"/>
              <w:lang w:eastAsia="en-AU"/>
              <w14:ligatures w14:val="standardContextual"/>
            </w:rPr>
          </w:pPr>
          <w:hyperlink w:anchor="_Toc191998660" w:history="1">
            <w:r w:rsidRPr="0021174C">
              <w:rPr>
                <w:rStyle w:val="Hyperlink"/>
              </w:rPr>
              <w:t>2.5</w:t>
            </w:r>
            <w:r>
              <w:rPr>
                <w:rFonts w:eastAsiaTheme="minorEastAsia"/>
                <w:kern w:val="2"/>
                <w:sz w:val="24"/>
                <w:szCs w:val="24"/>
                <w:lang w:eastAsia="en-AU"/>
                <w14:ligatures w14:val="standardContextual"/>
              </w:rPr>
              <w:tab/>
            </w:r>
            <w:r w:rsidRPr="0021174C">
              <w:rPr>
                <w:rStyle w:val="Hyperlink"/>
              </w:rPr>
              <w:t>Debris and flotsam</w:t>
            </w:r>
            <w:r>
              <w:rPr>
                <w:webHidden/>
              </w:rPr>
              <w:tab/>
            </w:r>
            <w:r>
              <w:rPr>
                <w:webHidden/>
              </w:rPr>
              <w:fldChar w:fldCharType="begin"/>
            </w:r>
            <w:r>
              <w:rPr>
                <w:webHidden/>
              </w:rPr>
              <w:instrText xml:space="preserve"> PAGEREF _Toc191998660 \h </w:instrText>
            </w:r>
            <w:r>
              <w:rPr>
                <w:webHidden/>
              </w:rPr>
            </w:r>
            <w:r>
              <w:rPr>
                <w:webHidden/>
              </w:rPr>
              <w:fldChar w:fldCharType="separate"/>
            </w:r>
            <w:r>
              <w:rPr>
                <w:webHidden/>
              </w:rPr>
              <w:t>27</w:t>
            </w:r>
            <w:r>
              <w:rPr>
                <w:webHidden/>
              </w:rPr>
              <w:fldChar w:fldCharType="end"/>
            </w:r>
          </w:hyperlink>
        </w:p>
        <w:p w14:paraId="098FC69A" w14:textId="5A25AD40" w:rsidR="00B840C5" w:rsidRPr="008D3749" w:rsidRDefault="00B840C5" w:rsidP="008D3749">
          <w:pPr>
            <w:pStyle w:val="TOC2"/>
            <w:tabs>
              <w:tab w:val="left" w:pos="630"/>
            </w:tabs>
            <w:ind w:firstLine="270"/>
            <w:rPr>
              <w:rFonts w:eastAsiaTheme="minorEastAsia"/>
              <w:b/>
              <w:bCs/>
              <w:kern w:val="2"/>
              <w:sz w:val="24"/>
              <w:szCs w:val="24"/>
              <w:lang w:eastAsia="en-AU"/>
              <w14:ligatures w14:val="standardContextual"/>
            </w:rPr>
          </w:pPr>
          <w:hyperlink w:anchor="_Toc191998661" w:history="1">
            <w:r w:rsidRPr="008D3749">
              <w:rPr>
                <w:rStyle w:val="Hyperlink"/>
                <w:b/>
                <w:bCs/>
              </w:rPr>
              <w:t>3</w:t>
            </w:r>
            <w:r w:rsidR="008D3749">
              <w:rPr>
                <w:rFonts w:eastAsiaTheme="minorEastAsia"/>
                <w:b/>
                <w:bCs/>
                <w:kern w:val="2"/>
                <w:sz w:val="24"/>
                <w:szCs w:val="24"/>
                <w:lang w:eastAsia="en-AU"/>
                <w14:ligatures w14:val="standardContextual"/>
              </w:rPr>
              <w:tab/>
            </w:r>
            <w:r w:rsidRPr="008D3749">
              <w:rPr>
                <w:rStyle w:val="Hyperlink"/>
                <w:b/>
                <w:bCs/>
              </w:rPr>
              <w:t>Preventing and monitoring spread</w:t>
            </w:r>
            <w:r w:rsidRPr="008D3749">
              <w:rPr>
                <w:b/>
                <w:bCs/>
                <w:webHidden/>
              </w:rPr>
              <w:tab/>
            </w:r>
            <w:r w:rsidRPr="008D3749">
              <w:rPr>
                <w:b/>
                <w:bCs/>
                <w:webHidden/>
              </w:rPr>
              <w:fldChar w:fldCharType="begin"/>
            </w:r>
            <w:r w:rsidRPr="008D3749">
              <w:rPr>
                <w:b/>
                <w:bCs/>
                <w:webHidden/>
              </w:rPr>
              <w:instrText xml:space="preserve"> PAGEREF _Toc191998661 \h </w:instrText>
            </w:r>
            <w:r w:rsidRPr="008D3749">
              <w:rPr>
                <w:b/>
                <w:bCs/>
                <w:webHidden/>
              </w:rPr>
            </w:r>
            <w:r w:rsidRPr="008D3749">
              <w:rPr>
                <w:b/>
                <w:bCs/>
                <w:webHidden/>
              </w:rPr>
              <w:fldChar w:fldCharType="separate"/>
            </w:r>
            <w:r w:rsidRPr="008D3749">
              <w:rPr>
                <w:b/>
                <w:bCs/>
                <w:webHidden/>
              </w:rPr>
              <w:t>28</w:t>
            </w:r>
            <w:r w:rsidRPr="008D3749">
              <w:rPr>
                <w:b/>
                <w:bCs/>
                <w:webHidden/>
              </w:rPr>
              <w:fldChar w:fldCharType="end"/>
            </w:r>
          </w:hyperlink>
        </w:p>
        <w:p w14:paraId="6BC2B8B7" w14:textId="4D091154" w:rsidR="00B840C5" w:rsidRDefault="00B840C5" w:rsidP="008D3749">
          <w:pPr>
            <w:pStyle w:val="TOC3"/>
            <w:tabs>
              <w:tab w:val="left" w:pos="1260"/>
            </w:tabs>
            <w:ind w:firstLine="630"/>
            <w:rPr>
              <w:rFonts w:eastAsiaTheme="minorEastAsia"/>
              <w:kern w:val="2"/>
              <w:sz w:val="24"/>
              <w:szCs w:val="24"/>
              <w:lang w:eastAsia="en-AU"/>
              <w14:ligatures w14:val="standardContextual"/>
            </w:rPr>
          </w:pPr>
          <w:hyperlink w:anchor="_Toc191998662" w:history="1">
            <w:r w:rsidRPr="0021174C">
              <w:rPr>
                <w:rStyle w:val="Hyperlink"/>
              </w:rPr>
              <w:t>3.1</w:t>
            </w:r>
            <w:r>
              <w:rPr>
                <w:rFonts w:eastAsiaTheme="minorEastAsia"/>
                <w:kern w:val="2"/>
                <w:sz w:val="24"/>
                <w:szCs w:val="24"/>
                <w:lang w:eastAsia="en-AU"/>
                <w14:ligatures w14:val="standardContextual"/>
              </w:rPr>
              <w:tab/>
            </w:r>
            <w:r w:rsidRPr="0021174C">
              <w:rPr>
                <w:rStyle w:val="Hyperlink"/>
              </w:rPr>
              <w:t>Management to prevent spread</w:t>
            </w:r>
            <w:r>
              <w:rPr>
                <w:webHidden/>
              </w:rPr>
              <w:tab/>
            </w:r>
            <w:r>
              <w:rPr>
                <w:webHidden/>
              </w:rPr>
              <w:fldChar w:fldCharType="begin"/>
            </w:r>
            <w:r>
              <w:rPr>
                <w:webHidden/>
              </w:rPr>
              <w:instrText xml:space="preserve"> PAGEREF _Toc191998662 \h </w:instrText>
            </w:r>
            <w:r>
              <w:rPr>
                <w:webHidden/>
              </w:rPr>
            </w:r>
            <w:r>
              <w:rPr>
                <w:webHidden/>
              </w:rPr>
              <w:fldChar w:fldCharType="separate"/>
            </w:r>
            <w:r>
              <w:rPr>
                <w:webHidden/>
              </w:rPr>
              <w:t>28</w:t>
            </w:r>
            <w:r>
              <w:rPr>
                <w:webHidden/>
              </w:rPr>
              <w:fldChar w:fldCharType="end"/>
            </w:r>
          </w:hyperlink>
        </w:p>
        <w:p w14:paraId="28353C38" w14:textId="09A5ED9A" w:rsidR="00B840C5" w:rsidRDefault="00B840C5" w:rsidP="008D3749">
          <w:pPr>
            <w:pStyle w:val="TOC3"/>
            <w:tabs>
              <w:tab w:val="left" w:pos="1260"/>
            </w:tabs>
            <w:ind w:firstLine="630"/>
            <w:rPr>
              <w:rFonts w:eastAsiaTheme="minorEastAsia"/>
              <w:kern w:val="2"/>
              <w:sz w:val="24"/>
              <w:szCs w:val="24"/>
              <w:lang w:eastAsia="en-AU"/>
              <w14:ligatures w14:val="standardContextual"/>
            </w:rPr>
          </w:pPr>
          <w:hyperlink w:anchor="_Toc191998663" w:history="1">
            <w:r w:rsidRPr="0021174C">
              <w:rPr>
                <w:rStyle w:val="Hyperlink"/>
              </w:rPr>
              <w:t>3.2</w:t>
            </w:r>
            <w:r>
              <w:rPr>
                <w:rFonts w:eastAsiaTheme="minorEastAsia"/>
                <w:kern w:val="2"/>
                <w:sz w:val="24"/>
                <w:szCs w:val="24"/>
                <w:lang w:eastAsia="en-AU"/>
                <w14:ligatures w14:val="standardContextual"/>
              </w:rPr>
              <w:tab/>
            </w:r>
            <w:r w:rsidRPr="0021174C">
              <w:rPr>
                <w:rStyle w:val="Hyperlink"/>
              </w:rPr>
              <w:t>Risk assessment of potential vectors, marine infrastructure, and habitat</w:t>
            </w:r>
            <w:r>
              <w:rPr>
                <w:webHidden/>
              </w:rPr>
              <w:tab/>
            </w:r>
            <w:r>
              <w:rPr>
                <w:webHidden/>
              </w:rPr>
              <w:fldChar w:fldCharType="begin"/>
            </w:r>
            <w:r>
              <w:rPr>
                <w:webHidden/>
              </w:rPr>
              <w:instrText xml:space="preserve"> PAGEREF _Toc191998663 \h </w:instrText>
            </w:r>
            <w:r>
              <w:rPr>
                <w:webHidden/>
              </w:rPr>
            </w:r>
            <w:r>
              <w:rPr>
                <w:webHidden/>
              </w:rPr>
              <w:fldChar w:fldCharType="separate"/>
            </w:r>
            <w:r>
              <w:rPr>
                <w:webHidden/>
              </w:rPr>
              <w:t>37</w:t>
            </w:r>
            <w:r>
              <w:rPr>
                <w:webHidden/>
              </w:rPr>
              <w:fldChar w:fldCharType="end"/>
            </w:r>
          </w:hyperlink>
        </w:p>
        <w:p w14:paraId="1D53EE03" w14:textId="24DB2B09" w:rsidR="00B840C5" w:rsidRDefault="00B840C5" w:rsidP="008D3749">
          <w:pPr>
            <w:pStyle w:val="TOC3"/>
            <w:tabs>
              <w:tab w:val="left" w:pos="1260"/>
            </w:tabs>
            <w:ind w:firstLine="630"/>
            <w:rPr>
              <w:rFonts w:eastAsiaTheme="minorEastAsia"/>
              <w:kern w:val="2"/>
              <w:sz w:val="24"/>
              <w:szCs w:val="24"/>
              <w:lang w:eastAsia="en-AU"/>
              <w14:ligatures w14:val="standardContextual"/>
            </w:rPr>
          </w:pPr>
          <w:hyperlink w:anchor="_Toc191998664" w:history="1">
            <w:r w:rsidRPr="0021174C">
              <w:rPr>
                <w:rStyle w:val="Hyperlink"/>
              </w:rPr>
              <w:t>3.3</w:t>
            </w:r>
            <w:r>
              <w:rPr>
                <w:rFonts w:eastAsiaTheme="minorEastAsia"/>
                <w:kern w:val="2"/>
                <w:sz w:val="24"/>
                <w:szCs w:val="24"/>
                <w:lang w:eastAsia="en-AU"/>
                <w14:ligatures w14:val="standardContextual"/>
              </w:rPr>
              <w:tab/>
            </w:r>
            <w:r w:rsidRPr="0021174C">
              <w:rPr>
                <w:rStyle w:val="Hyperlink"/>
              </w:rPr>
              <w:t>Management of infested vectors and marine infrastructure</w:t>
            </w:r>
            <w:r>
              <w:rPr>
                <w:webHidden/>
              </w:rPr>
              <w:tab/>
            </w:r>
            <w:r>
              <w:rPr>
                <w:webHidden/>
              </w:rPr>
              <w:fldChar w:fldCharType="begin"/>
            </w:r>
            <w:r>
              <w:rPr>
                <w:webHidden/>
              </w:rPr>
              <w:instrText xml:space="preserve"> PAGEREF _Toc191998664 \h </w:instrText>
            </w:r>
            <w:r>
              <w:rPr>
                <w:webHidden/>
              </w:rPr>
            </w:r>
            <w:r>
              <w:rPr>
                <w:webHidden/>
              </w:rPr>
              <w:fldChar w:fldCharType="separate"/>
            </w:r>
            <w:r>
              <w:rPr>
                <w:webHidden/>
              </w:rPr>
              <w:t>40</w:t>
            </w:r>
            <w:r>
              <w:rPr>
                <w:webHidden/>
              </w:rPr>
              <w:fldChar w:fldCharType="end"/>
            </w:r>
          </w:hyperlink>
        </w:p>
        <w:p w14:paraId="37DEAF60" w14:textId="75A9AE98" w:rsidR="00B840C5" w:rsidRPr="008D3749" w:rsidRDefault="00B840C5" w:rsidP="008D3749">
          <w:pPr>
            <w:pStyle w:val="TOC2"/>
            <w:tabs>
              <w:tab w:val="left" w:pos="630"/>
            </w:tabs>
            <w:ind w:firstLine="270"/>
            <w:rPr>
              <w:rFonts w:eastAsiaTheme="minorEastAsia"/>
              <w:b/>
              <w:bCs/>
              <w:kern w:val="2"/>
              <w:sz w:val="24"/>
              <w:szCs w:val="24"/>
              <w:lang w:eastAsia="en-AU"/>
              <w14:ligatures w14:val="standardContextual"/>
            </w:rPr>
          </w:pPr>
          <w:hyperlink w:anchor="_Toc191998665" w:history="1">
            <w:r w:rsidRPr="008D3749">
              <w:rPr>
                <w:rStyle w:val="Hyperlink"/>
                <w:b/>
                <w:bCs/>
              </w:rPr>
              <w:t>4</w:t>
            </w:r>
            <w:r w:rsidRPr="008D3749">
              <w:rPr>
                <w:rFonts w:eastAsiaTheme="minorEastAsia"/>
                <w:b/>
                <w:bCs/>
                <w:kern w:val="2"/>
                <w:sz w:val="24"/>
                <w:szCs w:val="24"/>
                <w:lang w:eastAsia="en-AU"/>
                <w14:ligatures w14:val="standardContextual"/>
              </w:rPr>
              <w:tab/>
            </w:r>
            <w:r w:rsidRPr="008D3749">
              <w:rPr>
                <w:rStyle w:val="Hyperlink"/>
                <w:b/>
                <w:bCs/>
              </w:rPr>
              <w:t>Surveillance and delimitation</w:t>
            </w:r>
            <w:r w:rsidRPr="008D3749">
              <w:rPr>
                <w:b/>
                <w:bCs/>
                <w:webHidden/>
              </w:rPr>
              <w:tab/>
            </w:r>
            <w:r w:rsidRPr="008D3749">
              <w:rPr>
                <w:b/>
                <w:bCs/>
                <w:webHidden/>
              </w:rPr>
              <w:fldChar w:fldCharType="begin"/>
            </w:r>
            <w:r w:rsidRPr="008D3749">
              <w:rPr>
                <w:b/>
                <w:bCs/>
                <w:webHidden/>
              </w:rPr>
              <w:instrText xml:space="preserve"> PAGEREF _Toc191998665 \h </w:instrText>
            </w:r>
            <w:r w:rsidRPr="008D3749">
              <w:rPr>
                <w:b/>
                <w:bCs/>
                <w:webHidden/>
              </w:rPr>
            </w:r>
            <w:r w:rsidRPr="008D3749">
              <w:rPr>
                <w:b/>
                <w:bCs/>
                <w:webHidden/>
              </w:rPr>
              <w:fldChar w:fldCharType="separate"/>
            </w:r>
            <w:r w:rsidRPr="008D3749">
              <w:rPr>
                <w:b/>
                <w:bCs/>
                <w:webHidden/>
              </w:rPr>
              <w:t>49</w:t>
            </w:r>
            <w:r w:rsidRPr="008D3749">
              <w:rPr>
                <w:b/>
                <w:bCs/>
                <w:webHidden/>
              </w:rPr>
              <w:fldChar w:fldCharType="end"/>
            </w:r>
          </w:hyperlink>
        </w:p>
        <w:p w14:paraId="74FAB7E2" w14:textId="46C1F260" w:rsidR="00B840C5" w:rsidRDefault="00B840C5" w:rsidP="008D3749">
          <w:pPr>
            <w:pStyle w:val="TOC3"/>
            <w:tabs>
              <w:tab w:val="left" w:pos="1260"/>
              <w:tab w:val="left" w:pos="1440"/>
            </w:tabs>
            <w:ind w:firstLine="630"/>
            <w:rPr>
              <w:rFonts w:eastAsiaTheme="minorEastAsia"/>
              <w:kern w:val="2"/>
              <w:sz w:val="24"/>
              <w:szCs w:val="24"/>
              <w:lang w:eastAsia="en-AU"/>
              <w14:ligatures w14:val="standardContextual"/>
            </w:rPr>
          </w:pPr>
          <w:hyperlink w:anchor="_Toc191998666" w:history="1">
            <w:r w:rsidRPr="0021174C">
              <w:rPr>
                <w:rStyle w:val="Hyperlink"/>
              </w:rPr>
              <w:t>4.1</w:t>
            </w:r>
            <w:r>
              <w:rPr>
                <w:rFonts w:eastAsiaTheme="minorEastAsia"/>
                <w:kern w:val="2"/>
                <w:sz w:val="24"/>
                <w:szCs w:val="24"/>
                <w:lang w:eastAsia="en-AU"/>
                <w14:ligatures w14:val="standardContextual"/>
              </w:rPr>
              <w:tab/>
            </w:r>
            <w:r w:rsidRPr="0021174C">
              <w:rPr>
                <w:rStyle w:val="Hyperlink"/>
              </w:rPr>
              <w:t>Delimitation during an incursion</w:t>
            </w:r>
            <w:r>
              <w:rPr>
                <w:webHidden/>
              </w:rPr>
              <w:tab/>
            </w:r>
            <w:r>
              <w:rPr>
                <w:webHidden/>
              </w:rPr>
              <w:fldChar w:fldCharType="begin"/>
            </w:r>
            <w:r>
              <w:rPr>
                <w:webHidden/>
              </w:rPr>
              <w:instrText xml:space="preserve"> PAGEREF _Toc191998666 \h </w:instrText>
            </w:r>
            <w:r>
              <w:rPr>
                <w:webHidden/>
              </w:rPr>
            </w:r>
            <w:r>
              <w:rPr>
                <w:webHidden/>
              </w:rPr>
              <w:fldChar w:fldCharType="separate"/>
            </w:r>
            <w:r>
              <w:rPr>
                <w:webHidden/>
              </w:rPr>
              <w:t>49</w:t>
            </w:r>
            <w:r>
              <w:rPr>
                <w:webHidden/>
              </w:rPr>
              <w:fldChar w:fldCharType="end"/>
            </w:r>
          </w:hyperlink>
        </w:p>
        <w:p w14:paraId="516D5A47" w14:textId="6CAC5F06" w:rsidR="00B840C5" w:rsidRDefault="00B840C5" w:rsidP="008D3749">
          <w:pPr>
            <w:pStyle w:val="TOC3"/>
            <w:tabs>
              <w:tab w:val="left" w:pos="1260"/>
              <w:tab w:val="left" w:pos="1440"/>
            </w:tabs>
            <w:ind w:firstLine="630"/>
            <w:rPr>
              <w:rFonts w:eastAsiaTheme="minorEastAsia"/>
              <w:kern w:val="2"/>
              <w:sz w:val="24"/>
              <w:szCs w:val="24"/>
              <w:lang w:eastAsia="en-AU"/>
              <w14:ligatures w14:val="standardContextual"/>
            </w:rPr>
          </w:pPr>
          <w:hyperlink w:anchor="_Toc191998667" w:history="1">
            <w:r w:rsidRPr="0021174C">
              <w:rPr>
                <w:rStyle w:val="Hyperlink"/>
              </w:rPr>
              <w:t>4.2</w:t>
            </w:r>
            <w:r>
              <w:rPr>
                <w:rFonts w:eastAsiaTheme="minorEastAsia"/>
                <w:kern w:val="2"/>
                <w:sz w:val="24"/>
                <w:szCs w:val="24"/>
                <w:lang w:eastAsia="en-AU"/>
                <w14:ligatures w14:val="standardContextual"/>
              </w:rPr>
              <w:tab/>
            </w:r>
            <w:r w:rsidRPr="0021174C">
              <w:rPr>
                <w:rStyle w:val="Hyperlink"/>
              </w:rPr>
              <w:t>Surveillance</w:t>
            </w:r>
            <w:r>
              <w:rPr>
                <w:webHidden/>
              </w:rPr>
              <w:tab/>
            </w:r>
            <w:r>
              <w:rPr>
                <w:webHidden/>
              </w:rPr>
              <w:fldChar w:fldCharType="begin"/>
            </w:r>
            <w:r>
              <w:rPr>
                <w:webHidden/>
              </w:rPr>
              <w:instrText xml:space="preserve"> PAGEREF _Toc191998667 \h </w:instrText>
            </w:r>
            <w:r>
              <w:rPr>
                <w:webHidden/>
              </w:rPr>
            </w:r>
            <w:r>
              <w:rPr>
                <w:webHidden/>
              </w:rPr>
              <w:fldChar w:fldCharType="separate"/>
            </w:r>
            <w:r>
              <w:rPr>
                <w:webHidden/>
              </w:rPr>
              <w:t>53</w:t>
            </w:r>
            <w:r>
              <w:rPr>
                <w:webHidden/>
              </w:rPr>
              <w:fldChar w:fldCharType="end"/>
            </w:r>
          </w:hyperlink>
        </w:p>
        <w:p w14:paraId="6B2D3553" w14:textId="4528DED8" w:rsidR="00B840C5" w:rsidRDefault="00B840C5" w:rsidP="008D3749">
          <w:pPr>
            <w:pStyle w:val="TOC3"/>
            <w:tabs>
              <w:tab w:val="left" w:pos="1260"/>
              <w:tab w:val="left" w:pos="1440"/>
            </w:tabs>
            <w:ind w:firstLine="630"/>
            <w:rPr>
              <w:rFonts w:eastAsiaTheme="minorEastAsia"/>
              <w:kern w:val="2"/>
              <w:sz w:val="24"/>
              <w:szCs w:val="24"/>
              <w:lang w:eastAsia="en-AU"/>
              <w14:ligatures w14:val="standardContextual"/>
            </w:rPr>
          </w:pPr>
          <w:hyperlink w:anchor="_Toc191998668" w:history="1">
            <w:r w:rsidRPr="0021174C">
              <w:rPr>
                <w:rStyle w:val="Hyperlink"/>
              </w:rPr>
              <w:t>4.3</w:t>
            </w:r>
            <w:r>
              <w:rPr>
                <w:rFonts w:eastAsiaTheme="minorEastAsia"/>
                <w:kern w:val="2"/>
                <w:sz w:val="24"/>
                <w:szCs w:val="24"/>
                <w:lang w:eastAsia="en-AU"/>
                <w14:ligatures w14:val="standardContextual"/>
              </w:rPr>
              <w:tab/>
            </w:r>
            <w:r w:rsidRPr="0021174C">
              <w:rPr>
                <w:rStyle w:val="Hyperlink"/>
              </w:rPr>
              <w:t>Methods for surveillance and delimitation</w:t>
            </w:r>
            <w:r>
              <w:rPr>
                <w:webHidden/>
              </w:rPr>
              <w:tab/>
            </w:r>
            <w:r>
              <w:rPr>
                <w:webHidden/>
              </w:rPr>
              <w:fldChar w:fldCharType="begin"/>
            </w:r>
            <w:r>
              <w:rPr>
                <w:webHidden/>
              </w:rPr>
              <w:instrText xml:space="preserve"> PAGEREF _Toc191998668 \h </w:instrText>
            </w:r>
            <w:r>
              <w:rPr>
                <w:webHidden/>
              </w:rPr>
            </w:r>
            <w:r>
              <w:rPr>
                <w:webHidden/>
              </w:rPr>
              <w:fldChar w:fldCharType="separate"/>
            </w:r>
            <w:r>
              <w:rPr>
                <w:webHidden/>
              </w:rPr>
              <w:t>55</w:t>
            </w:r>
            <w:r>
              <w:rPr>
                <w:webHidden/>
              </w:rPr>
              <w:fldChar w:fldCharType="end"/>
            </w:r>
          </w:hyperlink>
        </w:p>
        <w:p w14:paraId="4063A1B2" w14:textId="7C122624" w:rsidR="00B840C5" w:rsidRPr="008D3749" w:rsidRDefault="00B840C5" w:rsidP="008D3749">
          <w:pPr>
            <w:pStyle w:val="TOC2"/>
            <w:tabs>
              <w:tab w:val="left" w:pos="630"/>
            </w:tabs>
            <w:ind w:firstLine="270"/>
            <w:rPr>
              <w:rFonts w:eastAsiaTheme="minorEastAsia"/>
              <w:b/>
              <w:bCs/>
              <w:kern w:val="2"/>
              <w:sz w:val="24"/>
              <w:szCs w:val="24"/>
              <w:lang w:eastAsia="en-AU"/>
              <w14:ligatures w14:val="standardContextual"/>
            </w:rPr>
          </w:pPr>
          <w:hyperlink w:anchor="_Toc191998669" w:history="1">
            <w:r w:rsidRPr="008D3749">
              <w:rPr>
                <w:rStyle w:val="Hyperlink"/>
                <w:b/>
                <w:bCs/>
              </w:rPr>
              <w:t>5</w:t>
            </w:r>
            <w:r w:rsidRPr="008D3749">
              <w:rPr>
                <w:rFonts w:eastAsiaTheme="minorEastAsia"/>
                <w:b/>
                <w:bCs/>
                <w:kern w:val="2"/>
                <w:sz w:val="24"/>
                <w:szCs w:val="24"/>
                <w:lang w:eastAsia="en-AU"/>
                <w14:ligatures w14:val="standardContextual"/>
              </w:rPr>
              <w:tab/>
            </w:r>
            <w:r w:rsidRPr="008D3749">
              <w:rPr>
                <w:rStyle w:val="Hyperlink"/>
                <w:b/>
                <w:bCs/>
              </w:rPr>
              <w:t>Containment, control, and eradication</w:t>
            </w:r>
            <w:r w:rsidRPr="008D3749">
              <w:rPr>
                <w:b/>
                <w:bCs/>
                <w:webHidden/>
              </w:rPr>
              <w:tab/>
            </w:r>
            <w:r w:rsidRPr="008D3749">
              <w:rPr>
                <w:b/>
                <w:bCs/>
                <w:webHidden/>
              </w:rPr>
              <w:fldChar w:fldCharType="begin"/>
            </w:r>
            <w:r w:rsidRPr="008D3749">
              <w:rPr>
                <w:b/>
                <w:bCs/>
                <w:webHidden/>
              </w:rPr>
              <w:instrText xml:space="preserve"> PAGEREF _Toc191998669 \h </w:instrText>
            </w:r>
            <w:r w:rsidRPr="008D3749">
              <w:rPr>
                <w:b/>
                <w:bCs/>
                <w:webHidden/>
              </w:rPr>
            </w:r>
            <w:r w:rsidRPr="008D3749">
              <w:rPr>
                <w:b/>
                <w:bCs/>
                <w:webHidden/>
              </w:rPr>
              <w:fldChar w:fldCharType="separate"/>
            </w:r>
            <w:r w:rsidRPr="008D3749">
              <w:rPr>
                <w:b/>
                <w:bCs/>
                <w:webHidden/>
              </w:rPr>
              <w:t>65</w:t>
            </w:r>
            <w:r w:rsidRPr="008D3749">
              <w:rPr>
                <w:b/>
                <w:bCs/>
                <w:webHidden/>
              </w:rPr>
              <w:fldChar w:fldCharType="end"/>
            </w:r>
          </w:hyperlink>
        </w:p>
        <w:p w14:paraId="493EFCE9" w14:textId="7BC40E98" w:rsidR="00B840C5" w:rsidRDefault="00B840C5" w:rsidP="008D3749">
          <w:pPr>
            <w:pStyle w:val="TOC3"/>
            <w:tabs>
              <w:tab w:val="left" w:pos="1260"/>
            </w:tabs>
            <w:ind w:firstLine="630"/>
            <w:rPr>
              <w:rFonts w:eastAsiaTheme="minorEastAsia"/>
              <w:kern w:val="2"/>
              <w:sz w:val="24"/>
              <w:szCs w:val="24"/>
              <w:lang w:eastAsia="en-AU"/>
              <w14:ligatures w14:val="standardContextual"/>
            </w:rPr>
          </w:pPr>
          <w:hyperlink w:anchor="_Toc191998670" w:history="1">
            <w:r w:rsidRPr="0021174C">
              <w:rPr>
                <w:rStyle w:val="Hyperlink"/>
              </w:rPr>
              <w:t>5.1</w:t>
            </w:r>
            <w:r>
              <w:rPr>
                <w:rFonts w:eastAsiaTheme="minorEastAsia"/>
                <w:kern w:val="2"/>
                <w:sz w:val="24"/>
                <w:szCs w:val="24"/>
                <w:lang w:eastAsia="en-AU"/>
                <w14:ligatures w14:val="standardContextual"/>
              </w:rPr>
              <w:tab/>
            </w:r>
            <w:r w:rsidRPr="0021174C">
              <w:rPr>
                <w:rStyle w:val="Hyperlink"/>
              </w:rPr>
              <w:t>Containment and control</w:t>
            </w:r>
            <w:r>
              <w:rPr>
                <w:webHidden/>
              </w:rPr>
              <w:tab/>
            </w:r>
            <w:r>
              <w:rPr>
                <w:webHidden/>
              </w:rPr>
              <w:fldChar w:fldCharType="begin"/>
            </w:r>
            <w:r>
              <w:rPr>
                <w:webHidden/>
              </w:rPr>
              <w:instrText xml:space="preserve"> PAGEREF _Toc191998670 \h </w:instrText>
            </w:r>
            <w:r>
              <w:rPr>
                <w:webHidden/>
              </w:rPr>
            </w:r>
            <w:r>
              <w:rPr>
                <w:webHidden/>
              </w:rPr>
              <w:fldChar w:fldCharType="separate"/>
            </w:r>
            <w:r>
              <w:rPr>
                <w:webHidden/>
              </w:rPr>
              <w:t>65</w:t>
            </w:r>
            <w:r>
              <w:rPr>
                <w:webHidden/>
              </w:rPr>
              <w:fldChar w:fldCharType="end"/>
            </w:r>
          </w:hyperlink>
        </w:p>
        <w:p w14:paraId="107948EB" w14:textId="0D24AC81" w:rsidR="00B840C5" w:rsidRDefault="00B840C5" w:rsidP="008D3749">
          <w:pPr>
            <w:pStyle w:val="TOC3"/>
            <w:tabs>
              <w:tab w:val="left" w:pos="1260"/>
            </w:tabs>
            <w:ind w:firstLine="630"/>
            <w:rPr>
              <w:rFonts w:eastAsiaTheme="minorEastAsia"/>
              <w:kern w:val="2"/>
              <w:sz w:val="24"/>
              <w:szCs w:val="24"/>
              <w:lang w:eastAsia="en-AU"/>
              <w14:ligatures w14:val="standardContextual"/>
            </w:rPr>
          </w:pPr>
          <w:hyperlink w:anchor="_Toc191998671" w:history="1">
            <w:r w:rsidRPr="0021174C">
              <w:rPr>
                <w:rStyle w:val="Hyperlink"/>
              </w:rPr>
              <w:t>5.2</w:t>
            </w:r>
            <w:r>
              <w:rPr>
                <w:rFonts w:eastAsiaTheme="minorEastAsia"/>
                <w:kern w:val="2"/>
                <w:sz w:val="24"/>
                <w:szCs w:val="24"/>
                <w:lang w:eastAsia="en-AU"/>
                <w14:ligatures w14:val="standardContextual"/>
              </w:rPr>
              <w:tab/>
            </w:r>
            <w:r w:rsidRPr="0021174C">
              <w:rPr>
                <w:rStyle w:val="Hyperlink"/>
              </w:rPr>
              <w:t>Eradication</w:t>
            </w:r>
            <w:r>
              <w:rPr>
                <w:webHidden/>
              </w:rPr>
              <w:tab/>
            </w:r>
            <w:r>
              <w:rPr>
                <w:webHidden/>
              </w:rPr>
              <w:fldChar w:fldCharType="begin"/>
            </w:r>
            <w:r>
              <w:rPr>
                <w:webHidden/>
              </w:rPr>
              <w:instrText xml:space="preserve"> PAGEREF _Toc191998671 \h </w:instrText>
            </w:r>
            <w:r>
              <w:rPr>
                <w:webHidden/>
              </w:rPr>
            </w:r>
            <w:r>
              <w:rPr>
                <w:webHidden/>
              </w:rPr>
              <w:fldChar w:fldCharType="separate"/>
            </w:r>
            <w:r>
              <w:rPr>
                <w:webHidden/>
              </w:rPr>
              <w:t>66</w:t>
            </w:r>
            <w:r>
              <w:rPr>
                <w:webHidden/>
              </w:rPr>
              <w:fldChar w:fldCharType="end"/>
            </w:r>
          </w:hyperlink>
        </w:p>
        <w:p w14:paraId="17EF23C9" w14:textId="6C097CFE" w:rsidR="00B840C5" w:rsidRDefault="00B840C5" w:rsidP="008D3749">
          <w:pPr>
            <w:pStyle w:val="TOC3"/>
            <w:tabs>
              <w:tab w:val="left" w:pos="1260"/>
            </w:tabs>
            <w:ind w:firstLine="630"/>
            <w:rPr>
              <w:rFonts w:eastAsiaTheme="minorEastAsia"/>
              <w:kern w:val="2"/>
              <w:sz w:val="24"/>
              <w:szCs w:val="24"/>
              <w:lang w:eastAsia="en-AU"/>
              <w14:ligatures w14:val="standardContextual"/>
            </w:rPr>
          </w:pPr>
          <w:hyperlink w:anchor="_Toc191998672" w:history="1">
            <w:r w:rsidRPr="0021174C">
              <w:rPr>
                <w:rStyle w:val="Hyperlink"/>
              </w:rPr>
              <w:t>5.3</w:t>
            </w:r>
            <w:r>
              <w:rPr>
                <w:rFonts w:eastAsiaTheme="minorEastAsia"/>
                <w:kern w:val="2"/>
                <w:sz w:val="24"/>
                <w:szCs w:val="24"/>
                <w:lang w:eastAsia="en-AU"/>
                <w14:ligatures w14:val="standardContextual"/>
              </w:rPr>
              <w:tab/>
            </w:r>
            <w:r w:rsidRPr="0021174C">
              <w:rPr>
                <w:rStyle w:val="Hyperlink"/>
              </w:rPr>
              <w:t>Methods for containment, control, and eradication</w:t>
            </w:r>
            <w:r>
              <w:rPr>
                <w:webHidden/>
              </w:rPr>
              <w:tab/>
            </w:r>
            <w:r>
              <w:rPr>
                <w:webHidden/>
              </w:rPr>
              <w:fldChar w:fldCharType="begin"/>
            </w:r>
            <w:r>
              <w:rPr>
                <w:webHidden/>
              </w:rPr>
              <w:instrText xml:space="preserve"> PAGEREF _Toc191998672 \h </w:instrText>
            </w:r>
            <w:r>
              <w:rPr>
                <w:webHidden/>
              </w:rPr>
            </w:r>
            <w:r>
              <w:rPr>
                <w:webHidden/>
              </w:rPr>
              <w:fldChar w:fldCharType="separate"/>
            </w:r>
            <w:r>
              <w:rPr>
                <w:webHidden/>
              </w:rPr>
              <w:t>70</w:t>
            </w:r>
            <w:r>
              <w:rPr>
                <w:webHidden/>
              </w:rPr>
              <w:fldChar w:fldCharType="end"/>
            </w:r>
          </w:hyperlink>
        </w:p>
        <w:p w14:paraId="4C3C8347" w14:textId="2F50276D" w:rsidR="00B840C5" w:rsidRPr="008D3749" w:rsidRDefault="00B840C5" w:rsidP="008D3749">
          <w:pPr>
            <w:pStyle w:val="TOC2"/>
            <w:tabs>
              <w:tab w:val="left" w:pos="630"/>
              <w:tab w:val="left" w:pos="810"/>
            </w:tabs>
            <w:ind w:firstLine="270"/>
            <w:rPr>
              <w:rFonts w:eastAsiaTheme="minorEastAsia"/>
              <w:b/>
              <w:bCs/>
              <w:kern w:val="2"/>
              <w:sz w:val="24"/>
              <w:szCs w:val="24"/>
              <w:lang w:eastAsia="en-AU"/>
              <w14:ligatures w14:val="standardContextual"/>
            </w:rPr>
          </w:pPr>
          <w:hyperlink w:anchor="_Toc191998673" w:history="1">
            <w:r w:rsidRPr="008D3749">
              <w:rPr>
                <w:rStyle w:val="Hyperlink"/>
                <w:b/>
                <w:bCs/>
              </w:rPr>
              <w:t>6</w:t>
            </w:r>
            <w:r w:rsidRPr="008D3749">
              <w:rPr>
                <w:rFonts w:eastAsiaTheme="minorEastAsia"/>
                <w:b/>
                <w:bCs/>
                <w:kern w:val="2"/>
                <w:sz w:val="24"/>
                <w:szCs w:val="24"/>
                <w:lang w:eastAsia="en-AU"/>
                <w14:ligatures w14:val="standardContextual"/>
              </w:rPr>
              <w:tab/>
            </w:r>
            <w:r w:rsidRPr="008D3749">
              <w:rPr>
                <w:rStyle w:val="Hyperlink"/>
                <w:b/>
                <w:bCs/>
              </w:rPr>
              <w:t>Decontamination, destruction, and disposal</w:t>
            </w:r>
            <w:r w:rsidRPr="008D3749">
              <w:rPr>
                <w:b/>
                <w:bCs/>
                <w:webHidden/>
              </w:rPr>
              <w:tab/>
            </w:r>
            <w:r w:rsidRPr="008D3749">
              <w:rPr>
                <w:b/>
                <w:bCs/>
                <w:webHidden/>
              </w:rPr>
              <w:fldChar w:fldCharType="begin"/>
            </w:r>
            <w:r w:rsidRPr="008D3749">
              <w:rPr>
                <w:b/>
                <w:bCs/>
                <w:webHidden/>
              </w:rPr>
              <w:instrText xml:space="preserve"> PAGEREF _Toc191998673 \h </w:instrText>
            </w:r>
            <w:r w:rsidRPr="008D3749">
              <w:rPr>
                <w:b/>
                <w:bCs/>
                <w:webHidden/>
              </w:rPr>
            </w:r>
            <w:r w:rsidRPr="008D3749">
              <w:rPr>
                <w:b/>
                <w:bCs/>
                <w:webHidden/>
              </w:rPr>
              <w:fldChar w:fldCharType="separate"/>
            </w:r>
            <w:r w:rsidRPr="008D3749">
              <w:rPr>
                <w:b/>
                <w:bCs/>
                <w:webHidden/>
              </w:rPr>
              <w:t>88</w:t>
            </w:r>
            <w:r w:rsidRPr="008D3749">
              <w:rPr>
                <w:b/>
                <w:bCs/>
                <w:webHidden/>
              </w:rPr>
              <w:fldChar w:fldCharType="end"/>
            </w:r>
          </w:hyperlink>
        </w:p>
        <w:p w14:paraId="4885098B" w14:textId="27900250" w:rsidR="00B840C5" w:rsidRDefault="00B840C5" w:rsidP="008D3749">
          <w:pPr>
            <w:pStyle w:val="TOC3"/>
            <w:tabs>
              <w:tab w:val="left" w:pos="1260"/>
            </w:tabs>
            <w:ind w:firstLine="630"/>
            <w:rPr>
              <w:rFonts w:eastAsiaTheme="minorEastAsia"/>
              <w:kern w:val="2"/>
              <w:sz w:val="24"/>
              <w:szCs w:val="24"/>
              <w:lang w:eastAsia="en-AU"/>
              <w14:ligatures w14:val="standardContextual"/>
            </w:rPr>
          </w:pPr>
          <w:hyperlink w:anchor="_Toc191998674" w:history="1">
            <w:r w:rsidRPr="0021174C">
              <w:rPr>
                <w:rStyle w:val="Hyperlink"/>
              </w:rPr>
              <w:t>6.1</w:t>
            </w:r>
            <w:r>
              <w:rPr>
                <w:rFonts w:eastAsiaTheme="minorEastAsia"/>
                <w:kern w:val="2"/>
                <w:sz w:val="24"/>
                <w:szCs w:val="24"/>
                <w:lang w:eastAsia="en-AU"/>
                <w14:ligatures w14:val="standardContextual"/>
              </w:rPr>
              <w:tab/>
            </w:r>
            <w:r w:rsidRPr="0021174C">
              <w:rPr>
                <w:rStyle w:val="Hyperlink"/>
              </w:rPr>
              <w:t>Decontamination</w:t>
            </w:r>
            <w:r>
              <w:rPr>
                <w:webHidden/>
              </w:rPr>
              <w:tab/>
            </w:r>
            <w:r>
              <w:rPr>
                <w:webHidden/>
              </w:rPr>
              <w:fldChar w:fldCharType="begin"/>
            </w:r>
            <w:r>
              <w:rPr>
                <w:webHidden/>
              </w:rPr>
              <w:instrText xml:space="preserve"> PAGEREF _Toc191998674 \h </w:instrText>
            </w:r>
            <w:r>
              <w:rPr>
                <w:webHidden/>
              </w:rPr>
            </w:r>
            <w:r>
              <w:rPr>
                <w:webHidden/>
              </w:rPr>
              <w:fldChar w:fldCharType="separate"/>
            </w:r>
            <w:r>
              <w:rPr>
                <w:webHidden/>
              </w:rPr>
              <w:t>88</w:t>
            </w:r>
            <w:r>
              <w:rPr>
                <w:webHidden/>
              </w:rPr>
              <w:fldChar w:fldCharType="end"/>
            </w:r>
          </w:hyperlink>
        </w:p>
        <w:p w14:paraId="32CBEFAA" w14:textId="091291B1" w:rsidR="00B840C5" w:rsidRDefault="00B840C5" w:rsidP="008D3749">
          <w:pPr>
            <w:pStyle w:val="TOC3"/>
            <w:tabs>
              <w:tab w:val="left" w:pos="1260"/>
            </w:tabs>
            <w:ind w:firstLine="630"/>
            <w:rPr>
              <w:rFonts w:eastAsiaTheme="minorEastAsia"/>
              <w:kern w:val="2"/>
              <w:sz w:val="24"/>
              <w:szCs w:val="24"/>
              <w:lang w:eastAsia="en-AU"/>
              <w14:ligatures w14:val="standardContextual"/>
            </w:rPr>
          </w:pPr>
          <w:hyperlink w:anchor="_Toc191998675" w:history="1">
            <w:r w:rsidRPr="0021174C">
              <w:rPr>
                <w:rStyle w:val="Hyperlink"/>
              </w:rPr>
              <w:t>6.2</w:t>
            </w:r>
            <w:r>
              <w:rPr>
                <w:rFonts w:eastAsiaTheme="minorEastAsia"/>
                <w:kern w:val="2"/>
                <w:sz w:val="24"/>
                <w:szCs w:val="24"/>
                <w:lang w:eastAsia="en-AU"/>
                <w14:ligatures w14:val="standardContextual"/>
              </w:rPr>
              <w:tab/>
            </w:r>
            <w:r w:rsidRPr="0021174C">
              <w:rPr>
                <w:rStyle w:val="Hyperlink"/>
              </w:rPr>
              <w:t>Destruction</w:t>
            </w:r>
            <w:r>
              <w:rPr>
                <w:webHidden/>
              </w:rPr>
              <w:tab/>
            </w:r>
            <w:r>
              <w:rPr>
                <w:webHidden/>
              </w:rPr>
              <w:fldChar w:fldCharType="begin"/>
            </w:r>
            <w:r>
              <w:rPr>
                <w:webHidden/>
              </w:rPr>
              <w:instrText xml:space="preserve"> PAGEREF _Toc191998675 \h </w:instrText>
            </w:r>
            <w:r>
              <w:rPr>
                <w:webHidden/>
              </w:rPr>
            </w:r>
            <w:r>
              <w:rPr>
                <w:webHidden/>
              </w:rPr>
              <w:fldChar w:fldCharType="separate"/>
            </w:r>
            <w:r>
              <w:rPr>
                <w:webHidden/>
              </w:rPr>
              <w:t>89</w:t>
            </w:r>
            <w:r>
              <w:rPr>
                <w:webHidden/>
              </w:rPr>
              <w:fldChar w:fldCharType="end"/>
            </w:r>
          </w:hyperlink>
        </w:p>
        <w:p w14:paraId="54B62240" w14:textId="18973F1E" w:rsidR="00B840C5" w:rsidRDefault="00B840C5" w:rsidP="008D3749">
          <w:pPr>
            <w:pStyle w:val="TOC3"/>
            <w:tabs>
              <w:tab w:val="left" w:pos="1260"/>
            </w:tabs>
            <w:ind w:firstLine="630"/>
            <w:rPr>
              <w:rFonts w:eastAsiaTheme="minorEastAsia"/>
              <w:kern w:val="2"/>
              <w:sz w:val="24"/>
              <w:szCs w:val="24"/>
              <w:lang w:eastAsia="en-AU"/>
              <w14:ligatures w14:val="standardContextual"/>
            </w:rPr>
          </w:pPr>
          <w:hyperlink w:anchor="_Toc191998676" w:history="1">
            <w:r w:rsidRPr="0021174C">
              <w:rPr>
                <w:rStyle w:val="Hyperlink"/>
              </w:rPr>
              <w:t>6.3</w:t>
            </w:r>
            <w:r>
              <w:rPr>
                <w:rFonts w:eastAsiaTheme="minorEastAsia"/>
                <w:kern w:val="2"/>
                <w:sz w:val="24"/>
                <w:szCs w:val="24"/>
                <w:lang w:eastAsia="en-AU"/>
                <w14:ligatures w14:val="standardContextual"/>
              </w:rPr>
              <w:tab/>
            </w:r>
            <w:r w:rsidRPr="0021174C">
              <w:rPr>
                <w:rStyle w:val="Hyperlink"/>
              </w:rPr>
              <w:t>Disposal</w:t>
            </w:r>
            <w:r>
              <w:rPr>
                <w:webHidden/>
              </w:rPr>
              <w:tab/>
            </w:r>
            <w:r>
              <w:rPr>
                <w:webHidden/>
              </w:rPr>
              <w:fldChar w:fldCharType="begin"/>
            </w:r>
            <w:r>
              <w:rPr>
                <w:webHidden/>
              </w:rPr>
              <w:instrText xml:space="preserve"> PAGEREF _Toc191998676 \h </w:instrText>
            </w:r>
            <w:r>
              <w:rPr>
                <w:webHidden/>
              </w:rPr>
            </w:r>
            <w:r>
              <w:rPr>
                <w:webHidden/>
              </w:rPr>
              <w:fldChar w:fldCharType="separate"/>
            </w:r>
            <w:r>
              <w:rPr>
                <w:webHidden/>
              </w:rPr>
              <w:t>90</w:t>
            </w:r>
            <w:r>
              <w:rPr>
                <w:webHidden/>
              </w:rPr>
              <w:fldChar w:fldCharType="end"/>
            </w:r>
          </w:hyperlink>
        </w:p>
        <w:p w14:paraId="6A4CD4C1" w14:textId="1C4A9147" w:rsidR="00B840C5" w:rsidRPr="008D3749" w:rsidRDefault="00B840C5" w:rsidP="008D3749">
          <w:pPr>
            <w:pStyle w:val="TOC2"/>
            <w:ind w:firstLine="270"/>
            <w:rPr>
              <w:rFonts w:eastAsiaTheme="minorEastAsia"/>
              <w:b/>
              <w:bCs/>
              <w:kern w:val="2"/>
              <w:sz w:val="24"/>
              <w:szCs w:val="24"/>
              <w:lang w:eastAsia="en-AU"/>
              <w14:ligatures w14:val="standardContextual"/>
            </w:rPr>
          </w:pPr>
          <w:hyperlink w:anchor="_Toc191998677" w:history="1">
            <w:r w:rsidRPr="008D3749">
              <w:rPr>
                <w:rStyle w:val="Hyperlink"/>
                <w:b/>
                <w:bCs/>
              </w:rPr>
              <w:t>Appendix A: Taxon-specific information on some invasive marine bivalves to Australia</w:t>
            </w:r>
            <w:r w:rsidRPr="008D3749">
              <w:rPr>
                <w:b/>
                <w:bCs/>
                <w:webHidden/>
              </w:rPr>
              <w:tab/>
            </w:r>
            <w:r w:rsidRPr="008D3749">
              <w:rPr>
                <w:b/>
                <w:bCs/>
                <w:webHidden/>
              </w:rPr>
              <w:fldChar w:fldCharType="begin"/>
            </w:r>
            <w:r w:rsidRPr="008D3749">
              <w:rPr>
                <w:b/>
                <w:bCs/>
                <w:webHidden/>
              </w:rPr>
              <w:instrText xml:space="preserve"> PAGEREF _Toc191998677 \h </w:instrText>
            </w:r>
            <w:r w:rsidRPr="008D3749">
              <w:rPr>
                <w:b/>
                <w:bCs/>
                <w:webHidden/>
              </w:rPr>
            </w:r>
            <w:r w:rsidRPr="008D3749">
              <w:rPr>
                <w:b/>
                <w:bCs/>
                <w:webHidden/>
              </w:rPr>
              <w:fldChar w:fldCharType="separate"/>
            </w:r>
            <w:r w:rsidRPr="008D3749">
              <w:rPr>
                <w:b/>
                <w:bCs/>
                <w:webHidden/>
              </w:rPr>
              <w:t>92</w:t>
            </w:r>
            <w:r w:rsidRPr="008D3749">
              <w:rPr>
                <w:b/>
                <w:bCs/>
                <w:webHidden/>
              </w:rPr>
              <w:fldChar w:fldCharType="end"/>
            </w:r>
          </w:hyperlink>
        </w:p>
        <w:p w14:paraId="208AD259" w14:textId="64B430A3" w:rsidR="00B840C5" w:rsidRDefault="00B840C5" w:rsidP="008D3749">
          <w:pPr>
            <w:pStyle w:val="TOC3"/>
            <w:ind w:firstLine="630"/>
            <w:rPr>
              <w:rFonts w:eastAsiaTheme="minorEastAsia"/>
              <w:kern w:val="2"/>
              <w:sz w:val="24"/>
              <w:szCs w:val="24"/>
              <w:lang w:eastAsia="en-AU"/>
              <w14:ligatures w14:val="standardContextual"/>
            </w:rPr>
          </w:pPr>
          <w:hyperlink w:anchor="_Toc191998678" w:history="1">
            <w:r w:rsidRPr="0021174C">
              <w:rPr>
                <w:rStyle w:val="Hyperlink"/>
              </w:rPr>
              <w:t>Family Corbulidae</w:t>
            </w:r>
            <w:r>
              <w:rPr>
                <w:webHidden/>
              </w:rPr>
              <w:tab/>
            </w:r>
            <w:r>
              <w:rPr>
                <w:webHidden/>
              </w:rPr>
              <w:fldChar w:fldCharType="begin"/>
            </w:r>
            <w:r>
              <w:rPr>
                <w:webHidden/>
              </w:rPr>
              <w:instrText xml:space="preserve"> PAGEREF _Toc191998678 \h </w:instrText>
            </w:r>
            <w:r>
              <w:rPr>
                <w:webHidden/>
              </w:rPr>
            </w:r>
            <w:r>
              <w:rPr>
                <w:webHidden/>
              </w:rPr>
              <w:fldChar w:fldCharType="separate"/>
            </w:r>
            <w:r>
              <w:rPr>
                <w:webHidden/>
              </w:rPr>
              <w:t>92</w:t>
            </w:r>
            <w:r>
              <w:rPr>
                <w:webHidden/>
              </w:rPr>
              <w:fldChar w:fldCharType="end"/>
            </w:r>
          </w:hyperlink>
        </w:p>
        <w:p w14:paraId="08B458D5" w14:textId="7F0C29BC" w:rsidR="00B840C5" w:rsidRDefault="00B840C5" w:rsidP="008D3749">
          <w:pPr>
            <w:pStyle w:val="TOC3"/>
            <w:ind w:firstLine="630"/>
            <w:rPr>
              <w:rFonts w:eastAsiaTheme="minorEastAsia"/>
              <w:kern w:val="2"/>
              <w:sz w:val="24"/>
              <w:szCs w:val="24"/>
              <w:lang w:eastAsia="en-AU"/>
              <w14:ligatures w14:val="standardContextual"/>
            </w:rPr>
          </w:pPr>
          <w:hyperlink w:anchor="_Toc191998679" w:history="1">
            <w:r w:rsidRPr="0021174C">
              <w:rPr>
                <w:rStyle w:val="Hyperlink"/>
              </w:rPr>
              <w:t>Family Dreissenidae</w:t>
            </w:r>
            <w:r>
              <w:rPr>
                <w:webHidden/>
              </w:rPr>
              <w:tab/>
            </w:r>
            <w:r>
              <w:rPr>
                <w:webHidden/>
              </w:rPr>
              <w:fldChar w:fldCharType="begin"/>
            </w:r>
            <w:r>
              <w:rPr>
                <w:webHidden/>
              </w:rPr>
              <w:instrText xml:space="preserve"> PAGEREF _Toc191998679 \h </w:instrText>
            </w:r>
            <w:r>
              <w:rPr>
                <w:webHidden/>
              </w:rPr>
            </w:r>
            <w:r>
              <w:rPr>
                <w:webHidden/>
              </w:rPr>
              <w:fldChar w:fldCharType="separate"/>
            </w:r>
            <w:r>
              <w:rPr>
                <w:webHidden/>
              </w:rPr>
              <w:t>103</w:t>
            </w:r>
            <w:r>
              <w:rPr>
                <w:webHidden/>
              </w:rPr>
              <w:fldChar w:fldCharType="end"/>
            </w:r>
          </w:hyperlink>
        </w:p>
        <w:p w14:paraId="09C09536" w14:textId="04DAE525" w:rsidR="00B840C5" w:rsidRDefault="00B840C5" w:rsidP="008D3749">
          <w:pPr>
            <w:pStyle w:val="TOC3"/>
            <w:ind w:firstLine="630"/>
            <w:rPr>
              <w:rFonts w:eastAsiaTheme="minorEastAsia"/>
              <w:kern w:val="2"/>
              <w:sz w:val="24"/>
              <w:szCs w:val="24"/>
              <w:lang w:eastAsia="en-AU"/>
              <w14:ligatures w14:val="standardContextual"/>
            </w:rPr>
          </w:pPr>
          <w:hyperlink w:anchor="_Toc191998680" w:history="1">
            <w:r w:rsidRPr="0021174C">
              <w:rPr>
                <w:rStyle w:val="Hyperlink"/>
              </w:rPr>
              <w:t>Family Myidae</w:t>
            </w:r>
            <w:r>
              <w:rPr>
                <w:webHidden/>
              </w:rPr>
              <w:tab/>
            </w:r>
            <w:r>
              <w:rPr>
                <w:webHidden/>
              </w:rPr>
              <w:fldChar w:fldCharType="begin"/>
            </w:r>
            <w:r>
              <w:rPr>
                <w:webHidden/>
              </w:rPr>
              <w:instrText xml:space="preserve"> PAGEREF _Toc191998680 \h </w:instrText>
            </w:r>
            <w:r>
              <w:rPr>
                <w:webHidden/>
              </w:rPr>
            </w:r>
            <w:r>
              <w:rPr>
                <w:webHidden/>
              </w:rPr>
              <w:fldChar w:fldCharType="separate"/>
            </w:r>
            <w:r>
              <w:rPr>
                <w:webHidden/>
              </w:rPr>
              <w:t>111</w:t>
            </w:r>
            <w:r>
              <w:rPr>
                <w:webHidden/>
              </w:rPr>
              <w:fldChar w:fldCharType="end"/>
            </w:r>
          </w:hyperlink>
        </w:p>
        <w:p w14:paraId="3C28E413" w14:textId="19DC542A" w:rsidR="00B840C5" w:rsidRDefault="00B840C5" w:rsidP="008D3749">
          <w:pPr>
            <w:pStyle w:val="TOC3"/>
            <w:ind w:firstLine="630"/>
            <w:rPr>
              <w:rFonts w:eastAsiaTheme="minorEastAsia"/>
              <w:kern w:val="2"/>
              <w:sz w:val="24"/>
              <w:szCs w:val="24"/>
              <w:lang w:eastAsia="en-AU"/>
              <w14:ligatures w14:val="standardContextual"/>
            </w:rPr>
          </w:pPr>
          <w:hyperlink w:anchor="_Toc191998681" w:history="1">
            <w:r w:rsidRPr="0021174C">
              <w:rPr>
                <w:rStyle w:val="Hyperlink"/>
              </w:rPr>
              <w:t>Family Mytilidae</w:t>
            </w:r>
            <w:r>
              <w:rPr>
                <w:webHidden/>
              </w:rPr>
              <w:tab/>
            </w:r>
            <w:r>
              <w:rPr>
                <w:webHidden/>
              </w:rPr>
              <w:fldChar w:fldCharType="begin"/>
            </w:r>
            <w:r>
              <w:rPr>
                <w:webHidden/>
              </w:rPr>
              <w:instrText xml:space="preserve"> PAGEREF _Toc191998681 \h </w:instrText>
            </w:r>
            <w:r>
              <w:rPr>
                <w:webHidden/>
              </w:rPr>
            </w:r>
            <w:r>
              <w:rPr>
                <w:webHidden/>
              </w:rPr>
              <w:fldChar w:fldCharType="separate"/>
            </w:r>
            <w:r>
              <w:rPr>
                <w:webHidden/>
              </w:rPr>
              <w:t>119</w:t>
            </w:r>
            <w:r>
              <w:rPr>
                <w:webHidden/>
              </w:rPr>
              <w:fldChar w:fldCharType="end"/>
            </w:r>
          </w:hyperlink>
        </w:p>
        <w:p w14:paraId="07C2943B" w14:textId="52B97D57" w:rsidR="00B840C5" w:rsidRDefault="00B840C5" w:rsidP="008D3749">
          <w:pPr>
            <w:pStyle w:val="TOC3"/>
            <w:ind w:firstLine="630"/>
            <w:rPr>
              <w:rFonts w:eastAsiaTheme="minorEastAsia"/>
              <w:kern w:val="2"/>
              <w:sz w:val="24"/>
              <w:szCs w:val="24"/>
              <w:lang w:eastAsia="en-AU"/>
              <w14:ligatures w14:val="standardContextual"/>
            </w:rPr>
          </w:pPr>
          <w:hyperlink w:anchor="_Toc191998682" w:history="1">
            <w:r w:rsidRPr="0021174C">
              <w:rPr>
                <w:rStyle w:val="Hyperlink"/>
              </w:rPr>
              <w:t>Family Ostreidae</w:t>
            </w:r>
            <w:r>
              <w:rPr>
                <w:webHidden/>
              </w:rPr>
              <w:tab/>
            </w:r>
            <w:r>
              <w:rPr>
                <w:webHidden/>
              </w:rPr>
              <w:fldChar w:fldCharType="begin"/>
            </w:r>
            <w:r>
              <w:rPr>
                <w:webHidden/>
              </w:rPr>
              <w:instrText xml:space="preserve"> PAGEREF _Toc191998682 \h </w:instrText>
            </w:r>
            <w:r>
              <w:rPr>
                <w:webHidden/>
              </w:rPr>
            </w:r>
            <w:r>
              <w:rPr>
                <w:webHidden/>
              </w:rPr>
              <w:fldChar w:fldCharType="separate"/>
            </w:r>
            <w:r>
              <w:rPr>
                <w:webHidden/>
              </w:rPr>
              <w:t>144</w:t>
            </w:r>
            <w:r>
              <w:rPr>
                <w:webHidden/>
              </w:rPr>
              <w:fldChar w:fldCharType="end"/>
            </w:r>
          </w:hyperlink>
        </w:p>
        <w:p w14:paraId="4EBD616B" w14:textId="0734E1A2" w:rsidR="00B840C5" w:rsidRPr="008D3749" w:rsidRDefault="00B840C5" w:rsidP="008D3749">
          <w:pPr>
            <w:pStyle w:val="TOC2"/>
            <w:ind w:firstLine="270"/>
            <w:rPr>
              <w:rFonts w:eastAsiaTheme="minorEastAsia"/>
              <w:b/>
              <w:bCs/>
              <w:kern w:val="2"/>
              <w:sz w:val="24"/>
              <w:szCs w:val="24"/>
              <w:lang w:eastAsia="en-AU"/>
              <w14:ligatures w14:val="standardContextual"/>
            </w:rPr>
          </w:pPr>
          <w:hyperlink w:anchor="_Toc191998683" w:history="1">
            <w:r w:rsidRPr="008D3749">
              <w:rPr>
                <w:rStyle w:val="Hyperlink"/>
                <w:b/>
                <w:bCs/>
              </w:rPr>
              <w:t>Appendix B: Policy principles for determining the current status of marine pests</w:t>
            </w:r>
            <w:r w:rsidRPr="008D3749">
              <w:rPr>
                <w:b/>
                <w:bCs/>
                <w:webHidden/>
              </w:rPr>
              <w:tab/>
            </w:r>
            <w:r w:rsidRPr="008D3749">
              <w:rPr>
                <w:b/>
                <w:bCs/>
                <w:webHidden/>
              </w:rPr>
              <w:fldChar w:fldCharType="begin"/>
            </w:r>
            <w:r w:rsidRPr="008D3749">
              <w:rPr>
                <w:b/>
                <w:bCs/>
                <w:webHidden/>
              </w:rPr>
              <w:instrText xml:space="preserve"> PAGEREF _Toc191998683 \h </w:instrText>
            </w:r>
            <w:r w:rsidRPr="008D3749">
              <w:rPr>
                <w:b/>
                <w:bCs/>
                <w:webHidden/>
              </w:rPr>
            </w:r>
            <w:r w:rsidRPr="008D3749">
              <w:rPr>
                <w:b/>
                <w:bCs/>
                <w:webHidden/>
              </w:rPr>
              <w:fldChar w:fldCharType="separate"/>
            </w:r>
            <w:r w:rsidRPr="008D3749">
              <w:rPr>
                <w:b/>
                <w:bCs/>
                <w:webHidden/>
              </w:rPr>
              <w:t>163</w:t>
            </w:r>
            <w:r w:rsidRPr="008D3749">
              <w:rPr>
                <w:b/>
                <w:bCs/>
                <w:webHidden/>
              </w:rPr>
              <w:fldChar w:fldCharType="end"/>
            </w:r>
          </w:hyperlink>
        </w:p>
        <w:p w14:paraId="524F125F" w14:textId="169E50EE" w:rsidR="00B840C5" w:rsidRPr="008D3749" w:rsidRDefault="00B840C5" w:rsidP="008D3749">
          <w:pPr>
            <w:pStyle w:val="TOC2"/>
            <w:ind w:firstLine="270"/>
            <w:rPr>
              <w:rFonts w:eastAsiaTheme="minorEastAsia"/>
              <w:b/>
              <w:bCs/>
              <w:kern w:val="2"/>
              <w:sz w:val="24"/>
              <w:szCs w:val="24"/>
              <w:lang w:eastAsia="en-AU"/>
              <w14:ligatures w14:val="standardContextual"/>
            </w:rPr>
          </w:pPr>
          <w:hyperlink w:anchor="_Toc191998684" w:history="1">
            <w:r w:rsidRPr="008D3749">
              <w:rPr>
                <w:rStyle w:val="Hyperlink"/>
                <w:b/>
                <w:bCs/>
              </w:rPr>
              <w:t xml:space="preserve">Appendix C: Using the </w:t>
            </w:r>
            <w:r w:rsidRPr="008D3749">
              <w:rPr>
                <w:rStyle w:val="Hyperlink"/>
                <w:b/>
                <w:bCs/>
                <w:i/>
                <w:iCs/>
              </w:rPr>
              <w:t>Biosecurity Act 2015</w:t>
            </w:r>
            <w:r w:rsidRPr="008D3749">
              <w:rPr>
                <w:rStyle w:val="Hyperlink"/>
                <w:b/>
                <w:bCs/>
              </w:rPr>
              <w:t xml:space="preserve"> during an emergency response</w:t>
            </w:r>
            <w:r w:rsidRPr="008D3749">
              <w:rPr>
                <w:b/>
                <w:bCs/>
                <w:webHidden/>
              </w:rPr>
              <w:tab/>
            </w:r>
            <w:r w:rsidRPr="008D3749">
              <w:rPr>
                <w:b/>
                <w:bCs/>
                <w:webHidden/>
              </w:rPr>
              <w:fldChar w:fldCharType="begin"/>
            </w:r>
            <w:r w:rsidRPr="008D3749">
              <w:rPr>
                <w:b/>
                <w:bCs/>
                <w:webHidden/>
              </w:rPr>
              <w:instrText xml:space="preserve"> PAGEREF _Toc191998684 \h </w:instrText>
            </w:r>
            <w:r w:rsidRPr="008D3749">
              <w:rPr>
                <w:b/>
                <w:bCs/>
                <w:webHidden/>
              </w:rPr>
            </w:r>
            <w:r w:rsidRPr="008D3749">
              <w:rPr>
                <w:b/>
                <w:bCs/>
                <w:webHidden/>
              </w:rPr>
              <w:fldChar w:fldCharType="separate"/>
            </w:r>
            <w:r w:rsidRPr="008D3749">
              <w:rPr>
                <w:b/>
                <w:bCs/>
                <w:webHidden/>
              </w:rPr>
              <w:t>165</w:t>
            </w:r>
            <w:r w:rsidRPr="008D3749">
              <w:rPr>
                <w:b/>
                <w:bCs/>
                <w:webHidden/>
              </w:rPr>
              <w:fldChar w:fldCharType="end"/>
            </w:r>
          </w:hyperlink>
        </w:p>
        <w:p w14:paraId="3E80B1CF" w14:textId="0EA234BC" w:rsidR="00B840C5" w:rsidRPr="008D3749" w:rsidRDefault="00B840C5" w:rsidP="008D3749">
          <w:pPr>
            <w:pStyle w:val="TOC2"/>
            <w:ind w:left="270" w:firstLine="0"/>
            <w:rPr>
              <w:rFonts w:eastAsiaTheme="minorEastAsia"/>
              <w:b/>
              <w:bCs/>
              <w:kern w:val="2"/>
              <w:sz w:val="24"/>
              <w:szCs w:val="24"/>
              <w:lang w:eastAsia="en-AU"/>
              <w14:ligatures w14:val="standardContextual"/>
            </w:rPr>
          </w:pPr>
          <w:hyperlink w:anchor="_Toc191998685" w:history="1">
            <w:r w:rsidRPr="008D3749">
              <w:rPr>
                <w:rStyle w:val="Hyperlink"/>
                <w:b/>
                <w:bCs/>
              </w:rPr>
              <w:t>Appendix D: Commonwealth, state, and territory legislative powers of intervention and enforcement</w:t>
            </w:r>
            <w:r w:rsidRPr="008D3749">
              <w:rPr>
                <w:b/>
                <w:bCs/>
                <w:webHidden/>
              </w:rPr>
              <w:tab/>
            </w:r>
            <w:r w:rsidRPr="008D3749">
              <w:rPr>
                <w:b/>
                <w:bCs/>
                <w:webHidden/>
              </w:rPr>
              <w:fldChar w:fldCharType="begin"/>
            </w:r>
            <w:r w:rsidRPr="008D3749">
              <w:rPr>
                <w:b/>
                <w:bCs/>
                <w:webHidden/>
              </w:rPr>
              <w:instrText xml:space="preserve"> PAGEREF _Toc191998685 \h </w:instrText>
            </w:r>
            <w:r w:rsidRPr="008D3749">
              <w:rPr>
                <w:b/>
                <w:bCs/>
                <w:webHidden/>
              </w:rPr>
            </w:r>
            <w:r w:rsidRPr="008D3749">
              <w:rPr>
                <w:b/>
                <w:bCs/>
                <w:webHidden/>
              </w:rPr>
              <w:fldChar w:fldCharType="separate"/>
            </w:r>
            <w:r w:rsidRPr="008D3749">
              <w:rPr>
                <w:b/>
                <w:bCs/>
                <w:webHidden/>
              </w:rPr>
              <w:t>167</w:t>
            </w:r>
            <w:r w:rsidRPr="008D3749">
              <w:rPr>
                <w:b/>
                <w:bCs/>
                <w:webHidden/>
              </w:rPr>
              <w:fldChar w:fldCharType="end"/>
            </w:r>
          </w:hyperlink>
        </w:p>
        <w:p w14:paraId="6A32303B" w14:textId="76F2DC8B" w:rsidR="00B840C5" w:rsidRPr="008D3749" w:rsidRDefault="00B840C5" w:rsidP="008D3749">
          <w:pPr>
            <w:pStyle w:val="TOC2"/>
            <w:ind w:firstLine="270"/>
            <w:rPr>
              <w:rFonts w:eastAsiaTheme="minorEastAsia"/>
              <w:b/>
              <w:bCs/>
              <w:kern w:val="2"/>
              <w:sz w:val="24"/>
              <w:szCs w:val="24"/>
              <w:lang w:eastAsia="en-AU"/>
              <w14:ligatures w14:val="standardContextual"/>
            </w:rPr>
          </w:pPr>
          <w:hyperlink w:anchor="_Toc191998686" w:history="1">
            <w:r w:rsidRPr="008D3749">
              <w:rPr>
                <w:rStyle w:val="Hyperlink"/>
                <w:b/>
                <w:bCs/>
              </w:rPr>
              <w:t>Appendix E: Settlement array designs to sample invasive marine bivalves</w:t>
            </w:r>
            <w:r w:rsidRPr="008D3749">
              <w:rPr>
                <w:b/>
                <w:bCs/>
                <w:webHidden/>
              </w:rPr>
              <w:tab/>
            </w:r>
            <w:r w:rsidRPr="008D3749">
              <w:rPr>
                <w:b/>
                <w:bCs/>
                <w:webHidden/>
              </w:rPr>
              <w:fldChar w:fldCharType="begin"/>
            </w:r>
            <w:r w:rsidRPr="008D3749">
              <w:rPr>
                <w:b/>
                <w:bCs/>
                <w:webHidden/>
              </w:rPr>
              <w:instrText xml:space="preserve"> PAGEREF _Toc191998686 \h </w:instrText>
            </w:r>
            <w:r w:rsidRPr="008D3749">
              <w:rPr>
                <w:b/>
                <w:bCs/>
                <w:webHidden/>
              </w:rPr>
            </w:r>
            <w:r w:rsidRPr="008D3749">
              <w:rPr>
                <w:b/>
                <w:bCs/>
                <w:webHidden/>
              </w:rPr>
              <w:fldChar w:fldCharType="separate"/>
            </w:r>
            <w:r w:rsidRPr="008D3749">
              <w:rPr>
                <w:b/>
                <w:bCs/>
                <w:webHidden/>
              </w:rPr>
              <w:t>169</w:t>
            </w:r>
            <w:r w:rsidRPr="008D3749">
              <w:rPr>
                <w:b/>
                <w:bCs/>
                <w:webHidden/>
              </w:rPr>
              <w:fldChar w:fldCharType="end"/>
            </w:r>
          </w:hyperlink>
        </w:p>
        <w:p w14:paraId="22714611" w14:textId="3CA2AA14" w:rsidR="00B840C5" w:rsidRDefault="00B840C5" w:rsidP="008D3749">
          <w:pPr>
            <w:pStyle w:val="TOC3"/>
            <w:ind w:firstLine="630"/>
            <w:rPr>
              <w:rFonts w:eastAsiaTheme="minorEastAsia"/>
              <w:kern w:val="2"/>
              <w:sz w:val="24"/>
              <w:szCs w:val="24"/>
              <w:lang w:eastAsia="en-AU"/>
              <w14:ligatures w14:val="standardContextual"/>
            </w:rPr>
          </w:pPr>
          <w:hyperlink w:anchor="_Toc191998687" w:history="1">
            <w:r w:rsidRPr="0021174C">
              <w:rPr>
                <w:rStyle w:val="Hyperlink"/>
              </w:rPr>
              <w:t>Box array</w:t>
            </w:r>
            <w:r>
              <w:rPr>
                <w:webHidden/>
              </w:rPr>
              <w:tab/>
            </w:r>
            <w:r>
              <w:rPr>
                <w:webHidden/>
              </w:rPr>
              <w:fldChar w:fldCharType="begin"/>
            </w:r>
            <w:r>
              <w:rPr>
                <w:webHidden/>
              </w:rPr>
              <w:instrText xml:space="preserve"> PAGEREF _Toc191998687 \h </w:instrText>
            </w:r>
            <w:r>
              <w:rPr>
                <w:webHidden/>
              </w:rPr>
            </w:r>
            <w:r>
              <w:rPr>
                <w:webHidden/>
              </w:rPr>
              <w:fldChar w:fldCharType="separate"/>
            </w:r>
            <w:r>
              <w:rPr>
                <w:webHidden/>
              </w:rPr>
              <w:t>169</w:t>
            </w:r>
            <w:r>
              <w:rPr>
                <w:webHidden/>
              </w:rPr>
              <w:fldChar w:fldCharType="end"/>
            </w:r>
          </w:hyperlink>
        </w:p>
        <w:p w14:paraId="6E99AC9A" w14:textId="4EBA00A8" w:rsidR="00B840C5" w:rsidRDefault="00B840C5" w:rsidP="008D3749">
          <w:pPr>
            <w:pStyle w:val="TOC3"/>
            <w:ind w:firstLine="630"/>
            <w:rPr>
              <w:rFonts w:eastAsiaTheme="minorEastAsia"/>
              <w:kern w:val="2"/>
              <w:sz w:val="24"/>
              <w:szCs w:val="24"/>
              <w:lang w:eastAsia="en-AU"/>
              <w14:ligatures w14:val="standardContextual"/>
            </w:rPr>
          </w:pPr>
          <w:hyperlink w:anchor="_Toc191998688" w:history="1">
            <w:r w:rsidRPr="0021174C">
              <w:rPr>
                <w:rStyle w:val="Hyperlink"/>
              </w:rPr>
              <w:t>Hanging settlement array</w:t>
            </w:r>
            <w:r>
              <w:rPr>
                <w:webHidden/>
              </w:rPr>
              <w:tab/>
            </w:r>
            <w:r>
              <w:rPr>
                <w:webHidden/>
              </w:rPr>
              <w:fldChar w:fldCharType="begin"/>
            </w:r>
            <w:r>
              <w:rPr>
                <w:webHidden/>
              </w:rPr>
              <w:instrText xml:space="preserve"> PAGEREF _Toc191998688 \h </w:instrText>
            </w:r>
            <w:r>
              <w:rPr>
                <w:webHidden/>
              </w:rPr>
            </w:r>
            <w:r>
              <w:rPr>
                <w:webHidden/>
              </w:rPr>
              <w:fldChar w:fldCharType="separate"/>
            </w:r>
            <w:r>
              <w:rPr>
                <w:webHidden/>
              </w:rPr>
              <w:t>171</w:t>
            </w:r>
            <w:r>
              <w:rPr>
                <w:webHidden/>
              </w:rPr>
              <w:fldChar w:fldCharType="end"/>
            </w:r>
          </w:hyperlink>
        </w:p>
        <w:p w14:paraId="187F7327" w14:textId="1ACA7EE2" w:rsidR="00B840C5" w:rsidRDefault="00B840C5" w:rsidP="008D3749">
          <w:pPr>
            <w:pStyle w:val="TOC3"/>
            <w:ind w:firstLine="630"/>
            <w:rPr>
              <w:rFonts w:eastAsiaTheme="minorEastAsia"/>
              <w:kern w:val="2"/>
              <w:sz w:val="24"/>
              <w:szCs w:val="24"/>
              <w:lang w:eastAsia="en-AU"/>
              <w14:ligatures w14:val="standardContextual"/>
            </w:rPr>
          </w:pPr>
          <w:hyperlink w:anchor="_Toc191998689" w:history="1">
            <w:r w:rsidRPr="0021174C">
              <w:rPr>
                <w:rStyle w:val="Hyperlink"/>
              </w:rPr>
              <w:t>Double T-unit array</w:t>
            </w:r>
            <w:r>
              <w:rPr>
                <w:webHidden/>
              </w:rPr>
              <w:tab/>
            </w:r>
            <w:r>
              <w:rPr>
                <w:webHidden/>
              </w:rPr>
              <w:fldChar w:fldCharType="begin"/>
            </w:r>
            <w:r>
              <w:rPr>
                <w:webHidden/>
              </w:rPr>
              <w:instrText xml:space="preserve"> PAGEREF _Toc191998689 \h </w:instrText>
            </w:r>
            <w:r>
              <w:rPr>
                <w:webHidden/>
              </w:rPr>
            </w:r>
            <w:r>
              <w:rPr>
                <w:webHidden/>
              </w:rPr>
              <w:fldChar w:fldCharType="separate"/>
            </w:r>
            <w:r>
              <w:rPr>
                <w:webHidden/>
              </w:rPr>
              <w:t>172</w:t>
            </w:r>
            <w:r>
              <w:rPr>
                <w:webHidden/>
              </w:rPr>
              <w:fldChar w:fldCharType="end"/>
            </w:r>
          </w:hyperlink>
        </w:p>
        <w:p w14:paraId="6C716586" w14:textId="33CD98A7" w:rsidR="00B840C5" w:rsidRDefault="00B840C5" w:rsidP="008D3749">
          <w:pPr>
            <w:pStyle w:val="TOC3"/>
            <w:ind w:firstLine="630"/>
            <w:rPr>
              <w:rFonts w:eastAsiaTheme="minorEastAsia"/>
              <w:kern w:val="2"/>
              <w:sz w:val="24"/>
              <w:szCs w:val="24"/>
              <w:lang w:eastAsia="en-AU"/>
              <w14:ligatures w14:val="standardContextual"/>
            </w:rPr>
          </w:pPr>
          <w:hyperlink w:anchor="_Toc191998690" w:history="1">
            <w:r w:rsidRPr="0021174C">
              <w:rPr>
                <w:rStyle w:val="Hyperlink"/>
              </w:rPr>
              <w:t>Single T-unit array</w:t>
            </w:r>
            <w:r>
              <w:rPr>
                <w:webHidden/>
              </w:rPr>
              <w:tab/>
            </w:r>
            <w:r>
              <w:rPr>
                <w:webHidden/>
              </w:rPr>
              <w:fldChar w:fldCharType="begin"/>
            </w:r>
            <w:r>
              <w:rPr>
                <w:webHidden/>
              </w:rPr>
              <w:instrText xml:space="preserve"> PAGEREF _Toc191998690 \h </w:instrText>
            </w:r>
            <w:r>
              <w:rPr>
                <w:webHidden/>
              </w:rPr>
            </w:r>
            <w:r>
              <w:rPr>
                <w:webHidden/>
              </w:rPr>
              <w:fldChar w:fldCharType="separate"/>
            </w:r>
            <w:r>
              <w:rPr>
                <w:webHidden/>
              </w:rPr>
              <w:t>173</w:t>
            </w:r>
            <w:r>
              <w:rPr>
                <w:webHidden/>
              </w:rPr>
              <w:fldChar w:fldCharType="end"/>
            </w:r>
          </w:hyperlink>
        </w:p>
        <w:p w14:paraId="5550B506" w14:textId="6AD2D098" w:rsidR="00B840C5" w:rsidRDefault="00B840C5" w:rsidP="008D3749">
          <w:pPr>
            <w:pStyle w:val="TOC3"/>
            <w:ind w:firstLine="630"/>
            <w:rPr>
              <w:rFonts w:eastAsiaTheme="minorEastAsia"/>
              <w:kern w:val="2"/>
              <w:sz w:val="24"/>
              <w:szCs w:val="24"/>
              <w:lang w:eastAsia="en-AU"/>
              <w14:ligatures w14:val="standardContextual"/>
            </w:rPr>
          </w:pPr>
          <w:hyperlink w:anchor="_Toc191998691" w:history="1">
            <w:r w:rsidRPr="0021174C">
              <w:rPr>
                <w:rStyle w:val="Hyperlink"/>
              </w:rPr>
              <w:t>Other array designs</w:t>
            </w:r>
            <w:r>
              <w:rPr>
                <w:webHidden/>
              </w:rPr>
              <w:tab/>
            </w:r>
            <w:r>
              <w:rPr>
                <w:webHidden/>
              </w:rPr>
              <w:fldChar w:fldCharType="begin"/>
            </w:r>
            <w:r>
              <w:rPr>
                <w:webHidden/>
              </w:rPr>
              <w:instrText xml:space="preserve"> PAGEREF _Toc191998691 \h </w:instrText>
            </w:r>
            <w:r>
              <w:rPr>
                <w:webHidden/>
              </w:rPr>
            </w:r>
            <w:r>
              <w:rPr>
                <w:webHidden/>
              </w:rPr>
              <w:fldChar w:fldCharType="separate"/>
            </w:r>
            <w:r>
              <w:rPr>
                <w:webHidden/>
              </w:rPr>
              <w:t>174</w:t>
            </w:r>
            <w:r>
              <w:rPr>
                <w:webHidden/>
              </w:rPr>
              <w:fldChar w:fldCharType="end"/>
            </w:r>
          </w:hyperlink>
        </w:p>
        <w:p w14:paraId="143D7E06" w14:textId="1F8F1BAB" w:rsidR="00B840C5" w:rsidRPr="008D3749" w:rsidRDefault="00B840C5" w:rsidP="008D3749">
          <w:pPr>
            <w:pStyle w:val="TOC2"/>
            <w:ind w:firstLine="270"/>
            <w:rPr>
              <w:rFonts w:eastAsiaTheme="minorEastAsia"/>
              <w:b/>
              <w:bCs/>
              <w:kern w:val="2"/>
              <w:sz w:val="24"/>
              <w:szCs w:val="24"/>
              <w:lang w:eastAsia="en-AU"/>
              <w14:ligatures w14:val="standardContextual"/>
            </w:rPr>
          </w:pPr>
          <w:hyperlink w:anchor="_Toc191998692" w:history="1">
            <w:r w:rsidRPr="008D3749">
              <w:rPr>
                <w:rStyle w:val="Hyperlink"/>
                <w:b/>
                <w:bCs/>
              </w:rPr>
              <w:t>Appendix F: Using plankton and water samples to detect bivalve larvae, gametes and eDNA</w:t>
            </w:r>
            <w:r w:rsidRPr="008D3749">
              <w:rPr>
                <w:b/>
                <w:bCs/>
                <w:webHidden/>
              </w:rPr>
              <w:tab/>
            </w:r>
            <w:r w:rsidRPr="008D3749">
              <w:rPr>
                <w:b/>
                <w:bCs/>
                <w:webHidden/>
              </w:rPr>
              <w:fldChar w:fldCharType="begin"/>
            </w:r>
            <w:r w:rsidRPr="008D3749">
              <w:rPr>
                <w:b/>
                <w:bCs/>
                <w:webHidden/>
              </w:rPr>
              <w:instrText xml:space="preserve"> PAGEREF _Toc191998692 \h </w:instrText>
            </w:r>
            <w:r w:rsidRPr="008D3749">
              <w:rPr>
                <w:b/>
                <w:bCs/>
                <w:webHidden/>
              </w:rPr>
            </w:r>
            <w:r w:rsidRPr="008D3749">
              <w:rPr>
                <w:b/>
                <w:bCs/>
                <w:webHidden/>
              </w:rPr>
              <w:fldChar w:fldCharType="separate"/>
            </w:r>
            <w:r w:rsidRPr="008D3749">
              <w:rPr>
                <w:b/>
                <w:bCs/>
                <w:webHidden/>
              </w:rPr>
              <w:t>175</w:t>
            </w:r>
            <w:r w:rsidRPr="008D3749">
              <w:rPr>
                <w:b/>
                <w:bCs/>
                <w:webHidden/>
              </w:rPr>
              <w:fldChar w:fldCharType="end"/>
            </w:r>
          </w:hyperlink>
        </w:p>
        <w:p w14:paraId="161873AA" w14:textId="294CF664" w:rsidR="00B840C5" w:rsidRPr="008D3749" w:rsidRDefault="00B840C5" w:rsidP="008D3749">
          <w:pPr>
            <w:pStyle w:val="TOC2"/>
            <w:ind w:firstLine="270"/>
            <w:rPr>
              <w:rFonts w:eastAsiaTheme="minorEastAsia"/>
              <w:b/>
              <w:bCs/>
              <w:kern w:val="2"/>
              <w:sz w:val="24"/>
              <w:szCs w:val="24"/>
              <w:lang w:eastAsia="en-AU"/>
              <w14:ligatures w14:val="standardContextual"/>
            </w:rPr>
          </w:pPr>
          <w:hyperlink w:anchor="_Toc191998693" w:history="1">
            <w:r w:rsidRPr="008D3749">
              <w:rPr>
                <w:rStyle w:val="Hyperlink"/>
                <w:b/>
                <w:bCs/>
              </w:rPr>
              <w:t>Glossary</w:t>
            </w:r>
            <w:r w:rsidRPr="008D3749">
              <w:rPr>
                <w:b/>
                <w:bCs/>
                <w:webHidden/>
              </w:rPr>
              <w:tab/>
            </w:r>
            <w:r w:rsidRPr="008D3749">
              <w:rPr>
                <w:b/>
                <w:bCs/>
                <w:webHidden/>
              </w:rPr>
              <w:fldChar w:fldCharType="begin"/>
            </w:r>
            <w:r w:rsidRPr="008D3749">
              <w:rPr>
                <w:b/>
                <w:bCs/>
                <w:webHidden/>
              </w:rPr>
              <w:instrText xml:space="preserve"> PAGEREF _Toc191998693 \h </w:instrText>
            </w:r>
            <w:r w:rsidRPr="008D3749">
              <w:rPr>
                <w:b/>
                <w:bCs/>
                <w:webHidden/>
              </w:rPr>
            </w:r>
            <w:r w:rsidRPr="008D3749">
              <w:rPr>
                <w:b/>
                <w:bCs/>
                <w:webHidden/>
              </w:rPr>
              <w:fldChar w:fldCharType="separate"/>
            </w:r>
            <w:r w:rsidRPr="008D3749">
              <w:rPr>
                <w:b/>
                <w:bCs/>
                <w:webHidden/>
              </w:rPr>
              <w:t>177</w:t>
            </w:r>
            <w:r w:rsidRPr="008D3749">
              <w:rPr>
                <w:b/>
                <w:bCs/>
                <w:webHidden/>
              </w:rPr>
              <w:fldChar w:fldCharType="end"/>
            </w:r>
          </w:hyperlink>
        </w:p>
        <w:p w14:paraId="4319FF2C" w14:textId="7B8D4076" w:rsidR="00B840C5" w:rsidRPr="008D3749" w:rsidRDefault="00B840C5" w:rsidP="008D3749">
          <w:pPr>
            <w:pStyle w:val="TOC2"/>
            <w:ind w:firstLine="270"/>
            <w:rPr>
              <w:rFonts w:eastAsiaTheme="minorEastAsia"/>
              <w:b/>
              <w:bCs/>
              <w:kern w:val="2"/>
              <w:sz w:val="24"/>
              <w:szCs w:val="24"/>
              <w:lang w:eastAsia="en-AU"/>
              <w14:ligatures w14:val="standardContextual"/>
            </w:rPr>
          </w:pPr>
          <w:hyperlink w:anchor="_Toc191998694" w:history="1">
            <w:r w:rsidRPr="008D3749">
              <w:rPr>
                <w:rStyle w:val="Hyperlink"/>
                <w:b/>
                <w:bCs/>
              </w:rPr>
              <w:t>References</w:t>
            </w:r>
            <w:r w:rsidRPr="008D3749">
              <w:rPr>
                <w:b/>
                <w:bCs/>
                <w:webHidden/>
              </w:rPr>
              <w:tab/>
            </w:r>
            <w:r w:rsidRPr="008D3749">
              <w:rPr>
                <w:b/>
                <w:bCs/>
                <w:webHidden/>
              </w:rPr>
              <w:fldChar w:fldCharType="begin"/>
            </w:r>
            <w:r w:rsidRPr="008D3749">
              <w:rPr>
                <w:b/>
                <w:bCs/>
                <w:webHidden/>
              </w:rPr>
              <w:instrText xml:space="preserve"> PAGEREF _Toc191998694 \h </w:instrText>
            </w:r>
            <w:r w:rsidRPr="008D3749">
              <w:rPr>
                <w:b/>
                <w:bCs/>
                <w:webHidden/>
              </w:rPr>
            </w:r>
            <w:r w:rsidRPr="008D3749">
              <w:rPr>
                <w:b/>
                <w:bCs/>
                <w:webHidden/>
              </w:rPr>
              <w:fldChar w:fldCharType="separate"/>
            </w:r>
            <w:r w:rsidRPr="008D3749">
              <w:rPr>
                <w:b/>
                <w:bCs/>
                <w:webHidden/>
              </w:rPr>
              <w:t>180</w:t>
            </w:r>
            <w:r w:rsidRPr="008D3749">
              <w:rPr>
                <w:b/>
                <w:bCs/>
                <w:webHidden/>
              </w:rPr>
              <w:fldChar w:fldCharType="end"/>
            </w:r>
          </w:hyperlink>
        </w:p>
        <w:p w14:paraId="20A842A0" w14:textId="575F2096" w:rsidR="002E098E" w:rsidRPr="00846769" w:rsidRDefault="00B5740F" w:rsidP="002E098E">
          <w:pPr>
            <w:rPr>
              <w:b/>
              <w:bCs/>
            </w:rPr>
          </w:pPr>
          <w:r w:rsidRPr="00846769">
            <w:rPr>
              <w:b/>
              <w:bCs/>
            </w:rPr>
            <w:fldChar w:fldCharType="end"/>
          </w:r>
        </w:p>
      </w:sdtContent>
    </w:sdt>
    <w:p w14:paraId="79A70354" w14:textId="0E8F5443" w:rsidR="001C504C" w:rsidRPr="00846769" w:rsidRDefault="001C504C">
      <w:pPr>
        <w:spacing w:after="160" w:line="259" w:lineRule="auto"/>
      </w:pPr>
      <w:r w:rsidRPr="00846769">
        <w:br w:type="page"/>
      </w:r>
    </w:p>
    <w:p w14:paraId="238A252E" w14:textId="3E11619F" w:rsidR="006939E1" w:rsidRPr="00A04E26" w:rsidRDefault="00B5740F" w:rsidP="001C504C">
      <w:pPr>
        <w:pStyle w:val="Heading3"/>
        <w:rPr>
          <w:b w:val="0"/>
          <w:bCs w:val="0"/>
          <w:color w:val="004661"/>
        </w:rPr>
      </w:pPr>
      <w:bookmarkStart w:id="14" w:name="_Toc191998637"/>
      <w:bookmarkStart w:id="15" w:name="_Hlk185232394"/>
      <w:r w:rsidRPr="00A04E26">
        <w:rPr>
          <w:rStyle w:val="Strong"/>
          <w:b/>
          <w:bCs/>
          <w:color w:val="004661"/>
        </w:rPr>
        <w:lastRenderedPageBreak/>
        <w:t>Tables</w:t>
      </w:r>
      <w:bookmarkEnd w:id="14"/>
    </w:p>
    <w:bookmarkEnd w:id="15"/>
    <w:p w14:paraId="1A55D097" w14:textId="59290A43" w:rsidR="006A19F3" w:rsidRDefault="00B5740F">
      <w:pPr>
        <w:pStyle w:val="TableofFigures"/>
        <w:tabs>
          <w:tab w:val="right" w:leader="dot" w:pos="9016"/>
        </w:tabs>
        <w:rPr>
          <w:rFonts w:eastAsiaTheme="minorEastAsia"/>
          <w:noProof/>
          <w:kern w:val="2"/>
          <w:sz w:val="24"/>
          <w:szCs w:val="24"/>
          <w:lang w:eastAsia="en-AU"/>
          <w14:ligatures w14:val="standardContextual"/>
        </w:rPr>
      </w:pPr>
      <w:r w:rsidRPr="00846769">
        <w:fldChar w:fldCharType="begin"/>
      </w:r>
      <w:r w:rsidRPr="00846769">
        <w:instrText xml:space="preserve"> TOC \h \z \c "Table" </w:instrText>
      </w:r>
      <w:r w:rsidRPr="00846769">
        <w:fldChar w:fldCharType="separate"/>
      </w:r>
      <w:hyperlink w:anchor="_Toc191999496" w:history="1">
        <w:r w:rsidR="006A19F3" w:rsidRPr="00847EFA">
          <w:rPr>
            <w:rStyle w:val="Hyperlink"/>
            <w:noProof/>
          </w:rPr>
          <w:t>Table 1 Invasive marine bivalves included as key examples throughout this manual and their current status in Australia. Taxa are displayed in alphabetical order</w:t>
        </w:r>
        <w:r w:rsidR="006A19F3">
          <w:rPr>
            <w:noProof/>
            <w:webHidden/>
          </w:rPr>
          <w:tab/>
        </w:r>
        <w:r w:rsidR="006A19F3">
          <w:rPr>
            <w:noProof/>
            <w:webHidden/>
          </w:rPr>
          <w:fldChar w:fldCharType="begin"/>
        </w:r>
        <w:r w:rsidR="006A19F3">
          <w:rPr>
            <w:noProof/>
            <w:webHidden/>
          </w:rPr>
          <w:instrText xml:space="preserve"> PAGEREF _Toc191999496 \h </w:instrText>
        </w:r>
        <w:r w:rsidR="006A19F3">
          <w:rPr>
            <w:noProof/>
            <w:webHidden/>
          </w:rPr>
        </w:r>
        <w:r w:rsidR="006A19F3">
          <w:rPr>
            <w:noProof/>
            <w:webHidden/>
          </w:rPr>
          <w:fldChar w:fldCharType="separate"/>
        </w:r>
        <w:r w:rsidR="006A19F3">
          <w:rPr>
            <w:noProof/>
            <w:webHidden/>
          </w:rPr>
          <w:t>5</w:t>
        </w:r>
        <w:r w:rsidR="006A19F3">
          <w:rPr>
            <w:noProof/>
            <w:webHidden/>
          </w:rPr>
          <w:fldChar w:fldCharType="end"/>
        </w:r>
      </w:hyperlink>
    </w:p>
    <w:p w14:paraId="692FF005" w14:textId="0605036A"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497" w:history="1">
        <w:r w:rsidRPr="00847EFA">
          <w:rPr>
            <w:rStyle w:val="Hyperlink"/>
            <w:noProof/>
          </w:rPr>
          <w:t>Table 2 Summary of the pathways and vectors which transport invasive marine bivalve species into and within Australia</w:t>
        </w:r>
        <w:r>
          <w:rPr>
            <w:noProof/>
            <w:webHidden/>
          </w:rPr>
          <w:tab/>
        </w:r>
        <w:r>
          <w:rPr>
            <w:noProof/>
            <w:webHidden/>
          </w:rPr>
          <w:fldChar w:fldCharType="begin"/>
        </w:r>
        <w:r>
          <w:rPr>
            <w:noProof/>
            <w:webHidden/>
          </w:rPr>
          <w:instrText xml:space="preserve"> PAGEREF _Toc191999497 \h </w:instrText>
        </w:r>
        <w:r>
          <w:rPr>
            <w:noProof/>
            <w:webHidden/>
          </w:rPr>
        </w:r>
        <w:r>
          <w:rPr>
            <w:noProof/>
            <w:webHidden/>
          </w:rPr>
          <w:fldChar w:fldCharType="separate"/>
        </w:r>
        <w:r>
          <w:rPr>
            <w:noProof/>
            <w:webHidden/>
          </w:rPr>
          <w:t>21</w:t>
        </w:r>
        <w:r>
          <w:rPr>
            <w:noProof/>
            <w:webHidden/>
          </w:rPr>
          <w:fldChar w:fldCharType="end"/>
        </w:r>
      </w:hyperlink>
    </w:p>
    <w:p w14:paraId="6F17CE60" w14:textId="7EC2D5CB"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498" w:history="1">
        <w:r w:rsidRPr="00847EFA">
          <w:rPr>
            <w:rStyle w:val="Hyperlink"/>
            <w:noProof/>
          </w:rPr>
          <w:t>Table 3 Management recommendations for different types of vectors which may translocate invasive marine bivalves</w:t>
        </w:r>
        <w:r>
          <w:rPr>
            <w:noProof/>
            <w:webHidden/>
          </w:rPr>
          <w:tab/>
        </w:r>
        <w:r>
          <w:rPr>
            <w:noProof/>
            <w:webHidden/>
          </w:rPr>
          <w:fldChar w:fldCharType="begin"/>
        </w:r>
        <w:r>
          <w:rPr>
            <w:noProof/>
            <w:webHidden/>
          </w:rPr>
          <w:instrText xml:space="preserve"> PAGEREF _Toc191999498 \h </w:instrText>
        </w:r>
        <w:r>
          <w:rPr>
            <w:noProof/>
            <w:webHidden/>
          </w:rPr>
        </w:r>
        <w:r>
          <w:rPr>
            <w:noProof/>
            <w:webHidden/>
          </w:rPr>
          <w:fldChar w:fldCharType="separate"/>
        </w:r>
        <w:r>
          <w:rPr>
            <w:noProof/>
            <w:webHidden/>
          </w:rPr>
          <w:t>41</w:t>
        </w:r>
        <w:r>
          <w:rPr>
            <w:noProof/>
            <w:webHidden/>
          </w:rPr>
          <w:fldChar w:fldCharType="end"/>
        </w:r>
      </w:hyperlink>
    </w:p>
    <w:p w14:paraId="7F551B8D" w14:textId="2EFDD8EC"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499" w:history="1">
        <w:r w:rsidRPr="00847EFA">
          <w:rPr>
            <w:rStyle w:val="Hyperlink"/>
            <w:noProof/>
          </w:rPr>
          <w:t>Table 4 Variables to describe the nature of the invasive marine bivalve incursion</w:t>
        </w:r>
        <w:r>
          <w:rPr>
            <w:noProof/>
            <w:webHidden/>
          </w:rPr>
          <w:tab/>
        </w:r>
        <w:r>
          <w:rPr>
            <w:noProof/>
            <w:webHidden/>
          </w:rPr>
          <w:fldChar w:fldCharType="begin"/>
        </w:r>
        <w:r>
          <w:rPr>
            <w:noProof/>
            <w:webHidden/>
          </w:rPr>
          <w:instrText xml:space="preserve"> PAGEREF _Toc191999499 \h </w:instrText>
        </w:r>
        <w:r>
          <w:rPr>
            <w:noProof/>
            <w:webHidden/>
          </w:rPr>
        </w:r>
        <w:r>
          <w:rPr>
            <w:noProof/>
            <w:webHidden/>
          </w:rPr>
          <w:fldChar w:fldCharType="separate"/>
        </w:r>
        <w:r>
          <w:rPr>
            <w:noProof/>
            <w:webHidden/>
          </w:rPr>
          <w:t>67</w:t>
        </w:r>
        <w:r>
          <w:rPr>
            <w:noProof/>
            <w:webHidden/>
          </w:rPr>
          <w:fldChar w:fldCharType="end"/>
        </w:r>
      </w:hyperlink>
    </w:p>
    <w:p w14:paraId="7F0EF8F7" w14:textId="633F0C91"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00" w:history="1">
        <w:r w:rsidRPr="00847EFA">
          <w:rPr>
            <w:rStyle w:val="Hyperlink"/>
            <w:noProof/>
          </w:rPr>
          <w:t>Table 5 Examples of treatment methods used to control some invasive marine bivalves</w:t>
        </w:r>
        <w:r>
          <w:rPr>
            <w:noProof/>
            <w:webHidden/>
          </w:rPr>
          <w:tab/>
        </w:r>
        <w:r>
          <w:rPr>
            <w:noProof/>
            <w:webHidden/>
          </w:rPr>
          <w:fldChar w:fldCharType="begin"/>
        </w:r>
        <w:r>
          <w:rPr>
            <w:noProof/>
            <w:webHidden/>
          </w:rPr>
          <w:instrText xml:space="preserve"> PAGEREF _Toc191999500 \h </w:instrText>
        </w:r>
        <w:r>
          <w:rPr>
            <w:noProof/>
            <w:webHidden/>
          </w:rPr>
        </w:r>
        <w:r>
          <w:rPr>
            <w:noProof/>
            <w:webHidden/>
          </w:rPr>
          <w:fldChar w:fldCharType="separate"/>
        </w:r>
        <w:r>
          <w:rPr>
            <w:noProof/>
            <w:webHidden/>
          </w:rPr>
          <w:t>86</w:t>
        </w:r>
        <w:r>
          <w:rPr>
            <w:noProof/>
            <w:webHidden/>
          </w:rPr>
          <w:fldChar w:fldCharType="end"/>
        </w:r>
      </w:hyperlink>
    </w:p>
    <w:p w14:paraId="7C720899" w14:textId="0376E2E5"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01" w:history="1">
        <w:r w:rsidRPr="00847EFA">
          <w:rPr>
            <w:rStyle w:val="Hyperlink"/>
            <w:noProof/>
          </w:rPr>
          <w:t xml:space="preserve">Table 6 </w:t>
        </w:r>
        <w:r w:rsidRPr="00847EFA">
          <w:rPr>
            <w:rStyle w:val="Hyperlink"/>
            <w:noProof/>
            <w:lang w:eastAsia="ja-JP"/>
          </w:rPr>
          <w:t xml:space="preserve">Taxonomic classification of </w:t>
        </w:r>
        <w:r w:rsidRPr="00847EFA">
          <w:rPr>
            <w:rStyle w:val="Hyperlink"/>
            <w:i/>
            <w:iCs/>
            <w:noProof/>
          </w:rPr>
          <w:t>Potamocorbula amurensis</w:t>
        </w:r>
        <w:r>
          <w:rPr>
            <w:noProof/>
            <w:webHidden/>
          </w:rPr>
          <w:tab/>
        </w:r>
        <w:r>
          <w:rPr>
            <w:noProof/>
            <w:webHidden/>
          </w:rPr>
          <w:fldChar w:fldCharType="begin"/>
        </w:r>
        <w:r>
          <w:rPr>
            <w:noProof/>
            <w:webHidden/>
          </w:rPr>
          <w:instrText xml:space="preserve"> PAGEREF _Toc191999501 \h </w:instrText>
        </w:r>
        <w:r>
          <w:rPr>
            <w:noProof/>
            <w:webHidden/>
          </w:rPr>
        </w:r>
        <w:r>
          <w:rPr>
            <w:noProof/>
            <w:webHidden/>
          </w:rPr>
          <w:fldChar w:fldCharType="separate"/>
        </w:r>
        <w:r>
          <w:rPr>
            <w:noProof/>
            <w:webHidden/>
          </w:rPr>
          <w:t>92</w:t>
        </w:r>
        <w:r>
          <w:rPr>
            <w:noProof/>
            <w:webHidden/>
          </w:rPr>
          <w:fldChar w:fldCharType="end"/>
        </w:r>
      </w:hyperlink>
    </w:p>
    <w:p w14:paraId="3DC0D2F0" w14:textId="5572D6E1"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02" w:history="1">
        <w:r w:rsidRPr="00847EFA">
          <w:rPr>
            <w:rStyle w:val="Hyperlink"/>
            <w:noProof/>
          </w:rPr>
          <w:t xml:space="preserve">Table 7 </w:t>
        </w:r>
        <w:r w:rsidRPr="00847EFA">
          <w:rPr>
            <w:rStyle w:val="Hyperlink"/>
            <w:noProof/>
            <w:lang w:eastAsia="ja-JP"/>
          </w:rPr>
          <w:t xml:space="preserve">Taxonomic classification of </w:t>
        </w:r>
        <w:r w:rsidRPr="00847EFA">
          <w:rPr>
            <w:rStyle w:val="Hyperlink"/>
            <w:i/>
            <w:iCs/>
            <w:noProof/>
          </w:rPr>
          <w:t>Varicorbula gibba</w:t>
        </w:r>
        <w:r>
          <w:rPr>
            <w:noProof/>
            <w:webHidden/>
          </w:rPr>
          <w:tab/>
        </w:r>
        <w:r>
          <w:rPr>
            <w:noProof/>
            <w:webHidden/>
          </w:rPr>
          <w:fldChar w:fldCharType="begin"/>
        </w:r>
        <w:r>
          <w:rPr>
            <w:noProof/>
            <w:webHidden/>
          </w:rPr>
          <w:instrText xml:space="preserve"> PAGEREF _Toc191999502 \h </w:instrText>
        </w:r>
        <w:r>
          <w:rPr>
            <w:noProof/>
            <w:webHidden/>
          </w:rPr>
        </w:r>
        <w:r>
          <w:rPr>
            <w:noProof/>
            <w:webHidden/>
          </w:rPr>
          <w:fldChar w:fldCharType="separate"/>
        </w:r>
        <w:r>
          <w:rPr>
            <w:noProof/>
            <w:webHidden/>
          </w:rPr>
          <w:t>98</w:t>
        </w:r>
        <w:r>
          <w:rPr>
            <w:noProof/>
            <w:webHidden/>
          </w:rPr>
          <w:fldChar w:fldCharType="end"/>
        </w:r>
      </w:hyperlink>
    </w:p>
    <w:p w14:paraId="296916AF" w14:textId="6A218D34"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03" w:history="1">
        <w:r w:rsidRPr="00847EFA">
          <w:rPr>
            <w:rStyle w:val="Hyperlink"/>
            <w:noProof/>
          </w:rPr>
          <w:t xml:space="preserve">Table 8 Taxonomic classification of </w:t>
        </w:r>
        <w:r w:rsidRPr="00847EFA">
          <w:rPr>
            <w:rStyle w:val="Hyperlink"/>
            <w:i/>
            <w:iCs/>
            <w:noProof/>
          </w:rPr>
          <w:t>Mytilopsis sallei</w:t>
        </w:r>
        <w:r>
          <w:rPr>
            <w:noProof/>
            <w:webHidden/>
          </w:rPr>
          <w:tab/>
        </w:r>
        <w:r>
          <w:rPr>
            <w:noProof/>
            <w:webHidden/>
          </w:rPr>
          <w:fldChar w:fldCharType="begin"/>
        </w:r>
        <w:r>
          <w:rPr>
            <w:noProof/>
            <w:webHidden/>
          </w:rPr>
          <w:instrText xml:space="preserve"> PAGEREF _Toc191999503 \h </w:instrText>
        </w:r>
        <w:r>
          <w:rPr>
            <w:noProof/>
            <w:webHidden/>
          </w:rPr>
        </w:r>
        <w:r>
          <w:rPr>
            <w:noProof/>
            <w:webHidden/>
          </w:rPr>
          <w:fldChar w:fldCharType="separate"/>
        </w:r>
        <w:r>
          <w:rPr>
            <w:noProof/>
            <w:webHidden/>
          </w:rPr>
          <w:t>103</w:t>
        </w:r>
        <w:r>
          <w:rPr>
            <w:noProof/>
            <w:webHidden/>
          </w:rPr>
          <w:fldChar w:fldCharType="end"/>
        </w:r>
      </w:hyperlink>
    </w:p>
    <w:p w14:paraId="3F97F4B7" w14:textId="79AA462F"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04" w:history="1">
        <w:r w:rsidRPr="00847EFA">
          <w:rPr>
            <w:rStyle w:val="Hyperlink"/>
            <w:noProof/>
          </w:rPr>
          <w:t xml:space="preserve">Table 9 </w:t>
        </w:r>
        <w:r w:rsidRPr="00847EFA">
          <w:rPr>
            <w:rStyle w:val="Hyperlink"/>
            <w:noProof/>
            <w:lang w:eastAsia="ja-JP"/>
          </w:rPr>
          <w:t xml:space="preserve">Taxonomic classification of </w:t>
        </w:r>
        <w:r w:rsidRPr="00847EFA">
          <w:rPr>
            <w:rStyle w:val="Hyperlink"/>
            <w:i/>
            <w:iCs/>
            <w:noProof/>
          </w:rPr>
          <w:t xml:space="preserve">Mya </w:t>
        </w:r>
        <w:r w:rsidRPr="00847EFA">
          <w:rPr>
            <w:rStyle w:val="Hyperlink"/>
            <w:noProof/>
          </w:rPr>
          <w:t>spp.</w:t>
        </w:r>
        <w:r>
          <w:rPr>
            <w:noProof/>
            <w:webHidden/>
          </w:rPr>
          <w:tab/>
        </w:r>
        <w:r>
          <w:rPr>
            <w:noProof/>
            <w:webHidden/>
          </w:rPr>
          <w:fldChar w:fldCharType="begin"/>
        </w:r>
        <w:r>
          <w:rPr>
            <w:noProof/>
            <w:webHidden/>
          </w:rPr>
          <w:instrText xml:space="preserve"> PAGEREF _Toc191999504 \h </w:instrText>
        </w:r>
        <w:r>
          <w:rPr>
            <w:noProof/>
            <w:webHidden/>
          </w:rPr>
        </w:r>
        <w:r>
          <w:rPr>
            <w:noProof/>
            <w:webHidden/>
          </w:rPr>
          <w:fldChar w:fldCharType="separate"/>
        </w:r>
        <w:r>
          <w:rPr>
            <w:noProof/>
            <w:webHidden/>
          </w:rPr>
          <w:t>111</w:t>
        </w:r>
        <w:r>
          <w:rPr>
            <w:noProof/>
            <w:webHidden/>
          </w:rPr>
          <w:fldChar w:fldCharType="end"/>
        </w:r>
      </w:hyperlink>
    </w:p>
    <w:p w14:paraId="4393F2B6" w14:textId="2D85C7A8"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05" w:history="1">
        <w:r w:rsidRPr="00847EFA">
          <w:rPr>
            <w:rStyle w:val="Hyperlink"/>
            <w:noProof/>
          </w:rPr>
          <w:t xml:space="preserve">Table 10 </w:t>
        </w:r>
        <w:r w:rsidRPr="00847EFA">
          <w:rPr>
            <w:rStyle w:val="Hyperlink"/>
            <w:noProof/>
            <w:lang w:eastAsia="ja-JP"/>
          </w:rPr>
          <w:t xml:space="preserve">Taxonomic classification of </w:t>
        </w:r>
        <w:r w:rsidRPr="00847EFA">
          <w:rPr>
            <w:rStyle w:val="Hyperlink"/>
            <w:i/>
            <w:iCs/>
            <w:noProof/>
          </w:rPr>
          <w:t>Arcuatula senhousia</w:t>
        </w:r>
        <w:r>
          <w:rPr>
            <w:noProof/>
            <w:webHidden/>
          </w:rPr>
          <w:tab/>
        </w:r>
        <w:r>
          <w:rPr>
            <w:noProof/>
            <w:webHidden/>
          </w:rPr>
          <w:fldChar w:fldCharType="begin"/>
        </w:r>
        <w:r>
          <w:rPr>
            <w:noProof/>
            <w:webHidden/>
          </w:rPr>
          <w:instrText xml:space="preserve"> PAGEREF _Toc191999505 \h </w:instrText>
        </w:r>
        <w:r>
          <w:rPr>
            <w:noProof/>
            <w:webHidden/>
          </w:rPr>
        </w:r>
        <w:r>
          <w:rPr>
            <w:noProof/>
            <w:webHidden/>
          </w:rPr>
          <w:fldChar w:fldCharType="separate"/>
        </w:r>
        <w:r>
          <w:rPr>
            <w:noProof/>
            <w:webHidden/>
          </w:rPr>
          <w:t>119</w:t>
        </w:r>
        <w:r>
          <w:rPr>
            <w:noProof/>
            <w:webHidden/>
          </w:rPr>
          <w:fldChar w:fldCharType="end"/>
        </w:r>
      </w:hyperlink>
    </w:p>
    <w:p w14:paraId="1DD30EFB" w14:textId="7442D76D"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06" w:history="1">
        <w:r w:rsidRPr="00847EFA">
          <w:rPr>
            <w:rStyle w:val="Hyperlink"/>
            <w:noProof/>
          </w:rPr>
          <w:t xml:space="preserve">Table 11 </w:t>
        </w:r>
        <w:r w:rsidRPr="00847EFA">
          <w:rPr>
            <w:rStyle w:val="Hyperlink"/>
            <w:noProof/>
            <w:lang w:eastAsia="ja-JP"/>
          </w:rPr>
          <w:t xml:space="preserve">Taxonomic classification of </w:t>
        </w:r>
        <w:r w:rsidRPr="00847EFA">
          <w:rPr>
            <w:rStyle w:val="Hyperlink"/>
            <w:i/>
            <w:iCs/>
            <w:noProof/>
          </w:rPr>
          <w:t>Mytella strigata</w:t>
        </w:r>
        <w:r>
          <w:rPr>
            <w:noProof/>
            <w:webHidden/>
          </w:rPr>
          <w:tab/>
        </w:r>
        <w:r>
          <w:rPr>
            <w:noProof/>
            <w:webHidden/>
          </w:rPr>
          <w:fldChar w:fldCharType="begin"/>
        </w:r>
        <w:r>
          <w:rPr>
            <w:noProof/>
            <w:webHidden/>
          </w:rPr>
          <w:instrText xml:space="preserve"> PAGEREF _Toc191999506 \h </w:instrText>
        </w:r>
        <w:r>
          <w:rPr>
            <w:noProof/>
            <w:webHidden/>
          </w:rPr>
        </w:r>
        <w:r>
          <w:rPr>
            <w:noProof/>
            <w:webHidden/>
          </w:rPr>
          <w:fldChar w:fldCharType="separate"/>
        </w:r>
        <w:r>
          <w:rPr>
            <w:noProof/>
            <w:webHidden/>
          </w:rPr>
          <w:t>125</w:t>
        </w:r>
        <w:r>
          <w:rPr>
            <w:noProof/>
            <w:webHidden/>
          </w:rPr>
          <w:fldChar w:fldCharType="end"/>
        </w:r>
      </w:hyperlink>
    </w:p>
    <w:p w14:paraId="44F26503" w14:textId="0015677C"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07" w:history="1">
        <w:r w:rsidRPr="00847EFA">
          <w:rPr>
            <w:rStyle w:val="Hyperlink"/>
            <w:noProof/>
          </w:rPr>
          <w:t xml:space="preserve">Table 12 </w:t>
        </w:r>
        <w:r w:rsidRPr="00847EFA">
          <w:rPr>
            <w:rStyle w:val="Hyperlink"/>
            <w:noProof/>
            <w:lang w:eastAsia="ja-JP"/>
          </w:rPr>
          <w:t xml:space="preserve">Taxonomic classification of </w:t>
        </w:r>
        <w:r w:rsidRPr="00847EFA">
          <w:rPr>
            <w:rStyle w:val="Hyperlink"/>
            <w:i/>
            <w:iCs/>
            <w:noProof/>
          </w:rPr>
          <w:t xml:space="preserve">Perna </w:t>
        </w:r>
        <w:r w:rsidRPr="00847EFA">
          <w:rPr>
            <w:rStyle w:val="Hyperlink"/>
            <w:noProof/>
          </w:rPr>
          <w:t>spp.</w:t>
        </w:r>
        <w:r>
          <w:rPr>
            <w:noProof/>
            <w:webHidden/>
          </w:rPr>
          <w:tab/>
        </w:r>
        <w:r>
          <w:rPr>
            <w:noProof/>
            <w:webHidden/>
          </w:rPr>
          <w:fldChar w:fldCharType="begin"/>
        </w:r>
        <w:r>
          <w:rPr>
            <w:noProof/>
            <w:webHidden/>
          </w:rPr>
          <w:instrText xml:space="preserve"> PAGEREF _Toc191999507 \h </w:instrText>
        </w:r>
        <w:r>
          <w:rPr>
            <w:noProof/>
            <w:webHidden/>
          </w:rPr>
        </w:r>
        <w:r>
          <w:rPr>
            <w:noProof/>
            <w:webHidden/>
          </w:rPr>
          <w:fldChar w:fldCharType="separate"/>
        </w:r>
        <w:r>
          <w:rPr>
            <w:noProof/>
            <w:webHidden/>
          </w:rPr>
          <w:t>131</w:t>
        </w:r>
        <w:r>
          <w:rPr>
            <w:noProof/>
            <w:webHidden/>
          </w:rPr>
          <w:fldChar w:fldCharType="end"/>
        </w:r>
      </w:hyperlink>
    </w:p>
    <w:p w14:paraId="2219F5EA" w14:textId="430C59D1"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08" w:history="1">
        <w:r w:rsidRPr="00847EFA">
          <w:rPr>
            <w:rStyle w:val="Hyperlink"/>
            <w:noProof/>
          </w:rPr>
          <w:t xml:space="preserve">Table 13 </w:t>
        </w:r>
        <w:r w:rsidRPr="00847EFA">
          <w:rPr>
            <w:rStyle w:val="Hyperlink"/>
            <w:noProof/>
            <w:lang w:eastAsia="ja-JP"/>
          </w:rPr>
          <w:t xml:space="preserve">Temperature and salinity ranges of adult </w:t>
        </w:r>
        <w:r w:rsidRPr="00847EFA">
          <w:rPr>
            <w:rStyle w:val="Hyperlink"/>
            <w:i/>
            <w:iCs/>
            <w:noProof/>
            <w:lang w:eastAsia="ja-JP"/>
          </w:rPr>
          <w:t>P. canaliculus</w:t>
        </w:r>
        <w:r w:rsidRPr="00847EFA">
          <w:rPr>
            <w:rStyle w:val="Hyperlink"/>
            <w:noProof/>
            <w:lang w:eastAsia="ja-JP"/>
          </w:rPr>
          <w:t xml:space="preserve">, </w:t>
        </w:r>
        <w:r w:rsidRPr="00847EFA">
          <w:rPr>
            <w:rStyle w:val="Hyperlink"/>
            <w:i/>
            <w:iCs/>
            <w:noProof/>
            <w:lang w:eastAsia="ja-JP"/>
          </w:rPr>
          <w:t>P. perna,</w:t>
        </w:r>
        <w:r w:rsidRPr="00847EFA">
          <w:rPr>
            <w:rStyle w:val="Hyperlink"/>
            <w:noProof/>
            <w:lang w:eastAsia="ja-JP"/>
          </w:rPr>
          <w:t xml:space="preserve"> and </w:t>
        </w:r>
        <w:r w:rsidRPr="00847EFA">
          <w:rPr>
            <w:rStyle w:val="Hyperlink"/>
            <w:i/>
            <w:iCs/>
            <w:noProof/>
            <w:lang w:eastAsia="ja-JP"/>
          </w:rPr>
          <w:t>P. viridis</w:t>
        </w:r>
        <w:r>
          <w:rPr>
            <w:noProof/>
            <w:webHidden/>
          </w:rPr>
          <w:tab/>
        </w:r>
        <w:r>
          <w:rPr>
            <w:noProof/>
            <w:webHidden/>
          </w:rPr>
          <w:fldChar w:fldCharType="begin"/>
        </w:r>
        <w:r>
          <w:rPr>
            <w:noProof/>
            <w:webHidden/>
          </w:rPr>
          <w:instrText xml:space="preserve"> PAGEREF _Toc191999508 \h </w:instrText>
        </w:r>
        <w:r>
          <w:rPr>
            <w:noProof/>
            <w:webHidden/>
          </w:rPr>
        </w:r>
        <w:r>
          <w:rPr>
            <w:noProof/>
            <w:webHidden/>
          </w:rPr>
          <w:fldChar w:fldCharType="separate"/>
        </w:r>
        <w:r>
          <w:rPr>
            <w:noProof/>
            <w:webHidden/>
          </w:rPr>
          <w:t>136</w:t>
        </w:r>
        <w:r>
          <w:rPr>
            <w:noProof/>
            <w:webHidden/>
          </w:rPr>
          <w:fldChar w:fldCharType="end"/>
        </w:r>
      </w:hyperlink>
    </w:p>
    <w:p w14:paraId="58FBD2F8" w14:textId="30B1F7E6"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09" w:history="1">
        <w:r w:rsidRPr="00847EFA">
          <w:rPr>
            <w:rStyle w:val="Hyperlink"/>
            <w:noProof/>
          </w:rPr>
          <w:t xml:space="preserve">Table 14 </w:t>
        </w:r>
        <w:r w:rsidRPr="00847EFA">
          <w:rPr>
            <w:rStyle w:val="Hyperlink"/>
            <w:noProof/>
            <w:lang w:eastAsia="ja-JP"/>
          </w:rPr>
          <w:t xml:space="preserve">Reproduction and growth of adult </w:t>
        </w:r>
        <w:r w:rsidRPr="00847EFA">
          <w:rPr>
            <w:rStyle w:val="Hyperlink"/>
            <w:i/>
            <w:iCs/>
            <w:noProof/>
            <w:lang w:eastAsia="ja-JP"/>
          </w:rPr>
          <w:t>P. canaliculus</w:t>
        </w:r>
        <w:r w:rsidRPr="00847EFA">
          <w:rPr>
            <w:rStyle w:val="Hyperlink"/>
            <w:noProof/>
            <w:lang w:eastAsia="ja-JP"/>
          </w:rPr>
          <w:t xml:space="preserve">, </w:t>
        </w:r>
        <w:r w:rsidRPr="00847EFA">
          <w:rPr>
            <w:rStyle w:val="Hyperlink"/>
            <w:i/>
            <w:iCs/>
            <w:noProof/>
            <w:lang w:eastAsia="ja-JP"/>
          </w:rPr>
          <w:t>P. perna,</w:t>
        </w:r>
        <w:r w:rsidRPr="00847EFA">
          <w:rPr>
            <w:rStyle w:val="Hyperlink"/>
            <w:noProof/>
            <w:lang w:eastAsia="ja-JP"/>
          </w:rPr>
          <w:t xml:space="preserve"> and </w:t>
        </w:r>
        <w:r w:rsidRPr="00847EFA">
          <w:rPr>
            <w:rStyle w:val="Hyperlink"/>
            <w:i/>
            <w:iCs/>
            <w:noProof/>
            <w:lang w:eastAsia="ja-JP"/>
          </w:rPr>
          <w:t>P. viridis</w:t>
        </w:r>
        <w:r>
          <w:rPr>
            <w:noProof/>
            <w:webHidden/>
          </w:rPr>
          <w:tab/>
        </w:r>
        <w:r>
          <w:rPr>
            <w:noProof/>
            <w:webHidden/>
          </w:rPr>
          <w:fldChar w:fldCharType="begin"/>
        </w:r>
        <w:r>
          <w:rPr>
            <w:noProof/>
            <w:webHidden/>
          </w:rPr>
          <w:instrText xml:space="preserve"> PAGEREF _Toc191999509 \h </w:instrText>
        </w:r>
        <w:r>
          <w:rPr>
            <w:noProof/>
            <w:webHidden/>
          </w:rPr>
        </w:r>
        <w:r>
          <w:rPr>
            <w:noProof/>
            <w:webHidden/>
          </w:rPr>
          <w:fldChar w:fldCharType="separate"/>
        </w:r>
        <w:r>
          <w:rPr>
            <w:noProof/>
            <w:webHidden/>
          </w:rPr>
          <w:t>137</w:t>
        </w:r>
        <w:r>
          <w:rPr>
            <w:noProof/>
            <w:webHidden/>
          </w:rPr>
          <w:fldChar w:fldCharType="end"/>
        </w:r>
      </w:hyperlink>
    </w:p>
    <w:p w14:paraId="4FD96070" w14:textId="4C395DD5"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10" w:history="1">
        <w:r w:rsidRPr="00847EFA">
          <w:rPr>
            <w:rStyle w:val="Hyperlink"/>
            <w:noProof/>
          </w:rPr>
          <w:t xml:space="preserve">Table 15 </w:t>
        </w:r>
        <w:r w:rsidRPr="00847EFA">
          <w:rPr>
            <w:rStyle w:val="Hyperlink"/>
            <w:noProof/>
            <w:lang w:eastAsia="ja-JP"/>
          </w:rPr>
          <w:t xml:space="preserve">Taxonomic classification of </w:t>
        </w:r>
        <w:r w:rsidRPr="00847EFA">
          <w:rPr>
            <w:rStyle w:val="Hyperlink"/>
            <w:i/>
            <w:iCs/>
            <w:noProof/>
          </w:rPr>
          <w:t>Magallana ariakensis</w:t>
        </w:r>
        <w:r>
          <w:rPr>
            <w:noProof/>
            <w:webHidden/>
          </w:rPr>
          <w:tab/>
        </w:r>
        <w:r>
          <w:rPr>
            <w:noProof/>
            <w:webHidden/>
          </w:rPr>
          <w:fldChar w:fldCharType="begin"/>
        </w:r>
        <w:r>
          <w:rPr>
            <w:noProof/>
            <w:webHidden/>
          </w:rPr>
          <w:instrText xml:space="preserve"> PAGEREF _Toc191999510 \h </w:instrText>
        </w:r>
        <w:r>
          <w:rPr>
            <w:noProof/>
            <w:webHidden/>
          </w:rPr>
        </w:r>
        <w:r>
          <w:rPr>
            <w:noProof/>
            <w:webHidden/>
          </w:rPr>
          <w:fldChar w:fldCharType="separate"/>
        </w:r>
        <w:r>
          <w:rPr>
            <w:noProof/>
            <w:webHidden/>
          </w:rPr>
          <w:t>144</w:t>
        </w:r>
        <w:r>
          <w:rPr>
            <w:noProof/>
            <w:webHidden/>
          </w:rPr>
          <w:fldChar w:fldCharType="end"/>
        </w:r>
      </w:hyperlink>
    </w:p>
    <w:p w14:paraId="61559B8D" w14:textId="3A420912"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11" w:history="1">
        <w:r w:rsidRPr="00847EFA">
          <w:rPr>
            <w:rStyle w:val="Hyperlink"/>
            <w:noProof/>
          </w:rPr>
          <w:t xml:space="preserve">Table 16 </w:t>
        </w:r>
        <w:r w:rsidRPr="00847EFA">
          <w:rPr>
            <w:rStyle w:val="Hyperlink"/>
            <w:noProof/>
            <w:lang w:eastAsia="ja-JP"/>
          </w:rPr>
          <w:t xml:space="preserve">Taxonomic classification of </w:t>
        </w:r>
        <w:r w:rsidRPr="00847EFA">
          <w:rPr>
            <w:rStyle w:val="Hyperlink"/>
            <w:i/>
            <w:iCs/>
            <w:noProof/>
          </w:rPr>
          <w:t>Magallana bilineata</w:t>
        </w:r>
        <w:r>
          <w:rPr>
            <w:noProof/>
            <w:webHidden/>
          </w:rPr>
          <w:tab/>
        </w:r>
        <w:r>
          <w:rPr>
            <w:noProof/>
            <w:webHidden/>
          </w:rPr>
          <w:fldChar w:fldCharType="begin"/>
        </w:r>
        <w:r>
          <w:rPr>
            <w:noProof/>
            <w:webHidden/>
          </w:rPr>
          <w:instrText xml:space="preserve"> PAGEREF _Toc191999511 \h </w:instrText>
        </w:r>
        <w:r>
          <w:rPr>
            <w:noProof/>
            <w:webHidden/>
          </w:rPr>
        </w:r>
        <w:r>
          <w:rPr>
            <w:noProof/>
            <w:webHidden/>
          </w:rPr>
          <w:fldChar w:fldCharType="separate"/>
        </w:r>
        <w:r>
          <w:rPr>
            <w:noProof/>
            <w:webHidden/>
          </w:rPr>
          <w:t>151</w:t>
        </w:r>
        <w:r>
          <w:rPr>
            <w:noProof/>
            <w:webHidden/>
          </w:rPr>
          <w:fldChar w:fldCharType="end"/>
        </w:r>
      </w:hyperlink>
    </w:p>
    <w:p w14:paraId="2C3D5B86" w14:textId="36F76528"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12" w:history="1">
        <w:r w:rsidRPr="00847EFA">
          <w:rPr>
            <w:rStyle w:val="Hyperlink"/>
            <w:noProof/>
          </w:rPr>
          <w:t xml:space="preserve">Table 17 </w:t>
        </w:r>
        <w:r w:rsidRPr="00847EFA">
          <w:rPr>
            <w:rStyle w:val="Hyperlink"/>
            <w:noProof/>
            <w:lang w:eastAsia="ja-JP"/>
          </w:rPr>
          <w:t xml:space="preserve">Taxonomic classification of </w:t>
        </w:r>
        <w:r w:rsidRPr="00847EFA">
          <w:rPr>
            <w:rStyle w:val="Hyperlink"/>
            <w:i/>
            <w:iCs/>
            <w:noProof/>
          </w:rPr>
          <w:t>Magallana gigas</w:t>
        </w:r>
        <w:r>
          <w:rPr>
            <w:noProof/>
            <w:webHidden/>
          </w:rPr>
          <w:tab/>
        </w:r>
        <w:r>
          <w:rPr>
            <w:noProof/>
            <w:webHidden/>
          </w:rPr>
          <w:fldChar w:fldCharType="begin"/>
        </w:r>
        <w:r>
          <w:rPr>
            <w:noProof/>
            <w:webHidden/>
          </w:rPr>
          <w:instrText xml:space="preserve"> PAGEREF _Toc191999512 \h </w:instrText>
        </w:r>
        <w:r>
          <w:rPr>
            <w:noProof/>
            <w:webHidden/>
          </w:rPr>
        </w:r>
        <w:r>
          <w:rPr>
            <w:noProof/>
            <w:webHidden/>
          </w:rPr>
          <w:fldChar w:fldCharType="separate"/>
        </w:r>
        <w:r>
          <w:rPr>
            <w:noProof/>
            <w:webHidden/>
          </w:rPr>
          <w:t>157</w:t>
        </w:r>
        <w:r>
          <w:rPr>
            <w:noProof/>
            <w:webHidden/>
          </w:rPr>
          <w:fldChar w:fldCharType="end"/>
        </w:r>
      </w:hyperlink>
    </w:p>
    <w:p w14:paraId="48ECDB5A" w14:textId="7D70CEEF"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13" w:history="1">
        <w:r w:rsidRPr="00847EFA">
          <w:rPr>
            <w:rStyle w:val="Hyperlink"/>
            <w:noProof/>
          </w:rPr>
          <w:t>Table 18 Commonwealth, state, and territory legislation covering emergency response arrangements</w:t>
        </w:r>
        <w:r>
          <w:rPr>
            <w:noProof/>
            <w:webHidden/>
          </w:rPr>
          <w:tab/>
        </w:r>
        <w:r>
          <w:rPr>
            <w:noProof/>
            <w:webHidden/>
          </w:rPr>
          <w:fldChar w:fldCharType="begin"/>
        </w:r>
        <w:r>
          <w:rPr>
            <w:noProof/>
            <w:webHidden/>
          </w:rPr>
          <w:instrText xml:space="preserve"> PAGEREF _Toc191999513 \h </w:instrText>
        </w:r>
        <w:r>
          <w:rPr>
            <w:noProof/>
            <w:webHidden/>
          </w:rPr>
        </w:r>
        <w:r>
          <w:rPr>
            <w:noProof/>
            <w:webHidden/>
          </w:rPr>
          <w:fldChar w:fldCharType="separate"/>
        </w:r>
        <w:r>
          <w:rPr>
            <w:noProof/>
            <w:webHidden/>
          </w:rPr>
          <w:t>167</w:t>
        </w:r>
        <w:r>
          <w:rPr>
            <w:noProof/>
            <w:webHidden/>
          </w:rPr>
          <w:fldChar w:fldCharType="end"/>
        </w:r>
      </w:hyperlink>
    </w:p>
    <w:p w14:paraId="4E54A9A5" w14:textId="41A7E3F6" w:rsidR="006939E1" w:rsidRPr="00A04E26" w:rsidRDefault="00B5740F" w:rsidP="0090794A">
      <w:pPr>
        <w:pStyle w:val="Heading3"/>
        <w:spacing w:before="360"/>
        <w:rPr>
          <w:color w:val="004661"/>
        </w:rPr>
      </w:pPr>
      <w:r w:rsidRPr="00846769">
        <w:fldChar w:fldCharType="end"/>
      </w:r>
      <w:bookmarkStart w:id="16" w:name="_Toc191998638"/>
      <w:r w:rsidR="00F4070F" w:rsidRPr="00A04E26">
        <w:rPr>
          <w:rStyle w:val="Strong"/>
          <w:b/>
          <w:bCs/>
          <w:color w:val="004661"/>
        </w:rPr>
        <w:t>F</w:t>
      </w:r>
      <w:r w:rsidRPr="00A04E26">
        <w:rPr>
          <w:rStyle w:val="Strong"/>
          <w:b/>
          <w:bCs/>
          <w:color w:val="004661"/>
        </w:rPr>
        <w:t>igures</w:t>
      </w:r>
      <w:bookmarkEnd w:id="16"/>
    </w:p>
    <w:p w14:paraId="058512F0" w14:textId="7164FADA" w:rsidR="006A19F3" w:rsidRDefault="00B5740F">
      <w:pPr>
        <w:pStyle w:val="TableofFigures"/>
        <w:tabs>
          <w:tab w:val="right" w:leader="dot" w:pos="9016"/>
        </w:tabs>
        <w:rPr>
          <w:rFonts w:eastAsiaTheme="minorEastAsia"/>
          <w:noProof/>
          <w:kern w:val="2"/>
          <w:sz w:val="24"/>
          <w:szCs w:val="24"/>
          <w:lang w:eastAsia="en-AU"/>
          <w14:ligatures w14:val="standardContextual"/>
        </w:rPr>
      </w:pPr>
      <w:r w:rsidRPr="00846769">
        <w:fldChar w:fldCharType="begin"/>
      </w:r>
      <w:r w:rsidRPr="00846769">
        <w:instrText xml:space="preserve"> TOC \h \z \c "Figure" </w:instrText>
      </w:r>
      <w:r w:rsidRPr="00846769">
        <w:fldChar w:fldCharType="separate"/>
      </w:r>
      <w:hyperlink w:anchor="_Toc191999514" w:history="1">
        <w:r w:rsidR="006A19F3" w:rsidRPr="005235AF">
          <w:rPr>
            <w:rStyle w:val="Hyperlink"/>
            <w:noProof/>
          </w:rPr>
          <w:t>Figure 1 Diagram showing general bivalve shell anatomy</w:t>
        </w:r>
        <w:r w:rsidR="006A19F3">
          <w:rPr>
            <w:noProof/>
            <w:webHidden/>
          </w:rPr>
          <w:tab/>
        </w:r>
        <w:r w:rsidR="006A19F3">
          <w:rPr>
            <w:noProof/>
            <w:webHidden/>
          </w:rPr>
          <w:fldChar w:fldCharType="begin"/>
        </w:r>
        <w:r w:rsidR="006A19F3">
          <w:rPr>
            <w:noProof/>
            <w:webHidden/>
          </w:rPr>
          <w:instrText xml:space="preserve"> PAGEREF _Toc191999514 \h </w:instrText>
        </w:r>
        <w:r w:rsidR="006A19F3">
          <w:rPr>
            <w:noProof/>
            <w:webHidden/>
          </w:rPr>
        </w:r>
        <w:r w:rsidR="006A19F3">
          <w:rPr>
            <w:noProof/>
            <w:webHidden/>
          </w:rPr>
          <w:fldChar w:fldCharType="separate"/>
        </w:r>
        <w:r w:rsidR="006A19F3">
          <w:rPr>
            <w:noProof/>
            <w:webHidden/>
          </w:rPr>
          <w:t>7</w:t>
        </w:r>
        <w:r w:rsidR="006A19F3">
          <w:rPr>
            <w:noProof/>
            <w:webHidden/>
          </w:rPr>
          <w:fldChar w:fldCharType="end"/>
        </w:r>
      </w:hyperlink>
    </w:p>
    <w:p w14:paraId="5D342886" w14:textId="0DA8EC6B"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15" w:history="1">
        <w:r w:rsidRPr="005235AF">
          <w:rPr>
            <w:rStyle w:val="Hyperlink"/>
            <w:noProof/>
          </w:rPr>
          <w:t>Figure 2 General lifecycle of marine bivalves</w:t>
        </w:r>
        <w:r>
          <w:rPr>
            <w:noProof/>
            <w:webHidden/>
          </w:rPr>
          <w:tab/>
        </w:r>
        <w:r>
          <w:rPr>
            <w:noProof/>
            <w:webHidden/>
          </w:rPr>
          <w:fldChar w:fldCharType="begin"/>
        </w:r>
        <w:r>
          <w:rPr>
            <w:noProof/>
            <w:webHidden/>
          </w:rPr>
          <w:instrText xml:space="preserve"> PAGEREF _Toc191999515 \h </w:instrText>
        </w:r>
        <w:r>
          <w:rPr>
            <w:noProof/>
            <w:webHidden/>
          </w:rPr>
        </w:r>
        <w:r>
          <w:rPr>
            <w:noProof/>
            <w:webHidden/>
          </w:rPr>
          <w:fldChar w:fldCharType="separate"/>
        </w:r>
        <w:r>
          <w:rPr>
            <w:noProof/>
            <w:webHidden/>
          </w:rPr>
          <w:t>8</w:t>
        </w:r>
        <w:r>
          <w:rPr>
            <w:noProof/>
            <w:webHidden/>
          </w:rPr>
          <w:fldChar w:fldCharType="end"/>
        </w:r>
      </w:hyperlink>
    </w:p>
    <w:p w14:paraId="35038462" w14:textId="3569E9AF"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16" w:history="1">
        <w:r w:rsidRPr="005235AF">
          <w:rPr>
            <w:rStyle w:val="Hyperlink"/>
            <w:noProof/>
          </w:rPr>
          <w:t>Figure 3 Examples of biofouling on different marine structures by invasive marine bivalves</w:t>
        </w:r>
        <w:r>
          <w:rPr>
            <w:noProof/>
            <w:webHidden/>
          </w:rPr>
          <w:tab/>
        </w:r>
        <w:r>
          <w:rPr>
            <w:noProof/>
            <w:webHidden/>
          </w:rPr>
          <w:fldChar w:fldCharType="begin"/>
        </w:r>
        <w:r>
          <w:rPr>
            <w:noProof/>
            <w:webHidden/>
          </w:rPr>
          <w:instrText xml:space="preserve"> PAGEREF _Toc191999516 \h </w:instrText>
        </w:r>
        <w:r>
          <w:rPr>
            <w:noProof/>
            <w:webHidden/>
          </w:rPr>
        </w:r>
        <w:r>
          <w:rPr>
            <w:noProof/>
            <w:webHidden/>
          </w:rPr>
          <w:fldChar w:fldCharType="separate"/>
        </w:r>
        <w:r>
          <w:rPr>
            <w:noProof/>
            <w:webHidden/>
          </w:rPr>
          <w:t>23</w:t>
        </w:r>
        <w:r>
          <w:rPr>
            <w:noProof/>
            <w:webHidden/>
          </w:rPr>
          <w:fldChar w:fldCharType="end"/>
        </w:r>
      </w:hyperlink>
    </w:p>
    <w:p w14:paraId="62FA6610" w14:textId="7E81DEBD"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17" w:history="1">
        <w:r w:rsidRPr="005235AF">
          <w:rPr>
            <w:rStyle w:val="Hyperlink"/>
            <w:noProof/>
          </w:rPr>
          <w:t>Figure 4 Specified areas that may be designated during a marine pest emergency</w:t>
        </w:r>
        <w:r>
          <w:rPr>
            <w:noProof/>
            <w:webHidden/>
          </w:rPr>
          <w:tab/>
        </w:r>
        <w:r>
          <w:rPr>
            <w:noProof/>
            <w:webHidden/>
          </w:rPr>
          <w:fldChar w:fldCharType="begin"/>
        </w:r>
        <w:r>
          <w:rPr>
            <w:noProof/>
            <w:webHidden/>
          </w:rPr>
          <w:instrText xml:space="preserve"> PAGEREF _Toc191999517 \h </w:instrText>
        </w:r>
        <w:r>
          <w:rPr>
            <w:noProof/>
            <w:webHidden/>
          </w:rPr>
        </w:r>
        <w:r>
          <w:rPr>
            <w:noProof/>
            <w:webHidden/>
          </w:rPr>
          <w:fldChar w:fldCharType="separate"/>
        </w:r>
        <w:r>
          <w:rPr>
            <w:noProof/>
            <w:webHidden/>
          </w:rPr>
          <w:t>34</w:t>
        </w:r>
        <w:r>
          <w:rPr>
            <w:noProof/>
            <w:webHidden/>
          </w:rPr>
          <w:fldChar w:fldCharType="end"/>
        </w:r>
      </w:hyperlink>
    </w:p>
    <w:p w14:paraId="3B2A5213" w14:textId="7C14356C"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18" w:history="1">
        <w:r w:rsidRPr="005235AF">
          <w:rPr>
            <w:rStyle w:val="Hyperlink"/>
            <w:noProof/>
          </w:rPr>
          <w:t>Figure 5 Schematic diagram showing the high-risk niche areas for inspection of biofouling on small vessels &lt;25 metres. Vessel and its components are not to scale</w:t>
        </w:r>
        <w:r>
          <w:rPr>
            <w:noProof/>
            <w:webHidden/>
          </w:rPr>
          <w:tab/>
        </w:r>
        <w:r>
          <w:rPr>
            <w:noProof/>
            <w:webHidden/>
          </w:rPr>
          <w:fldChar w:fldCharType="begin"/>
        </w:r>
        <w:r>
          <w:rPr>
            <w:noProof/>
            <w:webHidden/>
          </w:rPr>
          <w:instrText xml:space="preserve"> PAGEREF _Toc191999518 \h </w:instrText>
        </w:r>
        <w:r>
          <w:rPr>
            <w:noProof/>
            <w:webHidden/>
          </w:rPr>
        </w:r>
        <w:r>
          <w:rPr>
            <w:noProof/>
            <w:webHidden/>
          </w:rPr>
          <w:fldChar w:fldCharType="separate"/>
        </w:r>
        <w:r>
          <w:rPr>
            <w:noProof/>
            <w:webHidden/>
          </w:rPr>
          <w:t>39</w:t>
        </w:r>
        <w:r>
          <w:rPr>
            <w:noProof/>
            <w:webHidden/>
          </w:rPr>
          <w:fldChar w:fldCharType="end"/>
        </w:r>
      </w:hyperlink>
    </w:p>
    <w:p w14:paraId="619B69B5" w14:textId="7A53E26B"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19" w:history="1">
        <w:r w:rsidRPr="005235AF">
          <w:rPr>
            <w:rStyle w:val="Hyperlink"/>
            <w:noProof/>
          </w:rPr>
          <w:t>Figure 6 Schematic diagram showing the high-risk niche areas for inspection of biofouling on large vessels &gt;25 metres. Vessel and its components are not to scale</w:t>
        </w:r>
        <w:r>
          <w:rPr>
            <w:noProof/>
            <w:webHidden/>
          </w:rPr>
          <w:tab/>
        </w:r>
        <w:r>
          <w:rPr>
            <w:noProof/>
            <w:webHidden/>
          </w:rPr>
          <w:fldChar w:fldCharType="begin"/>
        </w:r>
        <w:r>
          <w:rPr>
            <w:noProof/>
            <w:webHidden/>
          </w:rPr>
          <w:instrText xml:space="preserve"> PAGEREF _Toc191999519 \h </w:instrText>
        </w:r>
        <w:r>
          <w:rPr>
            <w:noProof/>
            <w:webHidden/>
          </w:rPr>
        </w:r>
        <w:r>
          <w:rPr>
            <w:noProof/>
            <w:webHidden/>
          </w:rPr>
          <w:fldChar w:fldCharType="separate"/>
        </w:r>
        <w:r>
          <w:rPr>
            <w:noProof/>
            <w:webHidden/>
          </w:rPr>
          <w:t>40</w:t>
        </w:r>
        <w:r>
          <w:rPr>
            <w:noProof/>
            <w:webHidden/>
          </w:rPr>
          <w:fldChar w:fldCharType="end"/>
        </w:r>
      </w:hyperlink>
    </w:p>
    <w:p w14:paraId="2233378C" w14:textId="405CED75"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20" w:history="1">
        <w:r w:rsidRPr="005235AF">
          <w:rPr>
            <w:rStyle w:val="Hyperlink"/>
            <w:noProof/>
          </w:rPr>
          <w:t>Figure 7 A schematic of the polyethylene wrapping method used to treat wharf piles</w:t>
        </w:r>
        <w:r>
          <w:rPr>
            <w:noProof/>
            <w:webHidden/>
          </w:rPr>
          <w:tab/>
        </w:r>
        <w:r>
          <w:rPr>
            <w:noProof/>
            <w:webHidden/>
          </w:rPr>
          <w:fldChar w:fldCharType="begin"/>
        </w:r>
        <w:r>
          <w:rPr>
            <w:noProof/>
            <w:webHidden/>
          </w:rPr>
          <w:instrText xml:space="preserve"> PAGEREF _Toc191999520 \h </w:instrText>
        </w:r>
        <w:r>
          <w:rPr>
            <w:noProof/>
            <w:webHidden/>
          </w:rPr>
        </w:r>
        <w:r>
          <w:rPr>
            <w:noProof/>
            <w:webHidden/>
          </w:rPr>
          <w:fldChar w:fldCharType="separate"/>
        </w:r>
        <w:r>
          <w:rPr>
            <w:noProof/>
            <w:webHidden/>
          </w:rPr>
          <w:t>78</w:t>
        </w:r>
        <w:r>
          <w:rPr>
            <w:noProof/>
            <w:webHidden/>
          </w:rPr>
          <w:fldChar w:fldCharType="end"/>
        </w:r>
      </w:hyperlink>
    </w:p>
    <w:p w14:paraId="21E6B3D4" w14:textId="37FAA659"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21" w:history="1">
        <w:r w:rsidRPr="005235AF">
          <w:rPr>
            <w:rStyle w:val="Hyperlink"/>
            <w:noProof/>
          </w:rPr>
          <w:t>Figure 8 Schematic of typical box settlement array deployment</w:t>
        </w:r>
        <w:r>
          <w:rPr>
            <w:noProof/>
            <w:webHidden/>
          </w:rPr>
          <w:tab/>
        </w:r>
        <w:r>
          <w:rPr>
            <w:noProof/>
            <w:webHidden/>
          </w:rPr>
          <w:fldChar w:fldCharType="begin"/>
        </w:r>
        <w:r>
          <w:rPr>
            <w:noProof/>
            <w:webHidden/>
          </w:rPr>
          <w:instrText xml:space="preserve"> PAGEREF _Toc191999521 \h </w:instrText>
        </w:r>
        <w:r>
          <w:rPr>
            <w:noProof/>
            <w:webHidden/>
          </w:rPr>
        </w:r>
        <w:r>
          <w:rPr>
            <w:noProof/>
            <w:webHidden/>
          </w:rPr>
          <w:fldChar w:fldCharType="separate"/>
        </w:r>
        <w:r>
          <w:rPr>
            <w:noProof/>
            <w:webHidden/>
          </w:rPr>
          <w:t>170</w:t>
        </w:r>
        <w:r>
          <w:rPr>
            <w:noProof/>
            <w:webHidden/>
          </w:rPr>
          <w:fldChar w:fldCharType="end"/>
        </w:r>
      </w:hyperlink>
    </w:p>
    <w:p w14:paraId="2A8D87CF" w14:textId="1510971C"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22" w:history="1">
        <w:r w:rsidRPr="005235AF">
          <w:rPr>
            <w:rStyle w:val="Hyperlink"/>
            <w:noProof/>
          </w:rPr>
          <w:t>Figure 9 Hanging settlement design recommended by Sutton and Hewitt (2004)</w:t>
        </w:r>
        <w:r>
          <w:rPr>
            <w:noProof/>
            <w:webHidden/>
          </w:rPr>
          <w:tab/>
        </w:r>
        <w:r>
          <w:rPr>
            <w:noProof/>
            <w:webHidden/>
          </w:rPr>
          <w:fldChar w:fldCharType="begin"/>
        </w:r>
        <w:r>
          <w:rPr>
            <w:noProof/>
            <w:webHidden/>
          </w:rPr>
          <w:instrText xml:space="preserve"> PAGEREF _Toc191999522 \h </w:instrText>
        </w:r>
        <w:r>
          <w:rPr>
            <w:noProof/>
            <w:webHidden/>
          </w:rPr>
        </w:r>
        <w:r>
          <w:rPr>
            <w:noProof/>
            <w:webHidden/>
          </w:rPr>
          <w:fldChar w:fldCharType="separate"/>
        </w:r>
        <w:r>
          <w:rPr>
            <w:noProof/>
            <w:webHidden/>
          </w:rPr>
          <w:t>172</w:t>
        </w:r>
        <w:r>
          <w:rPr>
            <w:noProof/>
            <w:webHidden/>
          </w:rPr>
          <w:fldChar w:fldCharType="end"/>
        </w:r>
      </w:hyperlink>
    </w:p>
    <w:p w14:paraId="129FE818" w14:textId="41777C9B"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23" w:history="1">
        <w:r w:rsidRPr="005235AF">
          <w:rPr>
            <w:rStyle w:val="Hyperlink"/>
            <w:noProof/>
          </w:rPr>
          <w:t>Figure 10 Double T-unit array design showing vertical plates (V) and horizontal plates (H)</w:t>
        </w:r>
        <w:r>
          <w:rPr>
            <w:noProof/>
            <w:webHidden/>
          </w:rPr>
          <w:tab/>
        </w:r>
        <w:r>
          <w:rPr>
            <w:noProof/>
            <w:webHidden/>
          </w:rPr>
          <w:fldChar w:fldCharType="begin"/>
        </w:r>
        <w:r>
          <w:rPr>
            <w:noProof/>
            <w:webHidden/>
          </w:rPr>
          <w:instrText xml:space="preserve"> PAGEREF _Toc191999523 \h </w:instrText>
        </w:r>
        <w:r>
          <w:rPr>
            <w:noProof/>
            <w:webHidden/>
          </w:rPr>
        </w:r>
        <w:r>
          <w:rPr>
            <w:noProof/>
            <w:webHidden/>
          </w:rPr>
          <w:fldChar w:fldCharType="separate"/>
        </w:r>
        <w:r>
          <w:rPr>
            <w:noProof/>
            <w:webHidden/>
          </w:rPr>
          <w:t>173</w:t>
        </w:r>
        <w:r>
          <w:rPr>
            <w:noProof/>
            <w:webHidden/>
          </w:rPr>
          <w:fldChar w:fldCharType="end"/>
        </w:r>
      </w:hyperlink>
    </w:p>
    <w:p w14:paraId="1B9796AB" w14:textId="7C88909B"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24" w:history="1">
        <w:r w:rsidRPr="005235AF">
          <w:rPr>
            <w:rStyle w:val="Hyperlink"/>
            <w:noProof/>
          </w:rPr>
          <w:t>Figure 11 Single T-unit array design</w:t>
        </w:r>
        <w:r>
          <w:rPr>
            <w:noProof/>
            <w:webHidden/>
          </w:rPr>
          <w:tab/>
        </w:r>
        <w:r>
          <w:rPr>
            <w:noProof/>
            <w:webHidden/>
          </w:rPr>
          <w:fldChar w:fldCharType="begin"/>
        </w:r>
        <w:r>
          <w:rPr>
            <w:noProof/>
            <w:webHidden/>
          </w:rPr>
          <w:instrText xml:space="preserve"> PAGEREF _Toc191999524 \h </w:instrText>
        </w:r>
        <w:r>
          <w:rPr>
            <w:noProof/>
            <w:webHidden/>
          </w:rPr>
        </w:r>
        <w:r>
          <w:rPr>
            <w:noProof/>
            <w:webHidden/>
          </w:rPr>
          <w:fldChar w:fldCharType="separate"/>
        </w:r>
        <w:r>
          <w:rPr>
            <w:noProof/>
            <w:webHidden/>
          </w:rPr>
          <w:t>174</w:t>
        </w:r>
        <w:r>
          <w:rPr>
            <w:noProof/>
            <w:webHidden/>
          </w:rPr>
          <w:fldChar w:fldCharType="end"/>
        </w:r>
      </w:hyperlink>
    </w:p>
    <w:p w14:paraId="045E85A6" w14:textId="217BEF92" w:rsidR="001453AC" w:rsidRPr="00A04E26" w:rsidRDefault="00B5740F" w:rsidP="0090794A">
      <w:pPr>
        <w:pStyle w:val="Heading3"/>
        <w:spacing w:before="360"/>
        <w:rPr>
          <w:rStyle w:val="Strong"/>
          <w:b/>
          <w:bCs/>
          <w:color w:val="004661"/>
          <w:szCs w:val="32"/>
        </w:rPr>
      </w:pPr>
      <w:r w:rsidRPr="00846769">
        <w:fldChar w:fldCharType="end"/>
      </w:r>
      <w:bookmarkStart w:id="17" w:name="_Toc191998639"/>
      <w:r w:rsidR="001453AC" w:rsidRPr="00A04E26">
        <w:rPr>
          <w:rStyle w:val="Strong"/>
          <w:b/>
          <w:bCs/>
          <w:color w:val="004661"/>
          <w:szCs w:val="32"/>
        </w:rPr>
        <w:t>Photographs</w:t>
      </w:r>
      <w:bookmarkEnd w:id="17"/>
    </w:p>
    <w:p w14:paraId="5E7054E0" w14:textId="06CA9915" w:rsidR="006A19F3" w:rsidRDefault="00B5740F">
      <w:pPr>
        <w:pStyle w:val="TableofFigures"/>
        <w:tabs>
          <w:tab w:val="right" w:leader="dot" w:pos="9016"/>
        </w:tabs>
        <w:rPr>
          <w:rFonts w:eastAsiaTheme="minorEastAsia"/>
          <w:noProof/>
          <w:kern w:val="2"/>
          <w:sz w:val="24"/>
          <w:szCs w:val="24"/>
          <w:lang w:eastAsia="en-AU"/>
          <w14:ligatures w14:val="standardContextual"/>
        </w:rPr>
      </w:pPr>
      <w:r w:rsidRPr="00846769">
        <w:fldChar w:fldCharType="begin"/>
      </w:r>
      <w:r w:rsidRPr="00846769">
        <w:instrText xml:space="preserve"> TOC \h \z \c "Photo" </w:instrText>
      </w:r>
      <w:r w:rsidRPr="00846769">
        <w:fldChar w:fldCharType="separate"/>
      </w:r>
      <w:hyperlink w:anchor="_Toc191999525" w:history="1">
        <w:r w:rsidR="006A19F3" w:rsidRPr="00B55F4A">
          <w:rPr>
            <w:rStyle w:val="Hyperlink"/>
            <w:noProof/>
          </w:rPr>
          <w:t>Photo 1 Box settlement array design showing square plates attached to a frame (left), and settlement array covered in biofouling after immersion in water (right)</w:t>
        </w:r>
        <w:r w:rsidR="006A19F3">
          <w:rPr>
            <w:noProof/>
            <w:webHidden/>
          </w:rPr>
          <w:tab/>
        </w:r>
        <w:r w:rsidR="006A19F3">
          <w:rPr>
            <w:noProof/>
            <w:webHidden/>
          </w:rPr>
          <w:fldChar w:fldCharType="begin"/>
        </w:r>
        <w:r w:rsidR="006A19F3">
          <w:rPr>
            <w:noProof/>
            <w:webHidden/>
          </w:rPr>
          <w:instrText xml:space="preserve"> PAGEREF _Toc191999525 \h </w:instrText>
        </w:r>
        <w:r w:rsidR="006A19F3">
          <w:rPr>
            <w:noProof/>
            <w:webHidden/>
          </w:rPr>
        </w:r>
        <w:r w:rsidR="006A19F3">
          <w:rPr>
            <w:noProof/>
            <w:webHidden/>
          </w:rPr>
          <w:fldChar w:fldCharType="separate"/>
        </w:r>
        <w:r w:rsidR="006A19F3">
          <w:rPr>
            <w:noProof/>
            <w:webHidden/>
          </w:rPr>
          <w:t>62</w:t>
        </w:r>
        <w:r w:rsidR="006A19F3">
          <w:rPr>
            <w:noProof/>
            <w:webHidden/>
          </w:rPr>
          <w:fldChar w:fldCharType="end"/>
        </w:r>
      </w:hyperlink>
    </w:p>
    <w:p w14:paraId="1674EE8B" w14:textId="72295260"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26" w:history="1">
        <w:r w:rsidRPr="00B55F4A">
          <w:rPr>
            <w:rStyle w:val="Hyperlink"/>
            <w:noProof/>
          </w:rPr>
          <w:t xml:space="preserve">Photo 2 Visual shore search showing </w:t>
        </w:r>
        <w:r w:rsidRPr="00B55F4A">
          <w:rPr>
            <w:rStyle w:val="Hyperlink"/>
            <w:i/>
            <w:iCs/>
            <w:noProof/>
          </w:rPr>
          <w:t xml:space="preserve">Magallana bilineata </w:t>
        </w:r>
        <w:r w:rsidRPr="00B55F4A">
          <w:rPr>
            <w:rStyle w:val="Hyperlink"/>
            <w:noProof/>
          </w:rPr>
          <w:t>shells</w:t>
        </w:r>
        <w:r w:rsidRPr="00B55F4A">
          <w:rPr>
            <w:rStyle w:val="Hyperlink"/>
            <w:i/>
            <w:iCs/>
            <w:noProof/>
          </w:rPr>
          <w:t xml:space="preserve"> </w:t>
        </w:r>
        <w:r w:rsidRPr="00B55F4A">
          <w:rPr>
            <w:rStyle w:val="Hyperlink"/>
            <w:noProof/>
          </w:rPr>
          <w:t>on beach rocks in Cooktown, QLD</w:t>
        </w:r>
        <w:r>
          <w:rPr>
            <w:noProof/>
            <w:webHidden/>
          </w:rPr>
          <w:tab/>
        </w:r>
        <w:r>
          <w:rPr>
            <w:noProof/>
            <w:webHidden/>
          </w:rPr>
          <w:fldChar w:fldCharType="begin"/>
        </w:r>
        <w:r>
          <w:rPr>
            <w:noProof/>
            <w:webHidden/>
          </w:rPr>
          <w:instrText xml:space="preserve"> PAGEREF _Toc191999526 \h </w:instrText>
        </w:r>
        <w:r>
          <w:rPr>
            <w:noProof/>
            <w:webHidden/>
          </w:rPr>
        </w:r>
        <w:r>
          <w:rPr>
            <w:noProof/>
            <w:webHidden/>
          </w:rPr>
          <w:fldChar w:fldCharType="separate"/>
        </w:r>
        <w:r>
          <w:rPr>
            <w:noProof/>
            <w:webHidden/>
          </w:rPr>
          <w:t>64</w:t>
        </w:r>
        <w:r>
          <w:rPr>
            <w:noProof/>
            <w:webHidden/>
          </w:rPr>
          <w:fldChar w:fldCharType="end"/>
        </w:r>
      </w:hyperlink>
    </w:p>
    <w:p w14:paraId="1EF003D2" w14:textId="5CA6DE48"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27" w:history="1">
        <w:r w:rsidRPr="00B55F4A">
          <w:rPr>
            <w:rStyle w:val="Hyperlink"/>
            <w:noProof/>
          </w:rPr>
          <w:t>Photo 3 Epibenthic sled and use of sled underwater</w:t>
        </w:r>
        <w:r>
          <w:rPr>
            <w:noProof/>
            <w:webHidden/>
          </w:rPr>
          <w:tab/>
        </w:r>
        <w:r>
          <w:rPr>
            <w:noProof/>
            <w:webHidden/>
          </w:rPr>
          <w:fldChar w:fldCharType="begin"/>
        </w:r>
        <w:r>
          <w:rPr>
            <w:noProof/>
            <w:webHidden/>
          </w:rPr>
          <w:instrText xml:space="preserve"> PAGEREF _Toc191999527 \h </w:instrText>
        </w:r>
        <w:r>
          <w:rPr>
            <w:noProof/>
            <w:webHidden/>
          </w:rPr>
        </w:r>
        <w:r>
          <w:rPr>
            <w:noProof/>
            <w:webHidden/>
          </w:rPr>
          <w:fldChar w:fldCharType="separate"/>
        </w:r>
        <w:r>
          <w:rPr>
            <w:noProof/>
            <w:webHidden/>
          </w:rPr>
          <w:t>73</w:t>
        </w:r>
        <w:r>
          <w:rPr>
            <w:noProof/>
            <w:webHidden/>
          </w:rPr>
          <w:fldChar w:fldCharType="end"/>
        </w:r>
      </w:hyperlink>
    </w:p>
    <w:p w14:paraId="78CF410A" w14:textId="5AAE9791"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28" w:history="1">
        <w:r w:rsidRPr="00B55F4A">
          <w:rPr>
            <w:rStyle w:val="Hyperlink"/>
            <w:noProof/>
          </w:rPr>
          <w:t xml:space="preserve">Photo 4 Adult </w:t>
        </w:r>
        <w:r w:rsidRPr="00B55F4A">
          <w:rPr>
            <w:rStyle w:val="Hyperlink"/>
            <w:i/>
            <w:iCs/>
            <w:noProof/>
          </w:rPr>
          <w:t xml:space="preserve">Potamocorbula amurensis </w:t>
        </w:r>
        <w:r w:rsidRPr="00B55F4A">
          <w:rPr>
            <w:rStyle w:val="Hyperlink"/>
            <w:noProof/>
          </w:rPr>
          <w:t>showing the shell ‘overbite’ (top), and the inside and outside of the shells (bottom)</w:t>
        </w:r>
        <w:r>
          <w:rPr>
            <w:noProof/>
            <w:webHidden/>
          </w:rPr>
          <w:tab/>
        </w:r>
        <w:r>
          <w:rPr>
            <w:noProof/>
            <w:webHidden/>
          </w:rPr>
          <w:fldChar w:fldCharType="begin"/>
        </w:r>
        <w:r>
          <w:rPr>
            <w:noProof/>
            <w:webHidden/>
          </w:rPr>
          <w:instrText xml:space="preserve"> PAGEREF _Toc191999528 \h </w:instrText>
        </w:r>
        <w:r>
          <w:rPr>
            <w:noProof/>
            <w:webHidden/>
          </w:rPr>
        </w:r>
        <w:r>
          <w:rPr>
            <w:noProof/>
            <w:webHidden/>
          </w:rPr>
          <w:fldChar w:fldCharType="separate"/>
        </w:r>
        <w:r>
          <w:rPr>
            <w:noProof/>
            <w:webHidden/>
          </w:rPr>
          <w:t>93</w:t>
        </w:r>
        <w:r>
          <w:rPr>
            <w:noProof/>
            <w:webHidden/>
          </w:rPr>
          <w:fldChar w:fldCharType="end"/>
        </w:r>
      </w:hyperlink>
    </w:p>
    <w:p w14:paraId="41FF0DDA" w14:textId="57864AE4"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29" w:history="1">
        <w:r w:rsidRPr="00B55F4A">
          <w:rPr>
            <w:rStyle w:val="Hyperlink"/>
            <w:noProof/>
          </w:rPr>
          <w:t xml:space="preserve">Photo 5 Example of inside and outside shell valves of </w:t>
        </w:r>
        <w:r w:rsidRPr="00B55F4A">
          <w:rPr>
            <w:rStyle w:val="Hyperlink"/>
            <w:i/>
            <w:iCs/>
            <w:noProof/>
          </w:rPr>
          <w:t>Potamocorbula amurensis</w:t>
        </w:r>
        <w:r>
          <w:rPr>
            <w:noProof/>
            <w:webHidden/>
          </w:rPr>
          <w:tab/>
        </w:r>
        <w:r>
          <w:rPr>
            <w:noProof/>
            <w:webHidden/>
          </w:rPr>
          <w:fldChar w:fldCharType="begin"/>
        </w:r>
        <w:r>
          <w:rPr>
            <w:noProof/>
            <w:webHidden/>
          </w:rPr>
          <w:instrText xml:space="preserve"> PAGEREF _Toc191999529 \h </w:instrText>
        </w:r>
        <w:r>
          <w:rPr>
            <w:noProof/>
            <w:webHidden/>
          </w:rPr>
        </w:r>
        <w:r>
          <w:rPr>
            <w:noProof/>
            <w:webHidden/>
          </w:rPr>
          <w:fldChar w:fldCharType="separate"/>
        </w:r>
        <w:r>
          <w:rPr>
            <w:noProof/>
            <w:webHidden/>
          </w:rPr>
          <w:t>94</w:t>
        </w:r>
        <w:r>
          <w:rPr>
            <w:noProof/>
            <w:webHidden/>
          </w:rPr>
          <w:fldChar w:fldCharType="end"/>
        </w:r>
      </w:hyperlink>
    </w:p>
    <w:p w14:paraId="70C3295A" w14:textId="5F802369"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30" w:history="1">
        <w:r w:rsidRPr="00B55F4A">
          <w:rPr>
            <w:rStyle w:val="Hyperlink"/>
            <w:noProof/>
          </w:rPr>
          <w:t xml:space="preserve">Photo 6 An image of two </w:t>
        </w:r>
        <w:r w:rsidRPr="00B55F4A">
          <w:rPr>
            <w:rStyle w:val="Hyperlink"/>
            <w:i/>
            <w:iCs/>
            <w:noProof/>
          </w:rPr>
          <w:t xml:space="preserve">Varicorbula gibba </w:t>
        </w:r>
        <w:r w:rsidRPr="00B55F4A">
          <w:rPr>
            <w:rStyle w:val="Hyperlink"/>
            <w:noProof/>
          </w:rPr>
          <w:t>specimens showing two different sizes. Note how the smaller valve fits into the larger valve for the specimen on the left.</w:t>
        </w:r>
        <w:r>
          <w:rPr>
            <w:noProof/>
            <w:webHidden/>
          </w:rPr>
          <w:tab/>
        </w:r>
        <w:r>
          <w:rPr>
            <w:noProof/>
            <w:webHidden/>
          </w:rPr>
          <w:fldChar w:fldCharType="begin"/>
        </w:r>
        <w:r>
          <w:rPr>
            <w:noProof/>
            <w:webHidden/>
          </w:rPr>
          <w:instrText xml:space="preserve"> PAGEREF _Toc191999530 \h </w:instrText>
        </w:r>
        <w:r>
          <w:rPr>
            <w:noProof/>
            <w:webHidden/>
          </w:rPr>
        </w:r>
        <w:r>
          <w:rPr>
            <w:noProof/>
            <w:webHidden/>
          </w:rPr>
          <w:fldChar w:fldCharType="separate"/>
        </w:r>
        <w:r>
          <w:rPr>
            <w:noProof/>
            <w:webHidden/>
          </w:rPr>
          <w:t>99</w:t>
        </w:r>
        <w:r>
          <w:rPr>
            <w:noProof/>
            <w:webHidden/>
          </w:rPr>
          <w:fldChar w:fldCharType="end"/>
        </w:r>
      </w:hyperlink>
    </w:p>
    <w:p w14:paraId="0A1654A4" w14:textId="39078606"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31" w:history="1">
        <w:r w:rsidRPr="00B55F4A">
          <w:rPr>
            <w:rStyle w:val="Hyperlink"/>
            <w:noProof/>
          </w:rPr>
          <w:t xml:space="preserve">Photo 7 Typical adult </w:t>
        </w:r>
        <w:r w:rsidRPr="00B55F4A">
          <w:rPr>
            <w:rStyle w:val="Hyperlink"/>
            <w:i/>
            <w:iCs/>
            <w:noProof/>
          </w:rPr>
          <w:t xml:space="preserve">Mytilopsis sallei </w:t>
        </w:r>
        <w:r w:rsidRPr="00B55F4A">
          <w:rPr>
            <w:rStyle w:val="Hyperlink"/>
            <w:noProof/>
          </w:rPr>
          <w:t>showing both sides of the shell (top), and shells at various size ranges (bottom)</w:t>
        </w:r>
        <w:r>
          <w:rPr>
            <w:noProof/>
            <w:webHidden/>
          </w:rPr>
          <w:tab/>
        </w:r>
        <w:r>
          <w:rPr>
            <w:noProof/>
            <w:webHidden/>
          </w:rPr>
          <w:fldChar w:fldCharType="begin"/>
        </w:r>
        <w:r>
          <w:rPr>
            <w:noProof/>
            <w:webHidden/>
          </w:rPr>
          <w:instrText xml:space="preserve"> PAGEREF _Toc191999531 \h </w:instrText>
        </w:r>
        <w:r>
          <w:rPr>
            <w:noProof/>
            <w:webHidden/>
          </w:rPr>
        </w:r>
        <w:r>
          <w:rPr>
            <w:noProof/>
            <w:webHidden/>
          </w:rPr>
          <w:fldChar w:fldCharType="separate"/>
        </w:r>
        <w:r>
          <w:rPr>
            <w:noProof/>
            <w:webHidden/>
          </w:rPr>
          <w:t>104</w:t>
        </w:r>
        <w:r>
          <w:rPr>
            <w:noProof/>
            <w:webHidden/>
          </w:rPr>
          <w:fldChar w:fldCharType="end"/>
        </w:r>
      </w:hyperlink>
    </w:p>
    <w:p w14:paraId="15B9BD45" w14:textId="6B7A5B3B"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32" w:history="1">
        <w:r w:rsidRPr="00B55F4A">
          <w:rPr>
            <w:rStyle w:val="Hyperlink"/>
            <w:noProof/>
          </w:rPr>
          <w:t xml:space="preserve">Photo 8 Uncommon variant of </w:t>
        </w:r>
        <w:r w:rsidRPr="00B55F4A">
          <w:rPr>
            <w:rStyle w:val="Hyperlink"/>
            <w:i/>
            <w:iCs/>
            <w:noProof/>
          </w:rPr>
          <w:t xml:space="preserve">Mytilopsis sallei </w:t>
        </w:r>
        <w:r w:rsidRPr="00B55F4A">
          <w:rPr>
            <w:rStyle w:val="Hyperlink"/>
            <w:noProof/>
          </w:rPr>
          <w:t>with zig-zag markings</w:t>
        </w:r>
        <w:r>
          <w:rPr>
            <w:noProof/>
            <w:webHidden/>
          </w:rPr>
          <w:tab/>
        </w:r>
        <w:r>
          <w:rPr>
            <w:noProof/>
            <w:webHidden/>
          </w:rPr>
          <w:fldChar w:fldCharType="begin"/>
        </w:r>
        <w:r>
          <w:rPr>
            <w:noProof/>
            <w:webHidden/>
          </w:rPr>
          <w:instrText xml:space="preserve"> PAGEREF _Toc191999532 \h </w:instrText>
        </w:r>
        <w:r>
          <w:rPr>
            <w:noProof/>
            <w:webHidden/>
          </w:rPr>
        </w:r>
        <w:r>
          <w:rPr>
            <w:noProof/>
            <w:webHidden/>
          </w:rPr>
          <w:fldChar w:fldCharType="separate"/>
        </w:r>
        <w:r>
          <w:rPr>
            <w:noProof/>
            <w:webHidden/>
          </w:rPr>
          <w:t>105</w:t>
        </w:r>
        <w:r>
          <w:rPr>
            <w:noProof/>
            <w:webHidden/>
          </w:rPr>
          <w:fldChar w:fldCharType="end"/>
        </w:r>
      </w:hyperlink>
    </w:p>
    <w:p w14:paraId="119EC18F" w14:textId="3ED5FD6C"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33" w:history="1">
        <w:r w:rsidRPr="00B55F4A">
          <w:rPr>
            <w:rStyle w:val="Hyperlink"/>
            <w:noProof/>
          </w:rPr>
          <w:t xml:space="preserve">Photo 9 Shell detail of </w:t>
        </w:r>
        <w:r w:rsidRPr="00B55F4A">
          <w:rPr>
            <w:rStyle w:val="Hyperlink"/>
            <w:i/>
            <w:iCs/>
            <w:noProof/>
          </w:rPr>
          <w:t>Mytilopsis sallei</w:t>
        </w:r>
        <w:r>
          <w:rPr>
            <w:noProof/>
            <w:webHidden/>
          </w:rPr>
          <w:tab/>
        </w:r>
        <w:r>
          <w:rPr>
            <w:noProof/>
            <w:webHidden/>
          </w:rPr>
          <w:fldChar w:fldCharType="begin"/>
        </w:r>
        <w:r>
          <w:rPr>
            <w:noProof/>
            <w:webHidden/>
          </w:rPr>
          <w:instrText xml:space="preserve"> PAGEREF _Toc191999533 \h </w:instrText>
        </w:r>
        <w:r>
          <w:rPr>
            <w:noProof/>
            <w:webHidden/>
          </w:rPr>
        </w:r>
        <w:r>
          <w:rPr>
            <w:noProof/>
            <w:webHidden/>
          </w:rPr>
          <w:fldChar w:fldCharType="separate"/>
        </w:r>
        <w:r>
          <w:rPr>
            <w:noProof/>
            <w:webHidden/>
          </w:rPr>
          <w:t>105</w:t>
        </w:r>
        <w:r>
          <w:rPr>
            <w:noProof/>
            <w:webHidden/>
          </w:rPr>
          <w:fldChar w:fldCharType="end"/>
        </w:r>
      </w:hyperlink>
    </w:p>
    <w:p w14:paraId="127434FD" w14:textId="4BFAF1A1"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34" w:history="1">
        <w:r w:rsidRPr="00B55F4A">
          <w:rPr>
            <w:rStyle w:val="Hyperlink"/>
            <w:noProof/>
          </w:rPr>
          <w:t xml:space="preserve">Photo 10 Adult </w:t>
        </w:r>
        <w:r w:rsidRPr="00B55F4A">
          <w:rPr>
            <w:rStyle w:val="Hyperlink"/>
            <w:i/>
            <w:iCs/>
            <w:noProof/>
          </w:rPr>
          <w:t xml:space="preserve">Mya arenaria </w:t>
        </w:r>
        <w:r w:rsidRPr="00B55F4A">
          <w:rPr>
            <w:rStyle w:val="Hyperlink"/>
            <w:noProof/>
          </w:rPr>
          <w:t>showing the outside and inside of the shell</w:t>
        </w:r>
        <w:r>
          <w:rPr>
            <w:noProof/>
            <w:webHidden/>
          </w:rPr>
          <w:tab/>
        </w:r>
        <w:r>
          <w:rPr>
            <w:noProof/>
            <w:webHidden/>
          </w:rPr>
          <w:fldChar w:fldCharType="begin"/>
        </w:r>
        <w:r>
          <w:rPr>
            <w:noProof/>
            <w:webHidden/>
          </w:rPr>
          <w:instrText xml:space="preserve"> PAGEREF _Toc191999534 \h </w:instrText>
        </w:r>
        <w:r>
          <w:rPr>
            <w:noProof/>
            <w:webHidden/>
          </w:rPr>
        </w:r>
        <w:r>
          <w:rPr>
            <w:noProof/>
            <w:webHidden/>
          </w:rPr>
          <w:fldChar w:fldCharType="separate"/>
        </w:r>
        <w:r>
          <w:rPr>
            <w:noProof/>
            <w:webHidden/>
          </w:rPr>
          <w:t>112</w:t>
        </w:r>
        <w:r>
          <w:rPr>
            <w:noProof/>
            <w:webHidden/>
          </w:rPr>
          <w:fldChar w:fldCharType="end"/>
        </w:r>
      </w:hyperlink>
    </w:p>
    <w:p w14:paraId="0F217D91" w14:textId="2BC2C514"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35" w:history="1">
        <w:r w:rsidRPr="00B55F4A">
          <w:rPr>
            <w:rStyle w:val="Hyperlink"/>
            <w:noProof/>
          </w:rPr>
          <w:t xml:space="preserve">Photo 11 Adult </w:t>
        </w:r>
        <w:r w:rsidRPr="00B55F4A">
          <w:rPr>
            <w:rStyle w:val="Hyperlink"/>
            <w:i/>
            <w:iCs/>
            <w:noProof/>
          </w:rPr>
          <w:t xml:space="preserve">Mya japonica </w:t>
        </w:r>
        <w:r w:rsidRPr="00B55F4A">
          <w:rPr>
            <w:rStyle w:val="Hyperlink"/>
            <w:noProof/>
          </w:rPr>
          <w:t>showing the outside and inside of the shell</w:t>
        </w:r>
        <w:r>
          <w:rPr>
            <w:noProof/>
            <w:webHidden/>
          </w:rPr>
          <w:tab/>
        </w:r>
        <w:r>
          <w:rPr>
            <w:noProof/>
            <w:webHidden/>
          </w:rPr>
          <w:fldChar w:fldCharType="begin"/>
        </w:r>
        <w:r>
          <w:rPr>
            <w:noProof/>
            <w:webHidden/>
          </w:rPr>
          <w:instrText xml:space="preserve"> PAGEREF _Toc191999535 \h </w:instrText>
        </w:r>
        <w:r>
          <w:rPr>
            <w:noProof/>
            <w:webHidden/>
          </w:rPr>
        </w:r>
        <w:r>
          <w:rPr>
            <w:noProof/>
            <w:webHidden/>
          </w:rPr>
          <w:fldChar w:fldCharType="separate"/>
        </w:r>
        <w:r>
          <w:rPr>
            <w:noProof/>
            <w:webHidden/>
          </w:rPr>
          <w:t>113</w:t>
        </w:r>
        <w:r>
          <w:rPr>
            <w:noProof/>
            <w:webHidden/>
          </w:rPr>
          <w:fldChar w:fldCharType="end"/>
        </w:r>
      </w:hyperlink>
    </w:p>
    <w:p w14:paraId="12DAEB3C" w14:textId="26AF1DB6"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36" w:history="1">
        <w:r w:rsidRPr="00B55F4A">
          <w:rPr>
            <w:rStyle w:val="Hyperlink"/>
            <w:noProof/>
          </w:rPr>
          <w:t xml:space="preserve">Photo 12 Adult </w:t>
        </w:r>
        <w:r w:rsidRPr="00B55F4A">
          <w:rPr>
            <w:rStyle w:val="Hyperlink"/>
            <w:i/>
            <w:iCs/>
            <w:noProof/>
          </w:rPr>
          <w:t xml:space="preserve">Mya japonica </w:t>
        </w:r>
        <w:r w:rsidRPr="00B55F4A">
          <w:rPr>
            <w:rStyle w:val="Hyperlink"/>
            <w:noProof/>
          </w:rPr>
          <w:t>with the siphon protruding</w:t>
        </w:r>
        <w:r>
          <w:rPr>
            <w:noProof/>
            <w:webHidden/>
          </w:rPr>
          <w:tab/>
        </w:r>
        <w:r>
          <w:rPr>
            <w:noProof/>
            <w:webHidden/>
          </w:rPr>
          <w:fldChar w:fldCharType="begin"/>
        </w:r>
        <w:r>
          <w:rPr>
            <w:noProof/>
            <w:webHidden/>
          </w:rPr>
          <w:instrText xml:space="preserve"> PAGEREF _Toc191999536 \h </w:instrText>
        </w:r>
        <w:r>
          <w:rPr>
            <w:noProof/>
            <w:webHidden/>
          </w:rPr>
        </w:r>
        <w:r>
          <w:rPr>
            <w:noProof/>
            <w:webHidden/>
          </w:rPr>
          <w:fldChar w:fldCharType="separate"/>
        </w:r>
        <w:r>
          <w:rPr>
            <w:noProof/>
            <w:webHidden/>
          </w:rPr>
          <w:t>113</w:t>
        </w:r>
        <w:r>
          <w:rPr>
            <w:noProof/>
            <w:webHidden/>
          </w:rPr>
          <w:fldChar w:fldCharType="end"/>
        </w:r>
      </w:hyperlink>
    </w:p>
    <w:p w14:paraId="737F222D" w14:textId="5DE5322C"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37" w:history="1">
        <w:r w:rsidRPr="00B55F4A">
          <w:rPr>
            <w:rStyle w:val="Hyperlink"/>
            <w:noProof/>
          </w:rPr>
          <w:t xml:space="preserve">Photo 13 Adult </w:t>
        </w:r>
        <w:r w:rsidRPr="00B55F4A">
          <w:rPr>
            <w:rStyle w:val="Hyperlink"/>
            <w:i/>
            <w:iCs/>
            <w:noProof/>
          </w:rPr>
          <w:t xml:space="preserve">Arcuatula senhousia </w:t>
        </w:r>
        <w:r w:rsidRPr="00B55F4A">
          <w:rPr>
            <w:rStyle w:val="Hyperlink"/>
            <w:noProof/>
          </w:rPr>
          <w:t>showing the species’ iridescent radiating bands</w:t>
        </w:r>
        <w:r>
          <w:rPr>
            <w:noProof/>
            <w:webHidden/>
          </w:rPr>
          <w:tab/>
        </w:r>
        <w:r>
          <w:rPr>
            <w:noProof/>
            <w:webHidden/>
          </w:rPr>
          <w:fldChar w:fldCharType="begin"/>
        </w:r>
        <w:r>
          <w:rPr>
            <w:noProof/>
            <w:webHidden/>
          </w:rPr>
          <w:instrText xml:space="preserve"> PAGEREF _Toc191999537 \h </w:instrText>
        </w:r>
        <w:r>
          <w:rPr>
            <w:noProof/>
            <w:webHidden/>
          </w:rPr>
        </w:r>
        <w:r>
          <w:rPr>
            <w:noProof/>
            <w:webHidden/>
          </w:rPr>
          <w:fldChar w:fldCharType="separate"/>
        </w:r>
        <w:r>
          <w:rPr>
            <w:noProof/>
            <w:webHidden/>
          </w:rPr>
          <w:t>120</w:t>
        </w:r>
        <w:r>
          <w:rPr>
            <w:noProof/>
            <w:webHidden/>
          </w:rPr>
          <w:fldChar w:fldCharType="end"/>
        </w:r>
      </w:hyperlink>
    </w:p>
    <w:p w14:paraId="6F4F2031" w14:textId="57C7E330"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38" w:history="1">
        <w:r w:rsidRPr="00B55F4A">
          <w:rPr>
            <w:rStyle w:val="Hyperlink"/>
            <w:noProof/>
          </w:rPr>
          <w:t xml:space="preserve">Photo 14 Several </w:t>
        </w:r>
        <w:r w:rsidRPr="00B55F4A">
          <w:rPr>
            <w:rStyle w:val="Hyperlink"/>
            <w:i/>
            <w:iCs/>
            <w:noProof/>
          </w:rPr>
          <w:t xml:space="preserve">Arcuatula senhousia </w:t>
        </w:r>
        <w:r w:rsidRPr="00B55F4A">
          <w:rPr>
            <w:rStyle w:val="Hyperlink"/>
            <w:noProof/>
          </w:rPr>
          <w:t>in hand displaying variation in size and patterning</w:t>
        </w:r>
        <w:r>
          <w:rPr>
            <w:noProof/>
            <w:webHidden/>
          </w:rPr>
          <w:tab/>
        </w:r>
        <w:r>
          <w:rPr>
            <w:noProof/>
            <w:webHidden/>
          </w:rPr>
          <w:fldChar w:fldCharType="begin"/>
        </w:r>
        <w:r>
          <w:rPr>
            <w:noProof/>
            <w:webHidden/>
          </w:rPr>
          <w:instrText xml:space="preserve"> PAGEREF _Toc191999538 \h </w:instrText>
        </w:r>
        <w:r>
          <w:rPr>
            <w:noProof/>
            <w:webHidden/>
          </w:rPr>
        </w:r>
        <w:r>
          <w:rPr>
            <w:noProof/>
            <w:webHidden/>
          </w:rPr>
          <w:fldChar w:fldCharType="separate"/>
        </w:r>
        <w:r>
          <w:rPr>
            <w:noProof/>
            <w:webHidden/>
          </w:rPr>
          <w:t>120</w:t>
        </w:r>
        <w:r>
          <w:rPr>
            <w:noProof/>
            <w:webHidden/>
          </w:rPr>
          <w:fldChar w:fldCharType="end"/>
        </w:r>
      </w:hyperlink>
    </w:p>
    <w:p w14:paraId="4992DDC7" w14:textId="13136DCA"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39" w:history="1">
        <w:r w:rsidRPr="00B55F4A">
          <w:rPr>
            <w:rStyle w:val="Hyperlink"/>
            <w:noProof/>
          </w:rPr>
          <w:t xml:space="preserve">Photo 15 Adult </w:t>
        </w:r>
        <w:r w:rsidRPr="00B55F4A">
          <w:rPr>
            <w:rStyle w:val="Hyperlink"/>
            <w:i/>
            <w:iCs/>
            <w:noProof/>
          </w:rPr>
          <w:t xml:space="preserve">Mytella strigata </w:t>
        </w:r>
        <w:r w:rsidRPr="00B55F4A">
          <w:rPr>
            <w:rStyle w:val="Hyperlink"/>
            <w:noProof/>
          </w:rPr>
          <w:t>showing the outside and inside of the shells</w:t>
        </w:r>
        <w:r>
          <w:rPr>
            <w:noProof/>
            <w:webHidden/>
          </w:rPr>
          <w:tab/>
        </w:r>
        <w:r>
          <w:rPr>
            <w:noProof/>
            <w:webHidden/>
          </w:rPr>
          <w:fldChar w:fldCharType="begin"/>
        </w:r>
        <w:r>
          <w:rPr>
            <w:noProof/>
            <w:webHidden/>
          </w:rPr>
          <w:instrText xml:space="preserve"> PAGEREF _Toc191999539 \h </w:instrText>
        </w:r>
        <w:r>
          <w:rPr>
            <w:noProof/>
            <w:webHidden/>
          </w:rPr>
        </w:r>
        <w:r>
          <w:rPr>
            <w:noProof/>
            <w:webHidden/>
          </w:rPr>
          <w:fldChar w:fldCharType="separate"/>
        </w:r>
        <w:r>
          <w:rPr>
            <w:noProof/>
            <w:webHidden/>
          </w:rPr>
          <w:t>126</w:t>
        </w:r>
        <w:r>
          <w:rPr>
            <w:noProof/>
            <w:webHidden/>
          </w:rPr>
          <w:fldChar w:fldCharType="end"/>
        </w:r>
      </w:hyperlink>
    </w:p>
    <w:p w14:paraId="2252FD60" w14:textId="697EAE69"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40" w:history="1">
        <w:r w:rsidRPr="00B55F4A">
          <w:rPr>
            <w:rStyle w:val="Hyperlink"/>
            <w:noProof/>
          </w:rPr>
          <w:t xml:space="preserve">Photo 16 Adult </w:t>
        </w:r>
        <w:r w:rsidRPr="00B55F4A">
          <w:rPr>
            <w:rStyle w:val="Hyperlink"/>
            <w:i/>
            <w:iCs/>
            <w:noProof/>
          </w:rPr>
          <w:t xml:space="preserve">Mytella strigata </w:t>
        </w:r>
        <w:r w:rsidRPr="00B55F4A">
          <w:rPr>
            <w:rStyle w:val="Hyperlink"/>
            <w:noProof/>
          </w:rPr>
          <w:t>shell detail</w:t>
        </w:r>
        <w:r>
          <w:rPr>
            <w:noProof/>
            <w:webHidden/>
          </w:rPr>
          <w:tab/>
        </w:r>
        <w:r>
          <w:rPr>
            <w:noProof/>
            <w:webHidden/>
          </w:rPr>
          <w:fldChar w:fldCharType="begin"/>
        </w:r>
        <w:r>
          <w:rPr>
            <w:noProof/>
            <w:webHidden/>
          </w:rPr>
          <w:instrText xml:space="preserve"> PAGEREF _Toc191999540 \h </w:instrText>
        </w:r>
        <w:r>
          <w:rPr>
            <w:noProof/>
            <w:webHidden/>
          </w:rPr>
        </w:r>
        <w:r>
          <w:rPr>
            <w:noProof/>
            <w:webHidden/>
          </w:rPr>
          <w:fldChar w:fldCharType="separate"/>
        </w:r>
        <w:r>
          <w:rPr>
            <w:noProof/>
            <w:webHidden/>
          </w:rPr>
          <w:t>126</w:t>
        </w:r>
        <w:r>
          <w:rPr>
            <w:noProof/>
            <w:webHidden/>
          </w:rPr>
          <w:fldChar w:fldCharType="end"/>
        </w:r>
      </w:hyperlink>
    </w:p>
    <w:p w14:paraId="64CF1CCC" w14:textId="20E90519"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41" w:history="1">
        <w:r w:rsidRPr="00B55F4A">
          <w:rPr>
            <w:rStyle w:val="Hyperlink"/>
            <w:noProof/>
          </w:rPr>
          <w:t xml:space="preserve">Photo 17 Internal view of live </w:t>
        </w:r>
        <w:r w:rsidRPr="00B55F4A">
          <w:rPr>
            <w:rStyle w:val="Hyperlink"/>
            <w:i/>
            <w:iCs/>
            <w:noProof/>
          </w:rPr>
          <w:t xml:space="preserve">Mytella strigata </w:t>
        </w:r>
        <w:r w:rsidRPr="00B55F4A">
          <w:rPr>
            <w:rStyle w:val="Hyperlink"/>
            <w:noProof/>
          </w:rPr>
          <w:t>specimen</w:t>
        </w:r>
        <w:r>
          <w:rPr>
            <w:noProof/>
            <w:webHidden/>
          </w:rPr>
          <w:tab/>
        </w:r>
        <w:r>
          <w:rPr>
            <w:noProof/>
            <w:webHidden/>
          </w:rPr>
          <w:fldChar w:fldCharType="begin"/>
        </w:r>
        <w:r>
          <w:rPr>
            <w:noProof/>
            <w:webHidden/>
          </w:rPr>
          <w:instrText xml:space="preserve"> PAGEREF _Toc191999541 \h </w:instrText>
        </w:r>
        <w:r>
          <w:rPr>
            <w:noProof/>
            <w:webHidden/>
          </w:rPr>
        </w:r>
        <w:r>
          <w:rPr>
            <w:noProof/>
            <w:webHidden/>
          </w:rPr>
          <w:fldChar w:fldCharType="separate"/>
        </w:r>
        <w:r>
          <w:rPr>
            <w:noProof/>
            <w:webHidden/>
          </w:rPr>
          <w:t>127</w:t>
        </w:r>
        <w:r>
          <w:rPr>
            <w:noProof/>
            <w:webHidden/>
          </w:rPr>
          <w:fldChar w:fldCharType="end"/>
        </w:r>
      </w:hyperlink>
    </w:p>
    <w:p w14:paraId="78909E8A" w14:textId="01EA3ED8"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42" w:history="1">
        <w:r w:rsidRPr="00B55F4A">
          <w:rPr>
            <w:rStyle w:val="Hyperlink"/>
            <w:noProof/>
          </w:rPr>
          <w:t xml:space="preserve">Photo 18 Adult </w:t>
        </w:r>
        <w:r w:rsidRPr="00B55F4A">
          <w:rPr>
            <w:rStyle w:val="Hyperlink"/>
            <w:i/>
            <w:iCs/>
            <w:noProof/>
          </w:rPr>
          <w:t xml:space="preserve">Perna canaliculus </w:t>
        </w:r>
        <w:r w:rsidRPr="00B55F4A">
          <w:rPr>
            <w:rStyle w:val="Hyperlink"/>
            <w:noProof/>
          </w:rPr>
          <w:t xml:space="preserve">(top), </w:t>
        </w:r>
        <w:r w:rsidRPr="00B55F4A">
          <w:rPr>
            <w:rStyle w:val="Hyperlink"/>
            <w:i/>
            <w:iCs/>
            <w:noProof/>
          </w:rPr>
          <w:t xml:space="preserve">Perna perna </w:t>
        </w:r>
        <w:r w:rsidRPr="00B55F4A">
          <w:rPr>
            <w:rStyle w:val="Hyperlink"/>
            <w:noProof/>
          </w:rPr>
          <w:t xml:space="preserve">(middle), and </w:t>
        </w:r>
        <w:r w:rsidRPr="00B55F4A">
          <w:rPr>
            <w:rStyle w:val="Hyperlink"/>
            <w:i/>
            <w:iCs/>
            <w:noProof/>
          </w:rPr>
          <w:t xml:space="preserve">Perna viridis </w:t>
        </w:r>
        <w:r w:rsidRPr="00B55F4A">
          <w:rPr>
            <w:rStyle w:val="Hyperlink"/>
            <w:noProof/>
          </w:rPr>
          <w:t>(bottom)</w:t>
        </w:r>
        <w:r>
          <w:rPr>
            <w:noProof/>
            <w:webHidden/>
          </w:rPr>
          <w:tab/>
        </w:r>
        <w:r>
          <w:rPr>
            <w:noProof/>
            <w:webHidden/>
          </w:rPr>
          <w:fldChar w:fldCharType="begin"/>
        </w:r>
        <w:r>
          <w:rPr>
            <w:noProof/>
            <w:webHidden/>
          </w:rPr>
          <w:instrText xml:space="preserve"> PAGEREF _Toc191999542 \h </w:instrText>
        </w:r>
        <w:r>
          <w:rPr>
            <w:noProof/>
            <w:webHidden/>
          </w:rPr>
        </w:r>
        <w:r>
          <w:rPr>
            <w:noProof/>
            <w:webHidden/>
          </w:rPr>
          <w:fldChar w:fldCharType="separate"/>
        </w:r>
        <w:r>
          <w:rPr>
            <w:noProof/>
            <w:webHidden/>
          </w:rPr>
          <w:t>133</w:t>
        </w:r>
        <w:r>
          <w:rPr>
            <w:noProof/>
            <w:webHidden/>
          </w:rPr>
          <w:fldChar w:fldCharType="end"/>
        </w:r>
      </w:hyperlink>
    </w:p>
    <w:p w14:paraId="5F1F0B91" w14:textId="445D899D"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43" w:history="1">
        <w:r w:rsidRPr="00B55F4A">
          <w:rPr>
            <w:rStyle w:val="Hyperlink"/>
            <w:noProof/>
          </w:rPr>
          <w:t xml:space="preserve">Photo 19 Shape of antero-ventral valve margins in </w:t>
        </w:r>
        <w:r w:rsidRPr="00B55F4A">
          <w:rPr>
            <w:rStyle w:val="Hyperlink"/>
            <w:i/>
            <w:iCs/>
            <w:noProof/>
          </w:rPr>
          <w:t xml:space="preserve">Perna canaliculus </w:t>
        </w:r>
        <w:r w:rsidRPr="00B55F4A">
          <w:rPr>
            <w:rStyle w:val="Hyperlink"/>
            <w:noProof/>
          </w:rPr>
          <w:t xml:space="preserve">(left), </w:t>
        </w:r>
        <w:r w:rsidRPr="00B55F4A">
          <w:rPr>
            <w:rStyle w:val="Hyperlink"/>
            <w:i/>
            <w:iCs/>
            <w:noProof/>
          </w:rPr>
          <w:t xml:space="preserve">Perna perna </w:t>
        </w:r>
        <w:r w:rsidRPr="00B55F4A">
          <w:rPr>
            <w:rStyle w:val="Hyperlink"/>
            <w:noProof/>
          </w:rPr>
          <w:t xml:space="preserve">(middle), and </w:t>
        </w:r>
        <w:r w:rsidRPr="00B55F4A">
          <w:rPr>
            <w:rStyle w:val="Hyperlink"/>
            <w:i/>
            <w:iCs/>
            <w:noProof/>
          </w:rPr>
          <w:t xml:space="preserve">Perna viridis </w:t>
        </w:r>
        <w:r w:rsidRPr="00B55F4A">
          <w:rPr>
            <w:rStyle w:val="Hyperlink"/>
            <w:noProof/>
          </w:rPr>
          <w:t>(right)</w:t>
        </w:r>
        <w:r>
          <w:rPr>
            <w:noProof/>
            <w:webHidden/>
          </w:rPr>
          <w:tab/>
        </w:r>
        <w:r>
          <w:rPr>
            <w:noProof/>
            <w:webHidden/>
          </w:rPr>
          <w:fldChar w:fldCharType="begin"/>
        </w:r>
        <w:r>
          <w:rPr>
            <w:noProof/>
            <w:webHidden/>
          </w:rPr>
          <w:instrText xml:space="preserve"> PAGEREF _Toc191999543 \h </w:instrText>
        </w:r>
        <w:r>
          <w:rPr>
            <w:noProof/>
            <w:webHidden/>
          </w:rPr>
        </w:r>
        <w:r>
          <w:rPr>
            <w:noProof/>
            <w:webHidden/>
          </w:rPr>
          <w:fldChar w:fldCharType="separate"/>
        </w:r>
        <w:r>
          <w:rPr>
            <w:noProof/>
            <w:webHidden/>
          </w:rPr>
          <w:t>134</w:t>
        </w:r>
        <w:r>
          <w:rPr>
            <w:noProof/>
            <w:webHidden/>
          </w:rPr>
          <w:fldChar w:fldCharType="end"/>
        </w:r>
      </w:hyperlink>
    </w:p>
    <w:p w14:paraId="450BA832" w14:textId="0D6105A6"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44" w:history="1">
        <w:r w:rsidRPr="00B55F4A">
          <w:rPr>
            <w:rStyle w:val="Hyperlink"/>
            <w:noProof/>
          </w:rPr>
          <w:t xml:space="preserve">Photo 20 Adult </w:t>
        </w:r>
        <w:r w:rsidRPr="00B55F4A">
          <w:rPr>
            <w:rStyle w:val="Hyperlink"/>
            <w:i/>
            <w:iCs/>
            <w:noProof/>
          </w:rPr>
          <w:t xml:space="preserve">P. viridis </w:t>
        </w:r>
        <w:r w:rsidRPr="00B55F4A">
          <w:rPr>
            <w:rStyle w:val="Hyperlink"/>
            <w:noProof/>
          </w:rPr>
          <w:t xml:space="preserve">(left) and juvenile </w:t>
        </w:r>
        <w:r w:rsidRPr="00B55F4A">
          <w:rPr>
            <w:rStyle w:val="Hyperlink"/>
            <w:i/>
            <w:iCs/>
            <w:noProof/>
          </w:rPr>
          <w:t xml:space="preserve">P. viridis </w:t>
        </w:r>
        <w:r w:rsidRPr="00B55F4A">
          <w:rPr>
            <w:rStyle w:val="Hyperlink"/>
            <w:noProof/>
          </w:rPr>
          <w:t>(right) showing variation in colour and pattern morphology</w:t>
        </w:r>
        <w:r>
          <w:rPr>
            <w:noProof/>
            <w:webHidden/>
          </w:rPr>
          <w:tab/>
        </w:r>
        <w:r>
          <w:rPr>
            <w:noProof/>
            <w:webHidden/>
          </w:rPr>
          <w:fldChar w:fldCharType="begin"/>
        </w:r>
        <w:r>
          <w:rPr>
            <w:noProof/>
            <w:webHidden/>
          </w:rPr>
          <w:instrText xml:space="preserve"> PAGEREF _Toc191999544 \h </w:instrText>
        </w:r>
        <w:r>
          <w:rPr>
            <w:noProof/>
            <w:webHidden/>
          </w:rPr>
        </w:r>
        <w:r>
          <w:rPr>
            <w:noProof/>
            <w:webHidden/>
          </w:rPr>
          <w:fldChar w:fldCharType="separate"/>
        </w:r>
        <w:r>
          <w:rPr>
            <w:noProof/>
            <w:webHidden/>
          </w:rPr>
          <w:t>134</w:t>
        </w:r>
        <w:r>
          <w:rPr>
            <w:noProof/>
            <w:webHidden/>
          </w:rPr>
          <w:fldChar w:fldCharType="end"/>
        </w:r>
      </w:hyperlink>
    </w:p>
    <w:p w14:paraId="6B405CEE" w14:textId="42683C50"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45" w:history="1">
        <w:r w:rsidRPr="00B55F4A">
          <w:rPr>
            <w:rStyle w:val="Hyperlink"/>
            <w:noProof/>
          </w:rPr>
          <w:t xml:space="preserve">Photo 21 </w:t>
        </w:r>
        <w:r w:rsidRPr="00B55F4A">
          <w:rPr>
            <w:rStyle w:val="Hyperlink"/>
            <w:i/>
            <w:iCs/>
            <w:noProof/>
          </w:rPr>
          <w:t xml:space="preserve">Perna viridis </w:t>
        </w:r>
        <w:r w:rsidRPr="00B55F4A">
          <w:rPr>
            <w:rStyle w:val="Hyperlink"/>
            <w:noProof/>
          </w:rPr>
          <w:t>fouling on a rope</w:t>
        </w:r>
        <w:r>
          <w:rPr>
            <w:noProof/>
            <w:webHidden/>
          </w:rPr>
          <w:tab/>
        </w:r>
        <w:r>
          <w:rPr>
            <w:noProof/>
            <w:webHidden/>
          </w:rPr>
          <w:fldChar w:fldCharType="begin"/>
        </w:r>
        <w:r>
          <w:rPr>
            <w:noProof/>
            <w:webHidden/>
          </w:rPr>
          <w:instrText xml:space="preserve"> PAGEREF _Toc191999545 \h </w:instrText>
        </w:r>
        <w:r>
          <w:rPr>
            <w:noProof/>
            <w:webHidden/>
          </w:rPr>
        </w:r>
        <w:r>
          <w:rPr>
            <w:noProof/>
            <w:webHidden/>
          </w:rPr>
          <w:fldChar w:fldCharType="separate"/>
        </w:r>
        <w:r>
          <w:rPr>
            <w:noProof/>
            <w:webHidden/>
          </w:rPr>
          <w:t>138</w:t>
        </w:r>
        <w:r>
          <w:rPr>
            <w:noProof/>
            <w:webHidden/>
          </w:rPr>
          <w:fldChar w:fldCharType="end"/>
        </w:r>
      </w:hyperlink>
    </w:p>
    <w:p w14:paraId="1F39FD57" w14:textId="545C6238"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46" w:history="1">
        <w:r w:rsidRPr="00B55F4A">
          <w:rPr>
            <w:rStyle w:val="Hyperlink"/>
            <w:noProof/>
          </w:rPr>
          <w:t xml:space="preserve">Photo 22 Adult </w:t>
        </w:r>
        <w:r w:rsidRPr="00B55F4A">
          <w:rPr>
            <w:rStyle w:val="Hyperlink"/>
            <w:i/>
            <w:iCs/>
            <w:noProof/>
          </w:rPr>
          <w:t xml:space="preserve">Magallana ariakensis </w:t>
        </w:r>
        <w:r w:rsidRPr="00B55F4A">
          <w:rPr>
            <w:rStyle w:val="Hyperlink"/>
            <w:noProof/>
          </w:rPr>
          <w:t>demonstrating its size in a human hand</w:t>
        </w:r>
        <w:r>
          <w:rPr>
            <w:noProof/>
            <w:webHidden/>
          </w:rPr>
          <w:tab/>
        </w:r>
        <w:r>
          <w:rPr>
            <w:noProof/>
            <w:webHidden/>
          </w:rPr>
          <w:fldChar w:fldCharType="begin"/>
        </w:r>
        <w:r>
          <w:rPr>
            <w:noProof/>
            <w:webHidden/>
          </w:rPr>
          <w:instrText xml:space="preserve"> PAGEREF _Toc191999546 \h </w:instrText>
        </w:r>
        <w:r>
          <w:rPr>
            <w:noProof/>
            <w:webHidden/>
          </w:rPr>
        </w:r>
        <w:r>
          <w:rPr>
            <w:noProof/>
            <w:webHidden/>
          </w:rPr>
          <w:fldChar w:fldCharType="separate"/>
        </w:r>
        <w:r>
          <w:rPr>
            <w:noProof/>
            <w:webHidden/>
          </w:rPr>
          <w:t>145</w:t>
        </w:r>
        <w:r>
          <w:rPr>
            <w:noProof/>
            <w:webHidden/>
          </w:rPr>
          <w:fldChar w:fldCharType="end"/>
        </w:r>
      </w:hyperlink>
    </w:p>
    <w:p w14:paraId="0EB8B538" w14:textId="504126CD"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47" w:history="1">
        <w:r w:rsidRPr="00B55F4A">
          <w:rPr>
            <w:rStyle w:val="Hyperlink"/>
            <w:noProof/>
          </w:rPr>
          <w:t xml:space="preserve">Photo 23 Adult </w:t>
        </w:r>
        <w:r w:rsidRPr="00B55F4A">
          <w:rPr>
            <w:rStyle w:val="Hyperlink"/>
            <w:i/>
            <w:iCs/>
            <w:noProof/>
          </w:rPr>
          <w:t xml:space="preserve">Magallana ariakensis </w:t>
        </w:r>
        <w:r w:rsidRPr="00B55F4A">
          <w:rPr>
            <w:rStyle w:val="Hyperlink"/>
            <w:noProof/>
          </w:rPr>
          <w:t>showing the inside and outside of the valves</w:t>
        </w:r>
        <w:r>
          <w:rPr>
            <w:noProof/>
            <w:webHidden/>
          </w:rPr>
          <w:tab/>
        </w:r>
        <w:r>
          <w:rPr>
            <w:noProof/>
            <w:webHidden/>
          </w:rPr>
          <w:fldChar w:fldCharType="begin"/>
        </w:r>
        <w:r>
          <w:rPr>
            <w:noProof/>
            <w:webHidden/>
          </w:rPr>
          <w:instrText xml:space="preserve"> PAGEREF _Toc191999547 \h </w:instrText>
        </w:r>
        <w:r>
          <w:rPr>
            <w:noProof/>
            <w:webHidden/>
          </w:rPr>
        </w:r>
        <w:r>
          <w:rPr>
            <w:noProof/>
            <w:webHidden/>
          </w:rPr>
          <w:fldChar w:fldCharType="separate"/>
        </w:r>
        <w:r>
          <w:rPr>
            <w:noProof/>
            <w:webHidden/>
          </w:rPr>
          <w:t>145</w:t>
        </w:r>
        <w:r>
          <w:rPr>
            <w:noProof/>
            <w:webHidden/>
          </w:rPr>
          <w:fldChar w:fldCharType="end"/>
        </w:r>
      </w:hyperlink>
    </w:p>
    <w:p w14:paraId="5F0CEB2D" w14:textId="503FDFC2"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48" w:history="1">
        <w:r w:rsidRPr="00B55F4A">
          <w:rPr>
            <w:rStyle w:val="Hyperlink"/>
            <w:noProof/>
          </w:rPr>
          <w:t xml:space="preserve">Photo 24 Juvenile </w:t>
        </w:r>
        <w:r w:rsidRPr="00B55F4A">
          <w:rPr>
            <w:rStyle w:val="Hyperlink"/>
            <w:i/>
            <w:iCs/>
            <w:noProof/>
          </w:rPr>
          <w:t xml:space="preserve">Magallana ariakensis </w:t>
        </w:r>
        <w:r w:rsidRPr="00B55F4A">
          <w:rPr>
            <w:rStyle w:val="Hyperlink"/>
            <w:noProof/>
          </w:rPr>
          <w:t xml:space="preserve">(left), native </w:t>
        </w:r>
        <w:r w:rsidRPr="00B55F4A">
          <w:rPr>
            <w:rStyle w:val="Hyperlink"/>
            <w:i/>
            <w:iCs/>
            <w:noProof/>
          </w:rPr>
          <w:t xml:space="preserve">Saccostrea glomerata </w:t>
        </w:r>
        <w:r w:rsidRPr="00B55F4A">
          <w:rPr>
            <w:rStyle w:val="Hyperlink"/>
            <w:noProof/>
          </w:rPr>
          <w:t xml:space="preserve">(middle), and mature </w:t>
        </w:r>
        <w:r w:rsidRPr="00B55F4A">
          <w:rPr>
            <w:rStyle w:val="Hyperlink"/>
            <w:i/>
            <w:iCs/>
            <w:noProof/>
          </w:rPr>
          <w:t xml:space="preserve">M. ariakensis </w:t>
        </w:r>
        <w:r w:rsidRPr="00B55F4A">
          <w:rPr>
            <w:rStyle w:val="Hyperlink"/>
            <w:noProof/>
          </w:rPr>
          <w:t>(right)</w:t>
        </w:r>
        <w:r>
          <w:rPr>
            <w:noProof/>
            <w:webHidden/>
          </w:rPr>
          <w:tab/>
        </w:r>
        <w:r>
          <w:rPr>
            <w:noProof/>
            <w:webHidden/>
          </w:rPr>
          <w:fldChar w:fldCharType="begin"/>
        </w:r>
        <w:r>
          <w:rPr>
            <w:noProof/>
            <w:webHidden/>
          </w:rPr>
          <w:instrText xml:space="preserve"> PAGEREF _Toc191999548 \h </w:instrText>
        </w:r>
        <w:r>
          <w:rPr>
            <w:noProof/>
            <w:webHidden/>
          </w:rPr>
        </w:r>
        <w:r>
          <w:rPr>
            <w:noProof/>
            <w:webHidden/>
          </w:rPr>
          <w:fldChar w:fldCharType="separate"/>
        </w:r>
        <w:r>
          <w:rPr>
            <w:noProof/>
            <w:webHidden/>
          </w:rPr>
          <w:t>146</w:t>
        </w:r>
        <w:r>
          <w:rPr>
            <w:noProof/>
            <w:webHidden/>
          </w:rPr>
          <w:fldChar w:fldCharType="end"/>
        </w:r>
      </w:hyperlink>
    </w:p>
    <w:p w14:paraId="0DA70248" w14:textId="2F8FE111"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49" w:history="1">
        <w:r w:rsidRPr="00B55F4A">
          <w:rPr>
            <w:rStyle w:val="Hyperlink"/>
            <w:noProof/>
          </w:rPr>
          <w:t xml:space="preserve">Photo 25 Adult </w:t>
        </w:r>
        <w:r w:rsidRPr="00B55F4A">
          <w:rPr>
            <w:rStyle w:val="Hyperlink"/>
            <w:i/>
            <w:iCs/>
            <w:noProof/>
          </w:rPr>
          <w:t xml:space="preserve">Magallana bilineata </w:t>
        </w:r>
        <w:r w:rsidRPr="00B55F4A">
          <w:rPr>
            <w:rStyle w:val="Hyperlink"/>
            <w:noProof/>
          </w:rPr>
          <w:t>from Mourilyan Harbour (left) and from Cooktown (right). Note the prominent black adductor scar on the valves</w:t>
        </w:r>
        <w:r>
          <w:rPr>
            <w:noProof/>
            <w:webHidden/>
          </w:rPr>
          <w:tab/>
        </w:r>
        <w:r>
          <w:rPr>
            <w:noProof/>
            <w:webHidden/>
          </w:rPr>
          <w:fldChar w:fldCharType="begin"/>
        </w:r>
        <w:r>
          <w:rPr>
            <w:noProof/>
            <w:webHidden/>
          </w:rPr>
          <w:instrText xml:space="preserve"> PAGEREF _Toc191999549 \h </w:instrText>
        </w:r>
        <w:r>
          <w:rPr>
            <w:noProof/>
            <w:webHidden/>
          </w:rPr>
        </w:r>
        <w:r>
          <w:rPr>
            <w:noProof/>
            <w:webHidden/>
          </w:rPr>
          <w:fldChar w:fldCharType="separate"/>
        </w:r>
        <w:r>
          <w:rPr>
            <w:noProof/>
            <w:webHidden/>
          </w:rPr>
          <w:t>152</w:t>
        </w:r>
        <w:r>
          <w:rPr>
            <w:noProof/>
            <w:webHidden/>
          </w:rPr>
          <w:fldChar w:fldCharType="end"/>
        </w:r>
      </w:hyperlink>
    </w:p>
    <w:p w14:paraId="5B0F2AF8" w14:textId="326B04EC"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50" w:history="1">
        <w:r w:rsidRPr="00B55F4A">
          <w:rPr>
            <w:rStyle w:val="Hyperlink"/>
            <w:noProof/>
          </w:rPr>
          <w:t xml:space="preserve">Photo 26 Adult </w:t>
        </w:r>
        <w:r w:rsidRPr="00B55F4A">
          <w:rPr>
            <w:rStyle w:val="Hyperlink"/>
            <w:i/>
            <w:iCs/>
            <w:noProof/>
          </w:rPr>
          <w:t xml:space="preserve">Magallana bilineata </w:t>
        </w:r>
        <w:r w:rsidRPr="00B55F4A">
          <w:rPr>
            <w:rStyle w:val="Hyperlink"/>
            <w:noProof/>
          </w:rPr>
          <w:t>on rocks with valves closed</w:t>
        </w:r>
        <w:r>
          <w:rPr>
            <w:noProof/>
            <w:webHidden/>
          </w:rPr>
          <w:tab/>
        </w:r>
        <w:r>
          <w:rPr>
            <w:noProof/>
            <w:webHidden/>
          </w:rPr>
          <w:fldChar w:fldCharType="begin"/>
        </w:r>
        <w:r>
          <w:rPr>
            <w:noProof/>
            <w:webHidden/>
          </w:rPr>
          <w:instrText xml:space="preserve"> PAGEREF _Toc191999550 \h </w:instrText>
        </w:r>
        <w:r>
          <w:rPr>
            <w:noProof/>
            <w:webHidden/>
          </w:rPr>
        </w:r>
        <w:r>
          <w:rPr>
            <w:noProof/>
            <w:webHidden/>
          </w:rPr>
          <w:fldChar w:fldCharType="separate"/>
        </w:r>
        <w:r>
          <w:rPr>
            <w:noProof/>
            <w:webHidden/>
          </w:rPr>
          <w:t>152</w:t>
        </w:r>
        <w:r>
          <w:rPr>
            <w:noProof/>
            <w:webHidden/>
          </w:rPr>
          <w:fldChar w:fldCharType="end"/>
        </w:r>
      </w:hyperlink>
    </w:p>
    <w:p w14:paraId="6FF04960" w14:textId="4B4FEADB"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51" w:history="1">
        <w:r w:rsidRPr="00B55F4A">
          <w:rPr>
            <w:rStyle w:val="Hyperlink"/>
            <w:noProof/>
          </w:rPr>
          <w:t xml:space="preserve">Photo 27 Adult </w:t>
        </w:r>
        <w:r w:rsidRPr="00B55F4A">
          <w:rPr>
            <w:rStyle w:val="Hyperlink"/>
            <w:i/>
            <w:iCs/>
            <w:noProof/>
          </w:rPr>
          <w:t xml:space="preserve">Magallana gigas </w:t>
        </w:r>
        <w:r w:rsidRPr="00B55F4A">
          <w:rPr>
            <w:rStyle w:val="Hyperlink"/>
            <w:noProof/>
          </w:rPr>
          <w:t>showing the wild, non-cultivated form</w:t>
        </w:r>
        <w:r>
          <w:rPr>
            <w:noProof/>
            <w:webHidden/>
          </w:rPr>
          <w:tab/>
        </w:r>
        <w:r>
          <w:rPr>
            <w:noProof/>
            <w:webHidden/>
          </w:rPr>
          <w:fldChar w:fldCharType="begin"/>
        </w:r>
        <w:r>
          <w:rPr>
            <w:noProof/>
            <w:webHidden/>
          </w:rPr>
          <w:instrText xml:space="preserve"> PAGEREF _Toc191999551 \h </w:instrText>
        </w:r>
        <w:r>
          <w:rPr>
            <w:noProof/>
            <w:webHidden/>
          </w:rPr>
        </w:r>
        <w:r>
          <w:rPr>
            <w:noProof/>
            <w:webHidden/>
          </w:rPr>
          <w:fldChar w:fldCharType="separate"/>
        </w:r>
        <w:r>
          <w:rPr>
            <w:noProof/>
            <w:webHidden/>
          </w:rPr>
          <w:t>158</w:t>
        </w:r>
        <w:r>
          <w:rPr>
            <w:noProof/>
            <w:webHidden/>
          </w:rPr>
          <w:fldChar w:fldCharType="end"/>
        </w:r>
      </w:hyperlink>
    </w:p>
    <w:p w14:paraId="703BED8B" w14:textId="399685BC"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52" w:history="1">
        <w:r w:rsidRPr="00B55F4A">
          <w:rPr>
            <w:rStyle w:val="Hyperlink"/>
            <w:noProof/>
          </w:rPr>
          <w:t>Photo 28 Stepped box array design showing different sides and measurements</w:t>
        </w:r>
        <w:r>
          <w:rPr>
            <w:noProof/>
            <w:webHidden/>
          </w:rPr>
          <w:tab/>
        </w:r>
        <w:r>
          <w:rPr>
            <w:noProof/>
            <w:webHidden/>
          </w:rPr>
          <w:fldChar w:fldCharType="begin"/>
        </w:r>
        <w:r>
          <w:rPr>
            <w:noProof/>
            <w:webHidden/>
          </w:rPr>
          <w:instrText xml:space="preserve"> PAGEREF _Toc191999552 \h </w:instrText>
        </w:r>
        <w:r>
          <w:rPr>
            <w:noProof/>
            <w:webHidden/>
          </w:rPr>
        </w:r>
        <w:r>
          <w:rPr>
            <w:noProof/>
            <w:webHidden/>
          </w:rPr>
          <w:fldChar w:fldCharType="separate"/>
        </w:r>
        <w:r>
          <w:rPr>
            <w:noProof/>
            <w:webHidden/>
          </w:rPr>
          <w:t>169</w:t>
        </w:r>
        <w:r>
          <w:rPr>
            <w:noProof/>
            <w:webHidden/>
          </w:rPr>
          <w:fldChar w:fldCharType="end"/>
        </w:r>
      </w:hyperlink>
    </w:p>
    <w:p w14:paraId="4614EF7F" w14:textId="7F3791E7"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53" w:history="1">
        <w:r w:rsidRPr="00B55F4A">
          <w:rPr>
            <w:rStyle w:val="Hyperlink"/>
            <w:noProof/>
          </w:rPr>
          <w:t>Photo 29 Grey PVC plates (10 cm</w:t>
        </w:r>
        <w:r w:rsidRPr="00B55F4A">
          <w:rPr>
            <w:rStyle w:val="Hyperlink"/>
            <w:noProof/>
            <w:vertAlign w:val="superscript"/>
          </w:rPr>
          <w:t>2</w:t>
        </w:r>
        <w:r w:rsidRPr="00B55F4A">
          <w:rPr>
            <w:rStyle w:val="Hyperlink"/>
            <w:noProof/>
          </w:rPr>
          <w:t>) inserted into U-channels of the box array</w:t>
        </w:r>
        <w:r>
          <w:rPr>
            <w:noProof/>
            <w:webHidden/>
          </w:rPr>
          <w:tab/>
        </w:r>
        <w:r>
          <w:rPr>
            <w:noProof/>
            <w:webHidden/>
          </w:rPr>
          <w:fldChar w:fldCharType="begin"/>
        </w:r>
        <w:r>
          <w:rPr>
            <w:noProof/>
            <w:webHidden/>
          </w:rPr>
          <w:instrText xml:space="preserve"> PAGEREF _Toc191999553 \h </w:instrText>
        </w:r>
        <w:r>
          <w:rPr>
            <w:noProof/>
            <w:webHidden/>
          </w:rPr>
        </w:r>
        <w:r>
          <w:rPr>
            <w:noProof/>
            <w:webHidden/>
          </w:rPr>
          <w:fldChar w:fldCharType="separate"/>
        </w:r>
        <w:r>
          <w:rPr>
            <w:noProof/>
            <w:webHidden/>
          </w:rPr>
          <w:t>170</w:t>
        </w:r>
        <w:r>
          <w:rPr>
            <w:noProof/>
            <w:webHidden/>
          </w:rPr>
          <w:fldChar w:fldCharType="end"/>
        </w:r>
      </w:hyperlink>
    </w:p>
    <w:p w14:paraId="2C34BAAC" w14:textId="71BB77FB"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54" w:history="1">
        <w:r w:rsidRPr="00B55F4A">
          <w:rPr>
            <w:rStyle w:val="Hyperlink"/>
            <w:noProof/>
          </w:rPr>
          <w:t>Photo 30 Box settlement array and crab condo ready for deployment (left) and box array deployed in-water (right)</w:t>
        </w:r>
        <w:r>
          <w:rPr>
            <w:noProof/>
            <w:webHidden/>
          </w:rPr>
          <w:tab/>
        </w:r>
        <w:r>
          <w:rPr>
            <w:noProof/>
            <w:webHidden/>
          </w:rPr>
          <w:fldChar w:fldCharType="begin"/>
        </w:r>
        <w:r>
          <w:rPr>
            <w:noProof/>
            <w:webHidden/>
          </w:rPr>
          <w:instrText xml:space="preserve"> PAGEREF _Toc191999554 \h </w:instrText>
        </w:r>
        <w:r>
          <w:rPr>
            <w:noProof/>
            <w:webHidden/>
          </w:rPr>
        </w:r>
        <w:r>
          <w:rPr>
            <w:noProof/>
            <w:webHidden/>
          </w:rPr>
          <w:fldChar w:fldCharType="separate"/>
        </w:r>
        <w:r>
          <w:rPr>
            <w:noProof/>
            <w:webHidden/>
          </w:rPr>
          <w:t>171</w:t>
        </w:r>
        <w:r>
          <w:rPr>
            <w:noProof/>
            <w:webHidden/>
          </w:rPr>
          <w:fldChar w:fldCharType="end"/>
        </w:r>
      </w:hyperlink>
    </w:p>
    <w:p w14:paraId="0A139AF8" w14:textId="7DEA22A9" w:rsidR="00DA42BB" w:rsidRPr="00846769" w:rsidRDefault="00B5740F" w:rsidP="0090794A">
      <w:pPr>
        <w:spacing w:after="0"/>
        <w:rPr>
          <w:rStyle w:val="Strong"/>
          <w:rFonts w:ascii="Calibri" w:hAnsi="Calibri"/>
          <w:b w:val="0"/>
          <w:bCs w:val="0"/>
          <w:color w:val="002060"/>
        </w:rPr>
      </w:pPr>
      <w:r w:rsidRPr="00846769">
        <w:fldChar w:fldCharType="end"/>
      </w:r>
    </w:p>
    <w:p w14:paraId="7F16109A" w14:textId="45540224" w:rsidR="001453AC" w:rsidRPr="00A04E26" w:rsidRDefault="001453AC" w:rsidP="001453AC">
      <w:pPr>
        <w:pStyle w:val="Heading3"/>
        <w:rPr>
          <w:rStyle w:val="Strong"/>
          <w:b/>
          <w:bCs/>
          <w:color w:val="004661"/>
          <w:szCs w:val="32"/>
        </w:rPr>
      </w:pPr>
      <w:bookmarkStart w:id="18" w:name="_Toc191998640"/>
      <w:bookmarkStart w:id="19" w:name="_Hlk189658173"/>
      <w:r w:rsidRPr="00A04E26">
        <w:rPr>
          <w:rStyle w:val="Strong"/>
          <w:b/>
          <w:bCs/>
          <w:color w:val="004661"/>
          <w:szCs w:val="32"/>
        </w:rPr>
        <w:t>Maps</w:t>
      </w:r>
      <w:bookmarkEnd w:id="18"/>
    </w:p>
    <w:bookmarkEnd w:id="19"/>
    <w:p w14:paraId="3058C3B0" w14:textId="2EDADE75" w:rsidR="006A19F3" w:rsidRDefault="00B5740F">
      <w:pPr>
        <w:pStyle w:val="TableofFigures"/>
        <w:tabs>
          <w:tab w:val="right" w:leader="dot" w:pos="9016"/>
        </w:tabs>
        <w:rPr>
          <w:rFonts w:eastAsiaTheme="minorEastAsia"/>
          <w:noProof/>
          <w:kern w:val="2"/>
          <w:sz w:val="24"/>
          <w:szCs w:val="24"/>
          <w:lang w:eastAsia="en-AU"/>
          <w14:ligatures w14:val="standardContextual"/>
        </w:rPr>
      </w:pPr>
      <w:r w:rsidRPr="00846769">
        <w:fldChar w:fldCharType="begin"/>
      </w:r>
      <w:r w:rsidRPr="00846769">
        <w:instrText xml:space="preserve"> TOC \h \z \c "Map" </w:instrText>
      </w:r>
      <w:r w:rsidRPr="00846769">
        <w:fldChar w:fldCharType="separate"/>
      </w:r>
      <w:hyperlink w:anchor="_Toc191999555" w:history="1">
        <w:r w:rsidR="006A19F3" w:rsidRPr="006036EA">
          <w:rPr>
            <w:rStyle w:val="Hyperlink"/>
            <w:noProof/>
          </w:rPr>
          <w:t xml:space="preserve">Map 1 Known global distribution of </w:t>
        </w:r>
        <w:r w:rsidR="006A19F3" w:rsidRPr="006036EA">
          <w:rPr>
            <w:rStyle w:val="Hyperlink"/>
            <w:i/>
            <w:iCs/>
            <w:noProof/>
          </w:rPr>
          <w:t>Potamocorbula amurensis</w:t>
        </w:r>
        <w:r w:rsidR="006A19F3">
          <w:rPr>
            <w:noProof/>
            <w:webHidden/>
          </w:rPr>
          <w:tab/>
        </w:r>
        <w:r w:rsidR="006A19F3">
          <w:rPr>
            <w:noProof/>
            <w:webHidden/>
          </w:rPr>
          <w:fldChar w:fldCharType="begin"/>
        </w:r>
        <w:r w:rsidR="006A19F3">
          <w:rPr>
            <w:noProof/>
            <w:webHidden/>
          </w:rPr>
          <w:instrText xml:space="preserve"> PAGEREF _Toc191999555 \h </w:instrText>
        </w:r>
        <w:r w:rsidR="006A19F3">
          <w:rPr>
            <w:noProof/>
            <w:webHidden/>
          </w:rPr>
        </w:r>
        <w:r w:rsidR="006A19F3">
          <w:rPr>
            <w:noProof/>
            <w:webHidden/>
          </w:rPr>
          <w:fldChar w:fldCharType="separate"/>
        </w:r>
        <w:r w:rsidR="006A19F3">
          <w:rPr>
            <w:noProof/>
            <w:webHidden/>
          </w:rPr>
          <w:t>96</w:t>
        </w:r>
        <w:r w:rsidR="006A19F3">
          <w:rPr>
            <w:noProof/>
            <w:webHidden/>
          </w:rPr>
          <w:fldChar w:fldCharType="end"/>
        </w:r>
      </w:hyperlink>
    </w:p>
    <w:p w14:paraId="58580C94" w14:textId="12A7FAB8"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56" w:history="1">
        <w:r w:rsidRPr="006036EA">
          <w:rPr>
            <w:rStyle w:val="Hyperlink"/>
            <w:noProof/>
          </w:rPr>
          <w:t xml:space="preserve">Map 2 Maximum potential range of </w:t>
        </w:r>
        <w:r w:rsidRPr="006036EA">
          <w:rPr>
            <w:rStyle w:val="Hyperlink"/>
            <w:i/>
            <w:iCs/>
            <w:noProof/>
          </w:rPr>
          <w:t xml:space="preserve">Potamocorbula amurensis </w:t>
        </w:r>
        <w:r w:rsidRPr="006036EA">
          <w:rPr>
            <w:rStyle w:val="Hyperlink"/>
            <w:noProof/>
          </w:rPr>
          <w:t>in Australian waters, indicating areas of potential suitability in red, and potential unsuitability in green</w:t>
        </w:r>
        <w:r>
          <w:rPr>
            <w:noProof/>
            <w:webHidden/>
          </w:rPr>
          <w:tab/>
        </w:r>
        <w:r>
          <w:rPr>
            <w:noProof/>
            <w:webHidden/>
          </w:rPr>
          <w:fldChar w:fldCharType="begin"/>
        </w:r>
        <w:r>
          <w:rPr>
            <w:noProof/>
            <w:webHidden/>
          </w:rPr>
          <w:instrText xml:space="preserve"> PAGEREF _Toc191999556 \h </w:instrText>
        </w:r>
        <w:r>
          <w:rPr>
            <w:noProof/>
            <w:webHidden/>
          </w:rPr>
        </w:r>
        <w:r>
          <w:rPr>
            <w:noProof/>
            <w:webHidden/>
          </w:rPr>
          <w:fldChar w:fldCharType="separate"/>
        </w:r>
        <w:r>
          <w:rPr>
            <w:noProof/>
            <w:webHidden/>
          </w:rPr>
          <w:t>97</w:t>
        </w:r>
        <w:r>
          <w:rPr>
            <w:noProof/>
            <w:webHidden/>
          </w:rPr>
          <w:fldChar w:fldCharType="end"/>
        </w:r>
      </w:hyperlink>
    </w:p>
    <w:p w14:paraId="44E77B35" w14:textId="0496CFDA"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57" w:history="1">
        <w:r w:rsidRPr="006036EA">
          <w:rPr>
            <w:rStyle w:val="Hyperlink"/>
            <w:noProof/>
          </w:rPr>
          <w:t xml:space="preserve">Map 3 Known global distribution of </w:t>
        </w:r>
        <w:r w:rsidRPr="006036EA">
          <w:rPr>
            <w:rStyle w:val="Hyperlink"/>
            <w:i/>
            <w:iCs/>
            <w:noProof/>
          </w:rPr>
          <w:t>Varicorbula gibba</w:t>
        </w:r>
        <w:r>
          <w:rPr>
            <w:noProof/>
            <w:webHidden/>
          </w:rPr>
          <w:tab/>
        </w:r>
        <w:r>
          <w:rPr>
            <w:noProof/>
            <w:webHidden/>
          </w:rPr>
          <w:fldChar w:fldCharType="begin"/>
        </w:r>
        <w:r>
          <w:rPr>
            <w:noProof/>
            <w:webHidden/>
          </w:rPr>
          <w:instrText xml:space="preserve"> PAGEREF _Toc191999557 \h </w:instrText>
        </w:r>
        <w:r>
          <w:rPr>
            <w:noProof/>
            <w:webHidden/>
          </w:rPr>
        </w:r>
        <w:r>
          <w:rPr>
            <w:noProof/>
            <w:webHidden/>
          </w:rPr>
          <w:fldChar w:fldCharType="separate"/>
        </w:r>
        <w:r>
          <w:rPr>
            <w:noProof/>
            <w:webHidden/>
          </w:rPr>
          <w:t>101</w:t>
        </w:r>
        <w:r>
          <w:rPr>
            <w:noProof/>
            <w:webHidden/>
          </w:rPr>
          <w:fldChar w:fldCharType="end"/>
        </w:r>
      </w:hyperlink>
    </w:p>
    <w:p w14:paraId="7F6E7A3D" w14:textId="01C5B6DA"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58" w:history="1">
        <w:r w:rsidRPr="006036EA">
          <w:rPr>
            <w:rStyle w:val="Hyperlink"/>
            <w:noProof/>
          </w:rPr>
          <w:t xml:space="preserve">Map 4 Maximum potential range of </w:t>
        </w:r>
        <w:r w:rsidRPr="006036EA">
          <w:rPr>
            <w:rStyle w:val="Hyperlink"/>
            <w:i/>
            <w:iCs/>
            <w:noProof/>
          </w:rPr>
          <w:t xml:space="preserve">Varicorbula gibba </w:t>
        </w:r>
        <w:r w:rsidRPr="006036EA">
          <w:rPr>
            <w:rStyle w:val="Hyperlink"/>
            <w:noProof/>
          </w:rPr>
          <w:t>in Australian waters, indicating areas of potential suitability in red, and potential unsuitability in green</w:t>
        </w:r>
        <w:r>
          <w:rPr>
            <w:noProof/>
            <w:webHidden/>
          </w:rPr>
          <w:tab/>
        </w:r>
        <w:r>
          <w:rPr>
            <w:noProof/>
            <w:webHidden/>
          </w:rPr>
          <w:fldChar w:fldCharType="begin"/>
        </w:r>
        <w:r>
          <w:rPr>
            <w:noProof/>
            <w:webHidden/>
          </w:rPr>
          <w:instrText xml:space="preserve"> PAGEREF _Toc191999558 \h </w:instrText>
        </w:r>
        <w:r>
          <w:rPr>
            <w:noProof/>
            <w:webHidden/>
          </w:rPr>
        </w:r>
        <w:r>
          <w:rPr>
            <w:noProof/>
            <w:webHidden/>
          </w:rPr>
          <w:fldChar w:fldCharType="separate"/>
        </w:r>
        <w:r>
          <w:rPr>
            <w:noProof/>
            <w:webHidden/>
          </w:rPr>
          <w:t>102</w:t>
        </w:r>
        <w:r>
          <w:rPr>
            <w:noProof/>
            <w:webHidden/>
          </w:rPr>
          <w:fldChar w:fldCharType="end"/>
        </w:r>
      </w:hyperlink>
    </w:p>
    <w:p w14:paraId="4C547C22" w14:textId="756DA37C"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59" w:history="1">
        <w:r w:rsidRPr="006036EA">
          <w:rPr>
            <w:rStyle w:val="Hyperlink"/>
            <w:noProof/>
          </w:rPr>
          <w:t xml:space="preserve">Map 5 Known global distribution of </w:t>
        </w:r>
        <w:r w:rsidRPr="006036EA">
          <w:rPr>
            <w:rStyle w:val="Hyperlink"/>
            <w:i/>
            <w:iCs/>
            <w:noProof/>
          </w:rPr>
          <w:t>Mytilopsis sallei</w:t>
        </w:r>
        <w:r>
          <w:rPr>
            <w:noProof/>
            <w:webHidden/>
          </w:rPr>
          <w:tab/>
        </w:r>
        <w:r>
          <w:rPr>
            <w:noProof/>
            <w:webHidden/>
          </w:rPr>
          <w:fldChar w:fldCharType="begin"/>
        </w:r>
        <w:r>
          <w:rPr>
            <w:noProof/>
            <w:webHidden/>
          </w:rPr>
          <w:instrText xml:space="preserve"> PAGEREF _Toc191999559 \h </w:instrText>
        </w:r>
        <w:r>
          <w:rPr>
            <w:noProof/>
            <w:webHidden/>
          </w:rPr>
        </w:r>
        <w:r>
          <w:rPr>
            <w:noProof/>
            <w:webHidden/>
          </w:rPr>
          <w:fldChar w:fldCharType="separate"/>
        </w:r>
        <w:r>
          <w:rPr>
            <w:noProof/>
            <w:webHidden/>
          </w:rPr>
          <w:t>109</w:t>
        </w:r>
        <w:r>
          <w:rPr>
            <w:noProof/>
            <w:webHidden/>
          </w:rPr>
          <w:fldChar w:fldCharType="end"/>
        </w:r>
      </w:hyperlink>
    </w:p>
    <w:p w14:paraId="602AF57F" w14:textId="6AAA83FF"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60" w:history="1">
        <w:r w:rsidRPr="006036EA">
          <w:rPr>
            <w:rStyle w:val="Hyperlink"/>
            <w:noProof/>
          </w:rPr>
          <w:t xml:space="preserve">Map 6 Maximum potential range of </w:t>
        </w:r>
        <w:r w:rsidRPr="006036EA">
          <w:rPr>
            <w:rStyle w:val="Hyperlink"/>
            <w:i/>
            <w:iCs/>
            <w:noProof/>
          </w:rPr>
          <w:t xml:space="preserve">Mytilopsis sallei </w:t>
        </w:r>
        <w:r w:rsidRPr="006036EA">
          <w:rPr>
            <w:rStyle w:val="Hyperlink"/>
            <w:noProof/>
          </w:rPr>
          <w:t>in Australian waters, indicating areas of potential suitability in red, and potential unsuitability in green</w:t>
        </w:r>
        <w:r>
          <w:rPr>
            <w:noProof/>
            <w:webHidden/>
          </w:rPr>
          <w:tab/>
        </w:r>
        <w:r>
          <w:rPr>
            <w:noProof/>
            <w:webHidden/>
          </w:rPr>
          <w:fldChar w:fldCharType="begin"/>
        </w:r>
        <w:r>
          <w:rPr>
            <w:noProof/>
            <w:webHidden/>
          </w:rPr>
          <w:instrText xml:space="preserve"> PAGEREF _Toc191999560 \h </w:instrText>
        </w:r>
        <w:r>
          <w:rPr>
            <w:noProof/>
            <w:webHidden/>
          </w:rPr>
        </w:r>
        <w:r>
          <w:rPr>
            <w:noProof/>
            <w:webHidden/>
          </w:rPr>
          <w:fldChar w:fldCharType="separate"/>
        </w:r>
        <w:r>
          <w:rPr>
            <w:noProof/>
            <w:webHidden/>
          </w:rPr>
          <w:t>109</w:t>
        </w:r>
        <w:r>
          <w:rPr>
            <w:noProof/>
            <w:webHidden/>
          </w:rPr>
          <w:fldChar w:fldCharType="end"/>
        </w:r>
      </w:hyperlink>
    </w:p>
    <w:p w14:paraId="6B18FE79" w14:textId="380A9DA3"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61" w:history="1">
        <w:r w:rsidRPr="006036EA">
          <w:rPr>
            <w:rStyle w:val="Hyperlink"/>
            <w:noProof/>
          </w:rPr>
          <w:t xml:space="preserve">Map 7 Known global distribution of </w:t>
        </w:r>
        <w:r w:rsidRPr="006036EA">
          <w:rPr>
            <w:rStyle w:val="Hyperlink"/>
            <w:i/>
            <w:iCs/>
            <w:noProof/>
          </w:rPr>
          <w:t>Mya arenaria</w:t>
        </w:r>
        <w:r>
          <w:rPr>
            <w:noProof/>
            <w:webHidden/>
          </w:rPr>
          <w:tab/>
        </w:r>
        <w:r>
          <w:rPr>
            <w:noProof/>
            <w:webHidden/>
          </w:rPr>
          <w:fldChar w:fldCharType="begin"/>
        </w:r>
        <w:r>
          <w:rPr>
            <w:noProof/>
            <w:webHidden/>
          </w:rPr>
          <w:instrText xml:space="preserve"> PAGEREF _Toc191999561 \h </w:instrText>
        </w:r>
        <w:r>
          <w:rPr>
            <w:noProof/>
            <w:webHidden/>
          </w:rPr>
        </w:r>
        <w:r>
          <w:rPr>
            <w:noProof/>
            <w:webHidden/>
          </w:rPr>
          <w:fldChar w:fldCharType="separate"/>
        </w:r>
        <w:r>
          <w:rPr>
            <w:noProof/>
            <w:webHidden/>
          </w:rPr>
          <w:t>116</w:t>
        </w:r>
        <w:r>
          <w:rPr>
            <w:noProof/>
            <w:webHidden/>
          </w:rPr>
          <w:fldChar w:fldCharType="end"/>
        </w:r>
      </w:hyperlink>
    </w:p>
    <w:p w14:paraId="38E75308" w14:textId="46F5C28D"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62" w:history="1">
        <w:r w:rsidRPr="006036EA">
          <w:rPr>
            <w:rStyle w:val="Hyperlink"/>
            <w:noProof/>
          </w:rPr>
          <w:t xml:space="preserve">Map 8 Known global distribution of </w:t>
        </w:r>
        <w:r w:rsidRPr="006036EA">
          <w:rPr>
            <w:rStyle w:val="Hyperlink"/>
            <w:i/>
            <w:iCs/>
            <w:noProof/>
          </w:rPr>
          <w:t>Mya japonica</w:t>
        </w:r>
        <w:r>
          <w:rPr>
            <w:noProof/>
            <w:webHidden/>
          </w:rPr>
          <w:tab/>
        </w:r>
        <w:r>
          <w:rPr>
            <w:noProof/>
            <w:webHidden/>
          </w:rPr>
          <w:fldChar w:fldCharType="begin"/>
        </w:r>
        <w:r>
          <w:rPr>
            <w:noProof/>
            <w:webHidden/>
          </w:rPr>
          <w:instrText xml:space="preserve"> PAGEREF _Toc191999562 \h </w:instrText>
        </w:r>
        <w:r>
          <w:rPr>
            <w:noProof/>
            <w:webHidden/>
          </w:rPr>
        </w:r>
        <w:r>
          <w:rPr>
            <w:noProof/>
            <w:webHidden/>
          </w:rPr>
          <w:fldChar w:fldCharType="separate"/>
        </w:r>
        <w:r>
          <w:rPr>
            <w:noProof/>
            <w:webHidden/>
          </w:rPr>
          <w:t>117</w:t>
        </w:r>
        <w:r>
          <w:rPr>
            <w:noProof/>
            <w:webHidden/>
          </w:rPr>
          <w:fldChar w:fldCharType="end"/>
        </w:r>
      </w:hyperlink>
    </w:p>
    <w:p w14:paraId="1D69231D" w14:textId="021A72B7"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63" w:history="1">
        <w:r w:rsidRPr="006036EA">
          <w:rPr>
            <w:rStyle w:val="Hyperlink"/>
            <w:noProof/>
          </w:rPr>
          <w:t xml:space="preserve">Map 9 Known global distribution of </w:t>
        </w:r>
        <w:r w:rsidRPr="006036EA">
          <w:rPr>
            <w:rStyle w:val="Hyperlink"/>
            <w:i/>
            <w:iCs/>
            <w:noProof/>
          </w:rPr>
          <w:t>Arcuatula senhousia</w:t>
        </w:r>
        <w:r>
          <w:rPr>
            <w:noProof/>
            <w:webHidden/>
          </w:rPr>
          <w:tab/>
        </w:r>
        <w:r>
          <w:rPr>
            <w:noProof/>
            <w:webHidden/>
          </w:rPr>
          <w:fldChar w:fldCharType="begin"/>
        </w:r>
        <w:r>
          <w:rPr>
            <w:noProof/>
            <w:webHidden/>
          </w:rPr>
          <w:instrText xml:space="preserve"> PAGEREF _Toc191999563 \h </w:instrText>
        </w:r>
        <w:r>
          <w:rPr>
            <w:noProof/>
            <w:webHidden/>
          </w:rPr>
        </w:r>
        <w:r>
          <w:rPr>
            <w:noProof/>
            <w:webHidden/>
          </w:rPr>
          <w:fldChar w:fldCharType="separate"/>
        </w:r>
        <w:r>
          <w:rPr>
            <w:noProof/>
            <w:webHidden/>
          </w:rPr>
          <w:t>123</w:t>
        </w:r>
        <w:r>
          <w:rPr>
            <w:noProof/>
            <w:webHidden/>
          </w:rPr>
          <w:fldChar w:fldCharType="end"/>
        </w:r>
      </w:hyperlink>
    </w:p>
    <w:p w14:paraId="6574D4C4" w14:textId="42032697"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64" w:history="1">
        <w:r w:rsidRPr="006036EA">
          <w:rPr>
            <w:rStyle w:val="Hyperlink"/>
            <w:noProof/>
          </w:rPr>
          <w:t xml:space="preserve">Map 10 Maximum potential range of </w:t>
        </w:r>
        <w:r w:rsidRPr="006036EA">
          <w:rPr>
            <w:rStyle w:val="Hyperlink"/>
            <w:i/>
            <w:iCs/>
            <w:noProof/>
          </w:rPr>
          <w:t xml:space="preserve">Arcuatula senhousia </w:t>
        </w:r>
        <w:r w:rsidRPr="006036EA">
          <w:rPr>
            <w:rStyle w:val="Hyperlink"/>
            <w:noProof/>
          </w:rPr>
          <w:t>in Australian waters, indicating areas of potential suitability in red</w:t>
        </w:r>
        <w:r>
          <w:rPr>
            <w:noProof/>
            <w:webHidden/>
          </w:rPr>
          <w:tab/>
        </w:r>
        <w:r>
          <w:rPr>
            <w:noProof/>
            <w:webHidden/>
          </w:rPr>
          <w:fldChar w:fldCharType="begin"/>
        </w:r>
        <w:r>
          <w:rPr>
            <w:noProof/>
            <w:webHidden/>
          </w:rPr>
          <w:instrText xml:space="preserve"> PAGEREF _Toc191999564 \h </w:instrText>
        </w:r>
        <w:r>
          <w:rPr>
            <w:noProof/>
            <w:webHidden/>
          </w:rPr>
        </w:r>
        <w:r>
          <w:rPr>
            <w:noProof/>
            <w:webHidden/>
          </w:rPr>
          <w:fldChar w:fldCharType="separate"/>
        </w:r>
        <w:r>
          <w:rPr>
            <w:noProof/>
            <w:webHidden/>
          </w:rPr>
          <w:t>123</w:t>
        </w:r>
        <w:r>
          <w:rPr>
            <w:noProof/>
            <w:webHidden/>
          </w:rPr>
          <w:fldChar w:fldCharType="end"/>
        </w:r>
      </w:hyperlink>
    </w:p>
    <w:p w14:paraId="4E135D1C" w14:textId="1DF3CA9F"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65" w:history="1">
        <w:r w:rsidRPr="006036EA">
          <w:rPr>
            <w:rStyle w:val="Hyperlink"/>
            <w:noProof/>
          </w:rPr>
          <w:t xml:space="preserve">Map 11 Known global distribution of </w:t>
        </w:r>
        <w:r w:rsidRPr="006036EA">
          <w:rPr>
            <w:rStyle w:val="Hyperlink"/>
            <w:i/>
            <w:iCs/>
            <w:noProof/>
          </w:rPr>
          <w:t>Mytella strigata</w:t>
        </w:r>
        <w:r>
          <w:rPr>
            <w:noProof/>
            <w:webHidden/>
          </w:rPr>
          <w:tab/>
        </w:r>
        <w:r>
          <w:rPr>
            <w:noProof/>
            <w:webHidden/>
          </w:rPr>
          <w:fldChar w:fldCharType="begin"/>
        </w:r>
        <w:r>
          <w:rPr>
            <w:noProof/>
            <w:webHidden/>
          </w:rPr>
          <w:instrText xml:space="preserve"> PAGEREF _Toc191999565 \h </w:instrText>
        </w:r>
        <w:r>
          <w:rPr>
            <w:noProof/>
            <w:webHidden/>
          </w:rPr>
        </w:r>
        <w:r>
          <w:rPr>
            <w:noProof/>
            <w:webHidden/>
          </w:rPr>
          <w:fldChar w:fldCharType="separate"/>
        </w:r>
        <w:r>
          <w:rPr>
            <w:noProof/>
            <w:webHidden/>
          </w:rPr>
          <w:t>129</w:t>
        </w:r>
        <w:r>
          <w:rPr>
            <w:noProof/>
            <w:webHidden/>
          </w:rPr>
          <w:fldChar w:fldCharType="end"/>
        </w:r>
      </w:hyperlink>
    </w:p>
    <w:p w14:paraId="57E7E951" w14:textId="6F7259A5"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66" w:history="1">
        <w:r w:rsidRPr="006036EA">
          <w:rPr>
            <w:rStyle w:val="Hyperlink"/>
            <w:noProof/>
          </w:rPr>
          <w:t xml:space="preserve">Map 12 Maximum potential range of </w:t>
        </w:r>
        <w:r w:rsidRPr="006036EA">
          <w:rPr>
            <w:rStyle w:val="Hyperlink"/>
            <w:i/>
            <w:iCs/>
            <w:noProof/>
          </w:rPr>
          <w:t xml:space="preserve">Mytella strigata </w:t>
        </w:r>
        <w:r w:rsidRPr="006036EA">
          <w:rPr>
            <w:rStyle w:val="Hyperlink"/>
            <w:noProof/>
          </w:rPr>
          <w:t>in Australian waters, indicating areas of potential suitability in red</w:t>
        </w:r>
        <w:r>
          <w:rPr>
            <w:noProof/>
            <w:webHidden/>
          </w:rPr>
          <w:tab/>
        </w:r>
        <w:r>
          <w:rPr>
            <w:noProof/>
            <w:webHidden/>
          </w:rPr>
          <w:fldChar w:fldCharType="begin"/>
        </w:r>
        <w:r>
          <w:rPr>
            <w:noProof/>
            <w:webHidden/>
          </w:rPr>
          <w:instrText xml:space="preserve"> PAGEREF _Toc191999566 \h </w:instrText>
        </w:r>
        <w:r>
          <w:rPr>
            <w:noProof/>
            <w:webHidden/>
          </w:rPr>
        </w:r>
        <w:r>
          <w:rPr>
            <w:noProof/>
            <w:webHidden/>
          </w:rPr>
          <w:fldChar w:fldCharType="separate"/>
        </w:r>
        <w:r>
          <w:rPr>
            <w:noProof/>
            <w:webHidden/>
          </w:rPr>
          <w:t>130</w:t>
        </w:r>
        <w:r>
          <w:rPr>
            <w:noProof/>
            <w:webHidden/>
          </w:rPr>
          <w:fldChar w:fldCharType="end"/>
        </w:r>
      </w:hyperlink>
    </w:p>
    <w:p w14:paraId="76EEA2B6" w14:textId="1CD20B41"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67" w:history="1">
        <w:r w:rsidRPr="006036EA">
          <w:rPr>
            <w:rStyle w:val="Hyperlink"/>
            <w:noProof/>
          </w:rPr>
          <w:t xml:space="preserve">Map 13 Known global distribution of </w:t>
        </w:r>
        <w:r w:rsidRPr="006036EA">
          <w:rPr>
            <w:rStyle w:val="Hyperlink"/>
            <w:i/>
            <w:iCs/>
            <w:noProof/>
          </w:rPr>
          <w:t>Perna canaliculus</w:t>
        </w:r>
        <w:r>
          <w:rPr>
            <w:noProof/>
            <w:webHidden/>
          </w:rPr>
          <w:tab/>
        </w:r>
        <w:r>
          <w:rPr>
            <w:noProof/>
            <w:webHidden/>
          </w:rPr>
          <w:fldChar w:fldCharType="begin"/>
        </w:r>
        <w:r>
          <w:rPr>
            <w:noProof/>
            <w:webHidden/>
          </w:rPr>
          <w:instrText xml:space="preserve"> PAGEREF _Toc191999567 \h </w:instrText>
        </w:r>
        <w:r>
          <w:rPr>
            <w:noProof/>
            <w:webHidden/>
          </w:rPr>
        </w:r>
        <w:r>
          <w:rPr>
            <w:noProof/>
            <w:webHidden/>
          </w:rPr>
          <w:fldChar w:fldCharType="separate"/>
        </w:r>
        <w:r>
          <w:rPr>
            <w:noProof/>
            <w:webHidden/>
          </w:rPr>
          <w:t>139</w:t>
        </w:r>
        <w:r>
          <w:rPr>
            <w:noProof/>
            <w:webHidden/>
          </w:rPr>
          <w:fldChar w:fldCharType="end"/>
        </w:r>
      </w:hyperlink>
    </w:p>
    <w:p w14:paraId="3BE51B99" w14:textId="32D9A387"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68" w:history="1">
        <w:r w:rsidRPr="006036EA">
          <w:rPr>
            <w:rStyle w:val="Hyperlink"/>
            <w:noProof/>
          </w:rPr>
          <w:t xml:space="preserve">Map 14 Maximum potential range of </w:t>
        </w:r>
        <w:r w:rsidRPr="006036EA">
          <w:rPr>
            <w:rStyle w:val="Hyperlink"/>
            <w:i/>
            <w:iCs/>
            <w:noProof/>
          </w:rPr>
          <w:t xml:space="preserve">Perna canaliculus </w:t>
        </w:r>
        <w:r w:rsidRPr="006036EA">
          <w:rPr>
            <w:rStyle w:val="Hyperlink"/>
            <w:noProof/>
          </w:rPr>
          <w:t>in Australian waters, indicating areas of potential suitability in red</w:t>
        </w:r>
        <w:r>
          <w:rPr>
            <w:noProof/>
            <w:webHidden/>
          </w:rPr>
          <w:tab/>
        </w:r>
        <w:r>
          <w:rPr>
            <w:noProof/>
            <w:webHidden/>
          </w:rPr>
          <w:fldChar w:fldCharType="begin"/>
        </w:r>
        <w:r>
          <w:rPr>
            <w:noProof/>
            <w:webHidden/>
          </w:rPr>
          <w:instrText xml:space="preserve"> PAGEREF _Toc191999568 \h </w:instrText>
        </w:r>
        <w:r>
          <w:rPr>
            <w:noProof/>
            <w:webHidden/>
          </w:rPr>
        </w:r>
        <w:r>
          <w:rPr>
            <w:noProof/>
            <w:webHidden/>
          </w:rPr>
          <w:fldChar w:fldCharType="separate"/>
        </w:r>
        <w:r>
          <w:rPr>
            <w:noProof/>
            <w:webHidden/>
          </w:rPr>
          <w:t>140</w:t>
        </w:r>
        <w:r>
          <w:rPr>
            <w:noProof/>
            <w:webHidden/>
          </w:rPr>
          <w:fldChar w:fldCharType="end"/>
        </w:r>
      </w:hyperlink>
    </w:p>
    <w:p w14:paraId="5F60A39B" w14:textId="0A0E5E3E"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69" w:history="1">
        <w:r w:rsidRPr="006036EA">
          <w:rPr>
            <w:rStyle w:val="Hyperlink"/>
            <w:noProof/>
          </w:rPr>
          <w:t xml:space="preserve">Map 15 Known global distribution of </w:t>
        </w:r>
        <w:r w:rsidRPr="006036EA">
          <w:rPr>
            <w:rStyle w:val="Hyperlink"/>
            <w:i/>
            <w:iCs/>
            <w:noProof/>
          </w:rPr>
          <w:t>Perna perna</w:t>
        </w:r>
        <w:r>
          <w:rPr>
            <w:noProof/>
            <w:webHidden/>
          </w:rPr>
          <w:tab/>
        </w:r>
        <w:r>
          <w:rPr>
            <w:noProof/>
            <w:webHidden/>
          </w:rPr>
          <w:fldChar w:fldCharType="begin"/>
        </w:r>
        <w:r>
          <w:rPr>
            <w:noProof/>
            <w:webHidden/>
          </w:rPr>
          <w:instrText xml:space="preserve"> PAGEREF _Toc191999569 \h </w:instrText>
        </w:r>
        <w:r>
          <w:rPr>
            <w:noProof/>
            <w:webHidden/>
          </w:rPr>
        </w:r>
        <w:r>
          <w:rPr>
            <w:noProof/>
            <w:webHidden/>
          </w:rPr>
          <w:fldChar w:fldCharType="separate"/>
        </w:r>
        <w:r>
          <w:rPr>
            <w:noProof/>
            <w:webHidden/>
          </w:rPr>
          <w:t>140</w:t>
        </w:r>
        <w:r>
          <w:rPr>
            <w:noProof/>
            <w:webHidden/>
          </w:rPr>
          <w:fldChar w:fldCharType="end"/>
        </w:r>
      </w:hyperlink>
    </w:p>
    <w:p w14:paraId="19716826" w14:textId="1AA56A72"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70" w:history="1">
        <w:r w:rsidRPr="006036EA">
          <w:rPr>
            <w:rStyle w:val="Hyperlink"/>
            <w:noProof/>
          </w:rPr>
          <w:t xml:space="preserve">Map 16 Maximum potential range of </w:t>
        </w:r>
        <w:r w:rsidRPr="006036EA">
          <w:rPr>
            <w:rStyle w:val="Hyperlink"/>
            <w:i/>
            <w:iCs/>
            <w:noProof/>
          </w:rPr>
          <w:t xml:space="preserve">Perna perna </w:t>
        </w:r>
        <w:r w:rsidRPr="006036EA">
          <w:rPr>
            <w:rStyle w:val="Hyperlink"/>
            <w:noProof/>
          </w:rPr>
          <w:t>in Australian waters, indicating areas of potential suitability in red, and potential unsuitability in green</w:t>
        </w:r>
        <w:r>
          <w:rPr>
            <w:noProof/>
            <w:webHidden/>
          </w:rPr>
          <w:tab/>
        </w:r>
        <w:r>
          <w:rPr>
            <w:noProof/>
            <w:webHidden/>
          </w:rPr>
          <w:fldChar w:fldCharType="begin"/>
        </w:r>
        <w:r>
          <w:rPr>
            <w:noProof/>
            <w:webHidden/>
          </w:rPr>
          <w:instrText xml:space="preserve"> PAGEREF _Toc191999570 \h </w:instrText>
        </w:r>
        <w:r>
          <w:rPr>
            <w:noProof/>
            <w:webHidden/>
          </w:rPr>
        </w:r>
        <w:r>
          <w:rPr>
            <w:noProof/>
            <w:webHidden/>
          </w:rPr>
          <w:fldChar w:fldCharType="separate"/>
        </w:r>
        <w:r>
          <w:rPr>
            <w:noProof/>
            <w:webHidden/>
          </w:rPr>
          <w:t>141</w:t>
        </w:r>
        <w:r>
          <w:rPr>
            <w:noProof/>
            <w:webHidden/>
          </w:rPr>
          <w:fldChar w:fldCharType="end"/>
        </w:r>
      </w:hyperlink>
    </w:p>
    <w:p w14:paraId="2EB5306E" w14:textId="0DC1C8A8"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71" w:history="1">
        <w:r w:rsidRPr="006036EA">
          <w:rPr>
            <w:rStyle w:val="Hyperlink"/>
            <w:noProof/>
          </w:rPr>
          <w:t>Map 17 Known global distribution of</w:t>
        </w:r>
        <w:r w:rsidRPr="006036EA">
          <w:rPr>
            <w:rStyle w:val="Hyperlink"/>
            <w:i/>
            <w:iCs/>
            <w:noProof/>
          </w:rPr>
          <w:t xml:space="preserve"> Perna viridis</w:t>
        </w:r>
        <w:r>
          <w:rPr>
            <w:noProof/>
            <w:webHidden/>
          </w:rPr>
          <w:tab/>
        </w:r>
        <w:r>
          <w:rPr>
            <w:noProof/>
            <w:webHidden/>
          </w:rPr>
          <w:fldChar w:fldCharType="begin"/>
        </w:r>
        <w:r>
          <w:rPr>
            <w:noProof/>
            <w:webHidden/>
          </w:rPr>
          <w:instrText xml:space="preserve"> PAGEREF _Toc191999571 \h </w:instrText>
        </w:r>
        <w:r>
          <w:rPr>
            <w:noProof/>
            <w:webHidden/>
          </w:rPr>
        </w:r>
        <w:r>
          <w:rPr>
            <w:noProof/>
            <w:webHidden/>
          </w:rPr>
          <w:fldChar w:fldCharType="separate"/>
        </w:r>
        <w:r>
          <w:rPr>
            <w:noProof/>
            <w:webHidden/>
          </w:rPr>
          <w:t>141</w:t>
        </w:r>
        <w:r>
          <w:rPr>
            <w:noProof/>
            <w:webHidden/>
          </w:rPr>
          <w:fldChar w:fldCharType="end"/>
        </w:r>
      </w:hyperlink>
    </w:p>
    <w:p w14:paraId="780FAF65" w14:textId="615C5E08"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72" w:history="1">
        <w:r w:rsidRPr="006036EA">
          <w:rPr>
            <w:rStyle w:val="Hyperlink"/>
            <w:noProof/>
          </w:rPr>
          <w:t xml:space="preserve">Map 18 Maximum potential range of </w:t>
        </w:r>
        <w:r w:rsidRPr="006036EA">
          <w:rPr>
            <w:rStyle w:val="Hyperlink"/>
            <w:i/>
            <w:iCs/>
            <w:noProof/>
          </w:rPr>
          <w:t xml:space="preserve">Perna viridis </w:t>
        </w:r>
        <w:r w:rsidRPr="006036EA">
          <w:rPr>
            <w:rStyle w:val="Hyperlink"/>
            <w:noProof/>
          </w:rPr>
          <w:t>in Australian waters, indicating areas of potential suitability in red, and potential unsuitability in green</w:t>
        </w:r>
        <w:r>
          <w:rPr>
            <w:noProof/>
            <w:webHidden/>
          </w:rPr>
          <w:tab/>
        </w:r>
        <w:r>
          <w:rPr>
            <w:noProof/>
            <w:webHidden/>
          </w:rPr>
          <w:fldChar w:fldCharType="begin"/>
        </w:r>
        <w:r>
          <w:rPr>
            <w:noProof/>
            <w:webHidden/>
          </w:rPr>
          <w:instrText xml:space="preserve"> PAGEREF _Toc191999572 \h </w:instrText>
        </w:r>
        <w:r>
          <w:rPr>
            <w:noProof/>
            <w:webHidden/>
          </w:rPr>
        </w:r>
        <w:r>
          <w:rPr>
            <w:noProof/>
            <w:webHidden/>
          </w:rPr>
          <w:fldChar w:fldCharType="separate"/>
        </w:r>
        <w:r>
          <w:rPr>
            <w:noProof/>
            <w:webHidden/>
          </w:rPr>
          <w:t>142</w:t>
        </w:r>
        <w:r>
          <w:rPr>
            <w:noProof/>
            <w:webHidden/>
          </w:rPr>
          <w:fldChar w:fldCharType="end"/>
        </w:r>
      </w:hyperlink>
    </w:p>
    <w:p w14:paraId="0CC8A1D1" w14:textId="20973B84"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73" w:history="1">
        <w:r w:rsidRPr="006036EA">
          <w:rPr>
            <w:rStyle w:val="Hyperlink"/>
            <w:noProof/>
          </w:rPr>
          <w:t xml:space="preserve">Map 19 Known global distribution of </w:t>
        </w:r>
        <w:r w:rsidRPr="006036EA">
          <w:rPr>
            <w:rStyle w:val="Hyperlink"/>
            <w:i/>
            <w:iCs/>
            <w:noProof/>
          </w:rPr>
          <w:t>Magallana ariakensis</w:t>
        </w:r>
        <w:r>
          <w:rPr>
            <w:noProof/>
            <w:webHidden/>
          </w:rPr>
          <w:tab/>
        </w:r>
        <w:r>
          <w:rPr>
            <w:noProof/>
            <w:webHidden/>
          </w:rPr>
          <w:fldChar w:fldCharType="begin"/>
        </w:r>
        <w:r>
          <w:rPr>
            <w:noProof/>
            <w:webHidden/>
          </w:rPr>
          <w:instrText xml:space="preserve"> PAGEREF _Toc191999573 \h </w:instrText>
        </w:r>
        <w:r>
          <w:rPr>
            <w:noProof/>
            <w:webHidden/>
          </w:rPr>
        </w:r>
        <w:r>
          <w:rPr>
            <w:noProof/>
            <w:webHidden/>
          </w:rPr>
          <w:fldChar w:fldCharType="separate"/>
        </w:r>
        <w:r>
          <w:rPr>
            <w:noProof/>
            <w:webHidden/>
          </w:rPr>
          <w:t>148</w:t>
        </w:r>
        <w:r>
          <w:rPr>
            <w:noProof/>
            <w:webHidden/>
          </w:rPr>
          <w:fldChar w:fldCharType="end"/>
        </w:r>
      </w:hyperlink>
    </w:p>
    <w:p w14:paraId="07F4869A" w14:textId="4880B87A"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74" w:history="1">
        <w:r w:rsidRPr="006036EA">
          <w:rPr>
            <w:rStyle w:val="Hyperlink"/>
            <w:noProof/>
          </w:rPr>
          <w:t xml:space="preserve">Map 20 Maximum potential range of </w:t>
        </w:r>
        <w:r w:rsidRPr="006036EA">
          <w:rPr>
            <w:rStyle w:val="Hyperlink"/>
            <w:i/>
            <w:iCs/>
            <w:noProof/>
          </w:rPr>
          <w:t xml:space="preserve">Magallana ariakensis </w:t>
        </w:r>
        <w:r w:rsidRPr="006036EA">
          <w:rPr>
            <w:rStyle w:val="Hyperlink"/>
            <w:noProof/>
          </w:rPr>
          <w:t>in Australian waters, indicating areas of potential suitability in red, and potential unsuitability in green</w:t>
        </w:r>
        <w:r>
          <w:rPr>
            <w:noProof/>
            <w:webHidden/>
          </w:rPr>
          <w:tab/>
        </w:r>
        <w:r>
          <w:rPr>
            <w:noProof/>
            <w:webHidden/>
          </w:rPr>
          <w:fldChar w:fldCharType="begin"/>
        </w:r>
        <w:r>
          <w:rPr>
            <w:noProof/>
            <w:webHidden/>
          </w:rPr>
          <w:instrText xml:space="preserve"> PAGEREF _Toc191999574 \h </w:instrText>
        </w:r>
        <w:r>
          <w:rPr>
            <w:noProof/>
            <w:webHidden/>
          </w:rPr>
        </w:r>
        <w:r>
          <w:rPr>
            <w:noProof/>
            <w:webHidden/>
          </w:rPr>
          <w:fldChar w:fldCharType="separate"/>
        </w:r>
        <w:r>
          <w:rPr>
            <w:noProof/>
            <w:webHidden/>
          </w:rPr>
          <w:t>149</w:t>
        </w:r>
        <w:r>
          <w:rPr>
            <w:noProof/>
            <w:webHidden/>
          </w:rPr>
          <w:fldChar w:fldCharType="end"/>
        </w:r>
      </w:hyperlink>
    </w:p>
    <w:p w14:paraId="4ADC73D9" w14:textId="5857992F"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75" w:history="1">
        <w:r w:rsidRPr="006036EA">
          <w:rPr>
            <w:rStyle w:val="Hyperlink"/>
            <w:noProof/>
          </w:rPr>
          <w:t xml:space="preserve">Map 21 Known global distribution of </w:t>
        </w:r>
        <w:r w:rsidRPr="006036EA">
          <w:rPr>
            <w:rStyle w:val="Hyperlink"/>
            <w:i/>
            <w:iCs/>
            <w:noProof/>
          </w:rPr>
          <w:t>Magallana bilineata</w:t>
        </w:r>
        <w:r>
          <w:rPr>
            <w:noProof/>
            <w:webHidden/>
          </w:rPr>
          <w:tab/>
        </w:r>
        <w:r>
          <w:rPr>
            <w:noProof/>
            <w:webHidden/>
          </w:rPr>
          <w:fldChar w:fldCharType="begin"/>
        </w:r>
        <w:r>
          <w:rPr>
            <w:noProof/>
            <w:webHidden/>
          </w:rPr>
          <w:instrText xml:space="preserve"> PAGEREF _Toc191999575 \h </w:instrText>
        </w:r>
        <w:r>
          <w:rPr>
            <w:noProof/>
            <w:webHidden/>
          </w:rPr>
        </w:r>
        <w:r>
          <w:rPr>
            <w:noProof/>
            <w:webHidden/>
          </w:rPr>
          <w:fldChar w:fldCharType="separate"/>
        </w:r>
        <w:r>
          <w:rPr>
            <w:noProof/>
            <w:webHidden/>
          </w:rPr>
          <w:t>155</w:t>
        </w:r>
        <w:r>
          <w:rPr>
            <w:noProof/>
            <w:webHidden/>
          </w:rPr>
          <w:fldChar w:fldCharType="end"/>
        </w:r>
      </w:hyperlink>
    </w:p>
    <w:p w14:paraId="065524A0" w14:textId="49454C30"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76" w:history="1">
        <w:r w:rsidRPr="006036EA">
          <w:rPr>
            <w:rStyle w:val="Hyperlink"/>
            <w:noProof/>
          </w:rPr>
          <w:t xml:space="preserve">Map 22 Maximum potential range of </w:t>
        </w:r>
        <w:r w:rsidRPr="006036EA">
          <w:rPr>
            <w:rStyle w:val="Hyperlink"/>
            <w:i/>
            <w:iCs/>
            <w:noProof/>
          </w:rPr>
          <w:t xml:space="preserve">Magallana bilineata </w:t>
        </w:r>
        <w:r w:rsidRPr="006036EA">
          <w:rPr>
            <w:rStyle w:val="Hyperlink"/>
            <w:noProof/>
          </w:rPr>
          <w:t>in Australian waters, indicating areas of potential suitability in red, and potential unsuitability in green</w:t>
        </w:r>
        <w:r>
          <w:rPr>
            <w:noProof/>
            <w:webHidden/>
          </w:rPr>
          <w:tab/>
        </w:r>
        <w:r>
          <w:rPr>
            <w:noProof/>
            <w:webHidden/>
          </w:rPr>
          <w:fldChar w:fldCharType="begin"/>
        </w:r>
        <w:r>
          <w:rPr>
            <w:noProof/>
            <w:webHidden/>
          </w:rPr>
          <w:instrText xml:space="preserve"> PAGEREF _Toc191999576 \h </w:instrText>
        </w:r>
        <w:r>
          <w:rPr>
            <w:noProof/>
            <w:webHidden/>
          </w:rPr>
        </w:r>
        <w:r>
          <w:rPr>
            <w:noProof/>
            <w:webHidden/>
          </w:rPr>
          <w:fldChar w:fldCharType="separate"/>
        </w:r>
        <w:r>
          <w:rPr>
            <w:noProof/>
            <w:webHidden/>
          </w:rPr>
          <w:t>155</w:t>
        </w:r>
        <w:r>
          <w:rPr>
            <w:noProof/>
            <w:webHidden/>
          </w:rPr>
          <w:fldChar w:fldCharType="end"/>
        </w:r>
      </w:hyperlink>
    </w:p>
    <w:p w14:paraId="0B6ACAF8" w14:textId="6940F878" w:rsidR="006A19F3" w:rsidRDefault="006A19F3">
      <w:pPr>
        <w:pStyle w:val="TableofFigures"/>
        <w:tabs>
          <w:tab w:val="right" w:leader="dot" w:pos="9016"/>
        </w:tabs>
        <w:rPr>
          <w:rFonts w:eastAsiaTheme="minorEastAsia"/>
          <w:noProof/>
          <w:kern w:val="2"/>
          <w:sz w:val="24"/>
          <w:szCs w:val="24"/>
          <w:lang w:eastAsia="en-AU"/>
          <w14:ligatures w14:val="standardContextual"/>
        </w:rPr>
      </w:pPr>
      <w:hyperlink w:anchor="_Toc191999577" w:history="1">
        <w:r w:rsidRPr="006036EA">
          <w:rPr>
            <w:rStyle w:val="Hyperlink"/>
            <w:noProof/>
          </w:rPr>
          <w:t xml:space="preserve">Map 23 Known global distribution of </w:t>
        </w:r>
        <w:r w:rsidRPr="006036EA">
          <w:rPr>
            <w:rStyle w:val="Hyperlink"/>
            <w:i/>
            <w:iCs/>
            <w:noProof/>
          </w:rPr>
          <w:t>Magallana gigas</w:t>
        </w:r>
        <w:r>
          <w:rPr>
            <w:noProof/>
            <w:webHidden/>
          </w:rPr>
          <w:tab/>
        </w:r>
        <w:r>
          <w:rPr>
            <w:noProof/>
            <w:webHidden/>
          </w:rPr>
          <w:fldChar w:fldCharType="begin"/>
        </w:r>
        <w:r>
          <w:rPr>
            <w:noProof/>
            <w:webHidden/>
          </w:rPr>
          <w:instrText xml:space="preserve"> PAGEREF _Toc191999577 \h </w:instrText>
        </w:r>
        <w:r>
          <w:rPr>
            <w:noProof/>
            <w:webHidden/>
          </w:rPr>
        </w:r>
        <w:r>
          <w:rPr>
            <w:noProof/>
            <w:webHidden/>
          </w:rPr>
          <w:fldChar w:fldCharType="separate"/>
        </w:r>
        <w:r>
          <w:rPr>
            <w:noProof/>
            <w:webHidden/>
          </w:rPr>
          <w:t>160</w:t>
        </w:r>
        <w:r>
          <w:rPr>
            <w:noProof/>
            <w:webHidden/>
          </w:rPr>
          <w:fldChar w:fldCharType="end"/>
        </w:r>
      </w:hyperlink>
    </w:p>
    <w:p w14:paraId="11FD53EF" w14:textId="1AF95274" w:rsidR="006939E1" w:rsidRPr="00846769" w:rsidRDefault="00B5740F" w:rsidP="00BF317B">
      <w:pPr>
        <w:sectPr w:rsidR="006939E1" w:rsidRPr="00846769" w:rsidSect="00126A8A">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fmt="lowerRoman"/>
          <w:cols w:space="708"/>
          <w:docGrid w:linePitch="360"/>
        </w:sectPr>
      </w:pPr>
      <w:r w:rsidRPr="00846769">
        <w:fldChar w:fldCharType="end"/>
      </w:r>
    </w:p>
    <w:p w14:paraId="3E89A681" w14:textId="77777777" w:rsidR="006939E1" w:rsidRPr="00846769" w:rsidRDefault="00B5740F" w:rsidP="00BF317B">
      <w:pPr>
        <w:pStyle w:val="Heading2"/>
        <w:numPr>
          <w:ilvl w:val="0"/>
          <w:numId w:val="0"/>
        </w:numPr>
        <w:ind w:left="851" w:hanging="851"/>
      </w:pPr>
      <w:bookmarkStart w:id="20" w:name="_Toc87599081"/>
      <w:bookmarkStart w:id="21" w:name="_Toc191998641"/>
      <w:r w:rsidRPr="00846769">
        <w:lastRenderedPageBreak/>
        <w:t>Introduction</w:t>
      </w:r>
      <w:bookmarkEnd w:id="4"/>
      <w:bookmarkEnd w:id="5"/>
      <w:bookmarkEnd w:id="20"/>
      <w:bookmarkEnd w:id="21"/>
    </w:p>
    <w:p w14:paraId="1864EE14" w14:textId="0F630E59" w:rsidR="00897574" w:rsidRPr="00846769" w:rsidRDefault="005428CA" w:rsidP="00897574">
      <w:bookmarkStart w:id="22" w:name="_Toc87599082"/>
      <w:r w:rsidRPr="00846769">
        <w:t xml:space="preserve">Marine pests are non-native </w:t>
      </w:r>
      <w:r>
        <w:t xml:space="preserve">marine </w:t>
      </w:r>
      <w:r w:rsidRPr="00846769">
        <w:t xml:space="preserve">species introduced to areas outside their native </w:t>
      </w:r>
      <w:r>
        <w:t xml:space="preserve">geographic </w:t>
      </w:r>
      <w:r w:rsidRPr="00846769">
        <w:t>range</w:t>
      </w:r>
      <w:r>
        <w:t xml:space="preserve">. They can </w:t>
      </w:r>
      <w:r w:rsidRPr="00846769">
        <w:t xml:space="preserve">have negative impacts to Australia’s marine environment, social amenity, or </w:t>
      </w:r>
      <w:r w:rsidR="00C372AA">
        <w:t xml:space="preserve">marine </w:t>
      </w:r>
      <w:r w:rsidRPr="00846769">
        <w:t xml:space="preserve">industries. </w:t>
      </w:r>
      <w:r w:rsidR="00897574" w:rsidRPr="00846769">
        <w:t>Preventing new introductions of m</w:t>
      </w:r>
      <w:r w:rsidR="00897574" w:rsidRPr="00E8357E">
        <w:t xml:space="preserve">arine pests is more cost effective than control </w:t>
      </w:r>
      <w:r w:rsidR="00897574" w:rsidRPr="00E8357E">
        <w:fldChar w:fldCharType="begin"/>
      </w:r>
      <w:r w:rsidR="00897574" w:rsidRPr="00E8357E">
        <w:instrText xml:space="preserve"> ADDIN EN.CITE &lt;EndNote&gt;&lt;Cite&gt;&lt;Author&gt;Leung&lt;/Author&gt;&lt;Year&gt;2002&lt;/Year&gt;&lt;RecNum&gt;3336&lt;/RecNum&gt;&lt;DisplayText&gt;(Leung&lt;style face="italic"&gt; et al.&lt;/style&gt; 2002)&lt;/DisplayText&gt;&lt;record&gt;&lt;rec-number&gt;3336&lt;/rec-number&gt;&lt;foreign-keys&gt;&lt;key app="EN" db-id="pwt20vt9052s2uetf93vz5062vw9es5t090s" timestamp="1582158175"&gt;3336&lt;/key&gt;&lt;/foreign-keys&gt;&lt;ref-type name="Journal Article"&gt;17&lt;/ref-type&gt;&lt;contributors&gt;&lt;authors&gt;&lt;author&gt;Leung, B.&lt;/author&gt;&lt;author&gt;Lodge, D. M.&lt;/author&gt;&lt;author&gt;Finnoff, D.&lt;/author&gt;&lt;author&gt;Shogren, J. F.&lt;/author&gt;&lt;author&gt;Lewis, M. A.&lt;/author&gt;&lt;author&gt;Lamberti, G.&lt;/author&gt;&lt;/authors&gt;&lt;/contributors&gt;&lt;auth-address&gt;Department of Biological Sciences, University of Notre Dame, Notre Dame, IN 46556, USA. bleung@nd.edu&lt;/auth-address&gt;&lt;titles&gt;&lt;title&gt;An ounce of prevention or a pound of cure: bioeconomic risk analysis of invasive species&lt;/title&gt;&lt;secondary-title&gt;Proc Biol Sci&lt;/secondary-title&gt;&lt;/titles&gt;&lt;periodical&gt;&lt;full-title&gt;Proc Biol Sci&lt;/full-title&gt;&lt;/periodical&gt;&lt;pages&gt;2407-13&lt;/pages&gt;&lt;volume&gt;269&lt;/volume&gt;&lt;number&gt;1508&lt;/number&gt;&lt;edition&gt;2002/12/24&lt;/edition&gt;&lt;keywords&gt;&lt;keyword&gt;Animals&lt;/keyword&gt;&lt;keyword&gt;Bivalvia/*classification/*physiology&lt;/keyword&gt;&lt;keyword&gt;*Ecosystem&lt;/keyword&gt;&lt;keyword&gt;*Fresh Water&lt;/keyword&gt;&lt;keyword&gt;*Models, Econometric&lt;/keyword&gt;&lt;keyword&gt;Population Dynamics&lt;/keyword&gt;&lt;keyword&gt;Risk Assessment&lt;/keyword&gt;&lt;keyword&gt;Stochastic Processes&lt;/keyword&gt;&lt;/keywords&gt;&lt;dates&gt;&lt;year&gt;2002&lt;/year&gt;&lt;pub-dates&gt;&lt;date&gt;Dec 7&lt;/date&gt;&lt;/pub-dates&gt;&lt;/dates&gt;&lt;isbn&gt;0962-8452 (Print)&amp;#xD;0962-8452 (Linking)&lt;/isbn&gt;&lt;accession-num&gt;12495482&lt;/accession-num&gt;&lt;urls&gt;&lt;related-urls&gt;&lt;url&gt;https://www.ncbi.nlm.nih.gov/pubmed/12495482&lt;/url&gt;&lt;/related-urls&gt;&lt;/urls&gt;&lt;custom2&gt;PMC1691180&lt;/custom2&gt;&lt;electronic-resource-num&gt;10.1098/rspb.2002.2179&lt;/electronic-resource-num&gt;&lt;/record&gt;&lt;/Cite&gt;&lt;/EndNote&gt;</w:instrText>
      </w:r>
      <w:r w:rsidR="00897574" w:rsidRPr="00E8357E">
        <w:fldChar w:fldCharType="separate"/>
      </w:r>
      <w:r w:rsidR="00897574" w:rsidRPr="00E8357E">
        <w:t>(Leung</w:t>
      </w:r>
      <w:r w:rsidR="00897574" w:rsidRPr="00E8357E">
        <w:rPr>
          <w:i/>
        </w:rPr>
        <w:t xml:space="preserve"> </w:t>
      </w:r>
      <w:r w:rsidR="00897574" w:rsidRPr="00E8357E">
        <w:rPr>
          <w:iCs/>
        </w:rPr>
        <w:t>et al.</w:t>
      </w:r>
      <w:r w:rsidR="00897574" w:rsidRPr="00E8357E">
        <w:t xml:space="preserve"> 2002)</w:t>
      </w:r>
      <w:r w:rsidR="00897574" w:rsidRPr="00E8357E">
        <w:fldChar w:fldCharType="end"/>
      </w:r>
      <w:r w:rsidR="00897574" w:rsidRPr="00E8357E">
        <w:t xml:space="preserve">. Where introductions occur, </w:t>
      </w:r>
      <w:r w:rsidR="00E8211D" w:rsidRPr="00E8357E">
        <w:t>both</w:t>
      </w:r>
      <w:r w:rsidR="00E8211D" w:rsidRPr="00846769">
        <w:t xml:space="preserve"> short and </w:t>
      </w:r>
      <w:r w:rsidR="009620E7" w:rsidRPr="00846769">
        <w:t xml:space="preserve">long-term </w:t>
      </w:r>
      <w:r w:rsidR="00897574" w:rsidRPr="00846769">
        <w:t>impacts and costs can be limited by a rapid and e</w:t>
      </w:r>
      <w:r w:rsidR="00897574" w:rsidRPr="00C31A57">
        <w:t xml:space="preserve">ffectively managed response to the incursion </w:t>
      </w:r>
      <w:r w:rsidR="00897574" w:rsidRPr="00C31A57">
        <w:fldChar w:fldCharType="begin">
          <w:fldData xml:space="preserve">PEVuZE5vdGU+PENpdGU+PEF1dGhvcj5DYW1wYmVsbDwvQXV0aG9yPjxZZWFyPjIwMTg8L1llYXI+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</w:fldData>
        </w:fldChar>
      </w:r>
      <w:r w:rsidR="00897574" w:rsidRPr="00C31A57">
        <w:instrText xml:space="preserve"> ADDIN EN.CITE </w:instrText>
      </w:r>
      <w:r w:rsidR="00897574" w:rsidRPr="00C31A57">
        <w:fldChar w:fldCharType="begin">
          <w:fldData xml:space="preserve">PEVuZE5vdGU+PENpdGU+PEF1dGhvcj5DYW1wYmVsbDwvQXV0aG9yPjxZZWFyPjIwMTg8L1llYXI+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</w:fldData>
        </w:fldChar>
      </w:r>
      <w:r w:rsidR="00897574" w:rsidRPr="00C31A57">
        <w:instrText xml:space="preserve"> ADDIN EN.CITE.DATA </w:instrText>
      </w:r>
      <w:r w:rsidR="00897574" w:rsidRPr="00C31A57">
        <w:fldChar w:fldCharType="end"/>
      </w:r>
      <w:r w:rsidR="00897574" w:rsidRPr="00C31A57">
        <w:fldChar w:fldCharType="separate"/>
      </w:r>
      <w:r w:rsidR="00897574" w:rsidRPr="00C31A57">
        <w:t>(Campbell</w:t>
      </w:r>
      <w:r w:rsidR="00897574" w:rsidRPr="00C31A57">
        <w:rPr>
          <w:i/>
        </w:rPr>
        <w:t xml:space="preserve"> </w:t>
      </w:r>
      <w:r w:rsidR="00897574" w:rsidRPr="00C31A57">
        <w:rPr>
          <w:iCs/>
        </w:rPr>
        <w:t>et al</w:t>
      </w:r>
      <w:r w:rsidR="00897574" w:rsidRPr="00C31A57">
        <w:rPr>
          <w:i/>
        </w:rPr>
        <w:t>.</w:t>
      </w:r>
      <w:r w:rsidR="00897574" w:rsidRPr="00C31A57">
        <w:t xml:space="preserve"> 2018</w:t>
      </w:r>
      <w:r w:rsidR="0052335B" w:rsidRPr="00C31A57">
        <w:t xml:space="preserve">; </w:t>
      </w:r>
      <w:r w:rsidR="005A6A5E" w:rsidRPr="00C31A57">
        <w:t>Wotton &amp; Hewitt 2004</w:t>
      </w:r>
      <w:r w:rsidR="00897574" w:rsidRPr="00C31A57">
        <w:t>)</w:t>
      </w:r>
      <w:r w:rsidR="00897574" w:rsidRPr="00C31A57">
        <w:fldChar w:fldCharType="end"/>
      </w:r>
      <w:r w:rsidR="00897574" w:rsidRPr="00C31A57">
        <w:t>.</w:t>
      </w:r>
    </w:p>
    <w:p w14:paraId="41C582EC" w14:textId="2D14ED5D" w:rsidR="006939E1" w:rsidRPr="003866F7" w:rsidRDefault="00B5740F" w:rsidP="003866F7">
      <w:pPr>
        <w:pStyle w:val="Heading3"/>
      </w:pPr>
      <w:bookmarkStart w:id="23" w:name="_Toc191998642"/>
      <w:r w:rsidRPr="003866F7">
        <w:t>Manual purpose</w:t>
      </w:r>
      <w:bookmarkEnd w:id="22"/>
      <w:bookmarkEnd w:id="23"/>
    </w:p>
    <w:p w14:paraId="1570B91E" w14:textId="707C7679" w:rsidR="00B14A70" w:rsidRDefault="00B5740F" w:rsidP="00B14A70">
      <w:r w:rsidRPr="00846769">
        <w:t xml:space="preserve">Emergency response operations are most effective if they are based on detailed knowledge of the </w:t>
      </w:r>
      <w:r w:rsidR="00897574" w:rsidRPr="00846769">
        <w:t xml:space="preserve">marine </w:t>
      </w:r>
      <w:r w:rsidRPr="00846769">
        <w:t xml:space="preserve">pest’s life history, biology and ecology, ability to introduce or carry pathogens, and susceptibility to control measures or eradication. </w:t>
      </w:r>
      <w:r w:rsidR="008D0799" w:rsidRPr="00846769">
        <w:t>Response actions are most effective when taken immediately</w:t>
      </w:r>
      <w:r w:rsidR="001E7ED7" w:rsidRPr="00846769">
        <w:t xml:space="preserve"> (or as soon as possible)</w:t>
      </w:r>
      <w:r w:rsidR="008D0799" w:rsidRPr="00846769">
        <w:t xml:space="preserve"> after a </w:t>
      </w:r>
      <w:r w:rsidR="001E7ED7" w:rsidRPr="00846769">
        <w:t xml:space="preserve">marine </w:t>
      </w:r>
      <w:r w:rsidR="008D0799" w:rsidRPr="00846769">
        <w:t xml:space="preserve">pest incursion is first detected. </w:t>
      </w:r>
      <w:r w:rsidRPr="00846769">
        <w:t xml:space="preserve">The purpose of this document is to serve as a reference </w:t>
      </w:r>
      <w:r w:rsidR="00F40D92">
        <w:t>for</w:t>
      </w:r>
      <w:r w:rsidR="0063142D" w:rsidRPr="00846769">
        <w:t xml:space="preserve"> manag</w:t>
      </w:r>
      <w:r w:rsidR="00F40D92">
        <w:t>ing</w:t>
      </w:r>
      <w:r w:rsidR="0063142D" w:rsidRPr="00846769">
        <w:t xml:space="preserve"> emergency responses to</w:t>
      </w:r>
      <w:r w:rsidRPr="00846769">
        <w:t xml:space="preserve"> invasive marine bivalves, and to provide guidance in a response</w:t>
      </w:r>
      <w:r w:rsidR="007A2A69">
        <w:t>.</w:t>
      </w:r>
    </w:p>
    <w:p w14:paraId="6CCE1853" w14:textId="2903A630" w:rsidR="00E84C0C" w:rsidRPr="003866F7" w:rsidRDefault="00E84C0C" w:rsidP="00A04E26">
      <w:pPr>
        <w:pStyle w:val="Heading4"/>
      </w:pPr>
      <w:r w:rsidRPr="003866F7">
        <w:t>Emergency Marine Pest Plan Series</w:t>
      </w:r>
    </w:p>
    <w:p w14:paraId="1C452F12" w14:textId="004E7850" w:rsidR="00B14A70" w:rsidRPr="00846769" w:rsidRDefault="00B14A70" w:rsidP="00B14A70">
      <w:pPr>
        <w:rPr>
          <w:u w:color="0070C0"/>
        </w:rPr>
      </w:pPr>
      <w:r w:rsidRPr="00846769">
        <w:t>The Marine Pest Response Manuals are a series of guidance documents that provide information on marine pest emergency response</w:t>
      </w:r>
      <w:r w:rsidR="00F40D92">
        <w:t>s</w:t>
      </w:r>
      <w:r w:rsidRPr="00846769">
        <w:t xml:space="preserve">. The response manuals are part of the </w:t>
      </w:r>
      <w:hyperlink r:id="rId25" w:history="1">
        <w:r w:rsidRPr="00846769">
          <w:rPr>
            <w:rStyle w:val="Hyperlink"/>
          </w:rPr>
          <w:t>Emergency Marine Pest Plan (</w:t>
        </w:r>
        <w:proofErr w:type="spellStart"/>
        <w:r w:rsidRPr="00846769">
          <w:rPr>
            <w:rStyle w:val="Hyperlink"/>
          </w:rPr>
          <w:t>EMPPlan</w:t>
        </w:r>
        <w:proofErr w:type="spellEnd"/>
        <w:r w:rsidRPr="00846769">
          <w:rPr>
            <w:rStyle w:val="Hyperlink"/>
          </w:rPr>
          <w:t>)</w:t>
        </w:r>
        <w:r w:rsidR="00A54DCC" w:rsidRPr="00846769">
          <w:rPr>
            <w:rStyle w:val="Hyperlink"/>
          </w:rPr>
          <w:t xml:space="preserve"> series</w:t>
        </w:r>
      </w:hyperlink>
      <w:r w:rsidRPr="00846769">
        <w:t xml:space="preserve">, a broader set of guidance documents that inform all aspects of a marine pest response. This manual is one of the response manuals and is intended to be used alongside other documents in the </w:t>
      </w:r>
      <w:proofErr w:type="spellStart"/>
      <w:r w:rsidRPr="00846769">
        <w:rPr>
          <w:u w:color="0070C0"/>
        </w:rPr>
        <w:t>EMPPlan</w:t>
      </w:r>
      <w:proofErr w:type="spellEnd"/>
      <w:r w:rsidRPr="00846769">
        <w:rPr>
          <w:u w:color="0070C0"/>
        </w:rPr>
        <w:t xml:space="preserve"> series.</w:t>
      </w:r>
    </w:p>
    <w:p w14:paraId="512F09DC" w14:textId="5425A9DF" w:rsidR="00841EE1" w:rsidRPr="00846769" w:rsidRDefault="00841EE1" w:rsidP="00841EE1">
      <w:bookmarkStart w:id="24" w:name="_Hlk170468962"/>
      <w:r w:rsidRPr="00846769">
        <w:t xml:space="preserve">Previously, marine pest response manuals were developed for individual pest species. As part of the </w:t>
      </w:r>
      <w:proofErr w:type="spellStart"/>
      <w:r w:rsidRPr="00846769">
        <w:t>EMPPlan</w:t>
      </w:r>
      <w:proofErr w:type="spellEnd"/>
      <w:r w:rsidRPr="00846769">
        <w:t xml:space="preserve"> series, the manuals have transitioned from focusing on individual pest species to taxonomic groups of invasive marine animals or plants. The taxon-specific manual template consolidates technical and management information on groups of marine pests (</w:t>
      </w:r>
      <w:r w:rsidR="0004422F">
        <w:t>e.g.</w:t>
      </w:r>
      <w:r w:rsidRPr="00846769">
        <w:t xml:space="preserve"> crabs, bivalves, ascidians) into one document to support marine pest response activities.</w:t>
      </w:r>
    </w:p>
    <w:p w14:paraId="149A2E97" w14:textId="77777777" w:rsidR="00841EE1" w:rsidRPr="00846769" w:rsidRDefault="00841EE1" w:rsidP="00841EE1">
      <w:bookmarkStart w:id="25" w:name="_Hlk170469353"/>
      <w:bookmarkEnd w:id="24"/>
      <w:r w:rsidRPr="00846769">
        <w:t>Species and taxon</w:t>
      </w:r>
      <w:r w:rsidRPr="00846769">
        <w:noBreakHyphen/>
        <w:t xml:space="preserve">specific </w:t>
      </w:r>
      <w:hyperlink r:id="rId26" w:history="1">
        <w:r w:rsidRPr="00846769">
          <w:rPr>
            <w:rStyle w:val="Hyperlink"/>
          </w:rPr>
          <w:t>Marine Pest Response Manuals</w:t>
        </w:r>
      </w:hyperlink>
      <w:r w:rsidRPr="00846769">
        <w:t xml:space="preserve"> have been published for several marine pests that the Marine Pest Sectoral Committee (MPSC) has identified as being of national significance:</w:t>
      </w:r>
    </w:p>
    <w:p w14:paraId="79FA1F62" w14:textId="77777777" w:rsidR="00841EE1" w:rsidRPr="00846769" w:rsidRDefault="00841EE1" w:rsidP="00841EE1">
      <w:pPr>
        <w:pStyle w:val="ListBullet"/>
      </w:pPr>
      <w:r w:rsidRPr="00846769">
        <w:t xml:space="preserve">Response manual for invasive marine crabs </w:t>
      </w:r>
    </w:p>
    <w:p w14:paraId="0B92EC37" w14:textId="77777777" w:rsidR="00841EE1" w:rsidRPr="00846769" w:rsidRDefault="00841EE1" w:rsidP="00841EE1">
      <w:pPr>
        <w:pStyle w:val="ListBullet"/>
      </w:pPr>
      <w:r w:rsidRPr="00846769">
        <w:t>Response manual for invasive marine bivalves</w:t>
      </w:r>
    </w:p>
    <w:p w14:paraId="1E7CA5F7" w14:textId="77777777" w:rsidR="00841EE1" w:rsidRPr="00846769" w:rsidRDefault="00841EE1" w:rsidP="00841EE1">
      <w:pPr>
        <w:pStyle w:val="ListBullet"/>
      </w:pPr>
      <w:r w:rsidRPr="00846769">
        <w:t>Northern pacific seastar (</w:t>
      </w:r>
      <w:r w:rsidRPr="00846769">
        <w:rPr>
          <w:i/>
          <w:iCs/>
        </w:rPr>
        <w:t>Asterias amurensis</w:t>
      </w:r>
      <w:r w:rsidRPr="00846769">
        <w:t>)</w:t>
      </w:r>
    </w:p>
    <w:p w14:paraId="2EF7C01C" w14:textId="09AEE5A6" w:rsidR="00841EE1" w:rsidRPr="00846769" w:rsidRDefault="00841EE1" w:rsidP="00841EE1">
      <w:pPr>
        <w:pStyle w:val="ListBullet"/>
      </w:pPr>
      <w:r w:rsidRPr="00846769">
        <w:t xml:space="preserve">Japanese </w:t>
      </w:r>
      <w:r w:rsidR="00CE7A38" w:rsidRPr="00846769">
        <w:t>seaweed</w:t>
      </w:r>
      <w:r w:rsidR="007F7842">
        <w:t>/Wakame</w:t>
      </w:r>
      <w:r w:rsidRPr="00846769">
        <w:t xml:space="preserve"> (</w:t>
      </w:r>
      <w:r w:rsidRPr="00846769">
        <w:rPr>
          <w:i/>
          <w:iCs/>
        </w:rPr>
        <w:t>Undaria pinnatifida</w:t>
      </w:r>
      <w:r w:rsidRPr="00846769">
        <w:t>).</w:t>
      </w:r>
    </w:p>
    <w:p w14:paraId="7191C1AB" w14:textId="70D614DA" w:rsidR="00841EE1" w:rsidRPr="00846769" w:rsidRDefault="00841EE1" w:rsidP="00841EE1">
      <w:r w:rsidRPr="00846769">
        <w:t xml:space="preserve">These response manuals offer guidance on the types of information needed to inform the response to a marine pest incursion and appropriate methods of containment, control and/or eradication of marine pest taxa. The manuals may be used when </w:t>
      </w:r>
      <w:r w:rsidR="001800CC">
        <w:t xml:space="preserve">planning for or </w:t>
      </w:r>
      <w:r w:rsidRPr="00846769">
        <w:t>responding to a suspected or confirmed marine pest incursion</w:t>
      </w:r>
      <w:r w:rsidR="001800CC">
        <w:t>.</w:t>
      </w:r>
      <w:r w:rsidRPr="00846769">
        <w:t xml:space="preserve"> </w:t>
      </w:r>
    </w:p>
    <w:p w14:paraId="57563A98" w14:textId="5FEAF251" w:rsidR="00367F8D" w:rsidRPr="00846769" w:rsidRDefault="00367F8D" w:rsidP="00841EE1">
      <w:pPr>
        <w:rPr>
          <w:rStyle w:val="Hyperlink"/>
        </w:rPr>
      </w:pPr>
      <w:r w:rsidRPr="00846769">
        <w:lastRenderedPageBreak/>
        <w:t xml:space="preserve">The </w:t>
      </w:r>
      <w:hyperlink r:id="rId27" w:history="1">
        <w:r w:rsidRPr="00F40D92">
          <w:rPr>
            <w:rStyle w:val="Hyperlink"/>
          </w:rPr>
          <w:t>Marine pest response manual</w:t>
        </w:r>
      </w:hyperlink>
      <w:r w:rsidRPr="00846769">
        <w:t xml:space="preserve"> has also been developed which covers general information on </w:t>
      </w:r>
      <w:r w:rsidR="001800CC">
        <w:t xml:space="preserve">responding to </w:t>
      </w:r>
      <w:r w:rsidRPr="00846769">
        <w:t>marine pest incursions in the absence of species o</w:t>
      </w:r>
      <w:r w:rsidR="00F40D92">
        <w:t>r</w:t>
      </w:r>
      <w:r w:rsidRPr="00846769">
        <w:t xml:space="preserve"> taxon-specific manuals.</w:t>
      </w:r>
    </w:p>
    <w:p w14:paraId="533C9875" w14:textId="7F12BCDC" w:rsidR="00B14A70" w:rsidRPr="00846769" w:rsidRDefault="00B14A70" w:rsidP="00B14A70">
      <w:bookmarkStart w:id="26" w:name="_Hlk142472252"/>
      <w:bookmarkEnd w:id="25"/>
      <w:r w:rsidRPr="00846769">
        <w:t xml:space="preserve">The </w:t>
      </w:r>
      <w:hyperlink r:id="rId28" w:history="1">
        <w:r w:rsidRPr="00846769">
          <w:rPr>
            <w:rStyle w:val="Hyperlink"/>
          </w:rPr>
          <w:t>Biosecurity Incident Management System</w:t>
        </w:r>
        <w:r w:rsidR="00367F8D" w:rsidRPr="00846769">
          <w:rPr>
            <w:rStyle w:val="Hyperlink"/>
          </w:rPr>
          <w:t xml:space="preserve"> (BIMS)</w:t>
        </w:r>
        <w:r w:rsidRPr="00846769">
          <w:rPr>
            <w:rStyle w:val="Hyperlink"/>
          </w:rPr>
          <w:t>: Marine pest version</w:t>
        </w:r>
      </w:hyperlink>
      <w:r w:rsidRPr="00846769">
        <w:t xml:space="preserve"> provides a uniform approach for managing responses to marine pest biosecurity incidents. It aligns with the response management approach applied to all biosecurity sectors. </w:t>
      </w:r>
      <w:bookmarkEnd w:id="26"/>
      <w:r w:rsidRPr="00846769">
        <w:t>The manual provides guidance in contemporary practices for the management of marine pest biosecurity incident response</w:t>
      </w:r>
      <w:r w:rsidR="00F40D92">
        <w:t>s</w:t>
      </w:r>
      <w:r w:rsidRPr="00846769">
        <w:t xml:space="preserve"> and initial recovery operations in Australia. </w:t>
      </w:r>
    </w:p>
    <w:p w14:paraId="419A8535" w14:textId="2A7EAA47" w:rsidR="00B14A70" w:rsidRPr="00846769" w:rsidRDefault="00B14A70" w:rsidP="00B14A70">
      <w:r w:rsidRPr="00846769">
        <w:t xml:space="preserve">The </w:t>
      </w:r>
      <w:hyperlink r:id="rId29">
        <w:r w:rsidRPr="00846769">
          <w:rPr>
            <w:rStyle w:val="Hyperlink"/>
          </w:rPr>
          <w:t>National Introduced Marine Pest Information System (NIMPIS)</w:t>
        </w:r>
      </w:hyperlink>
      <w:r w:rsidRPr="00846769">
        <w:t xml:space="preserve"> is the central repository of information on the biology, ecology</w:t>
      </w:r>
      <w:r w:rsidR="00367F8D" w:rsidRPr="00846769">
        <w:t>,</w:t>
      </w:r>
      <w:r w:rsidRPr="00846769">
        <w:t xml:space="preserve"> and the distribution of over 150 marine pest species either introduced, established</w:t>
      </w:r>
      <w:r w:rsidR="00367F8D" w:rsidRPr="00846769">
        <w:t>,</w:t>
      </w:r>
      <w:r w:rsidRPr="00846769">
        <w:t xml:space="preserve"> or that pose a risk of future introduction to Australia. NIMPIS is a </w:t>
      </w:r>
      <w:r w:rsidR="00F8733B" w:rsidRPr="00846769">
        <w:t xml:space="preserve">key </w:t>
      </w:r>
      <w:r w:rsidRPr="00846769">
        <w:t xml:space="preserve">source of information </w:t>
      </w:r>
      <w:r w:rsidR="00367F8D" w:rsidRPr="00846769">
        <w:t>on invasive marine</w:t>
      </w:r>
      <w:r w:rsidRPr="00846769">
        <w:t xml:space="preserve"> bivalves of relevance to Australia. NIMPIS can be used in conjunction with this response manual to provide information on biological and management information relating to invasive marine bivalves in Australia.</w:t>
      </w:r>
    </w:p>
    <w:p w14:paraId="357CF346" w14:textId="77777777" w:rsidR="006939E1" w:rsidRPr="00846769" w:rsidRDefault="00B5740F" w:rsidP="00BF317B">
      <w:pPr>
        <w:pStyle w:val="Heading3"/>
        <w:ind w:left="851" w:hanging="851"/>
      </w:pPr>
      <w:bookmarkStart w:id="27" w:name="_Toc87599083"/>
      <w:bookmarkStart w:id="28" w:name="_Toc191998643"/>
      <w:r w:rsidRPr="00846769">
        <w:t>Manual format</w:t>
      </w:r>
      <w:bookmarkEnd w:id="27"/>
      <w:bookmarkEnd w:id="28"/>
    </w:p>
    <w:p w14:paraId="3552A4BA" w14:textId="75763D76" w:rsidR="001D04C2" w:rsidRPr="00846769" w:rsidRDefault="00B5740F" w:rsidP="00BF317B">
      <w:r w:rsidRPr="00846769">
        <w:t xml:space="preserve">This response manual </w:t>
      </w:r>
      <w:r w:rsidR="001D04C2" w:rsidRPr="00846769">
        <w:t xml:space="preserve">describes practical management for an emergency response to an incident caused by the suspicion or confirmation of an incursion by an invasive marine bivalve. </w:t>
      </w:r>
      <w:bookmarkStart w:id="29" w:name="_Hlk185239975"/>
      <w:r w:rsidR="001D04C2" w:rsidRPr="00846769">
        <w:t>The manual</w:t>
      </w:r>
      <w:r w:rsidRPr="00846769">
        <w:t xml:space="preserve"> is intended to </w:t>
      </w:r>
      <w:r w:rsidR="008C03CA" w:rsidRPr="00846769">
        <w:t xml:space="preserve">be used in conjunction with appropriate existing </w:t>
      </w:r>
      <w:r w:rsidRPr="00846769">
        <w:t xml:space="preserve"> </w:t>
      </w:r>
      <w:hyperlink r:id="rId30" w:history="1">
        <w:r w:rsidRPr="00846769">
          <w:rPr>
            <w:rStyle w:val="Hyperlink"/>
          </w:rPr>
          <w:t>Australian Veterinary Emergency Plan (AQUAVETPLAN) manuals</w:t>
        </w:r>
      </w:hyperlink>
      <w:r w:rsidRPr="00846769">
        <w:t>, which detail the disposal, destruction</w:t>
      </w:r>
      <w:r w:rsidR="00C1620C" w:rsidRPr="00846769">
        <w:t>,</w:t>
      </w:r>
      <w:r w:rsidRPr="00846769">
        <w:t xml:space="preserve"> and decontamination for disease control if </w:t>
      </w:r>
      <w:r w:rsidR="00743A2E" w:rsidRPr="00846769">
        <w:t xml:space="preserve">a </w:t>
      </w:r>
      <w:r w:rsidRPr="00846769">
        <w:t>disease is introduced with a</w:t>
      </w:r>
      <w:r w:rsidR="001D04C2" w:rsidRPr="00846769">
        <w:t>n invasive</w:t>
      </w:r>
      <w:r w:rsidRPr="00846769">
        <w:t xml:space="preserve"> marine bivalve.</w:t>
      </w:r>
      <w:r w:rsidR="00CE7A38" w:rsidRPr="00846769">
        <w:t xml:space="preserve"> </w:t>
      </w:r>
      <w:bookmarkStart w:id="30" w:name="_Hlk170662671"/>
      <w:bookmarkEnd w:id="29"/>
      <w:r w:rsidR="00CE7A38" w:rsidRPr="00846769">
        <w:t>The manuals are best used in digital format (</w:t>
      </w:r>
      <w:r w:rsidR="0004422F">
        <w:t>e.g.</w:t>
      </w:r>
      <w:r w:rsidR="004844E5">
        <w:t xml:space="preserve"> </w:t>
      </w:r>
      <w:r w:rsidR="00CE7A38" w:rsidRPr="00846769">
        <w:t xml:space="preserve">PDF) for ease of navigation between headings, subheadings, and hyperlinks throughout the manual. Users are encouraged to navigate to the relevant sections during an emergency response. </w:t>
      </w:r>
      <w:bookmarkEnd w:id="30"/>
    </w:p>
    <w:p w14:paraId="03B3D122" w14:textId="0BFDD5C9" w:rsidR="00674001" w:rsidRPr="00846769" w:rsidRDefault="00674001" w:rsidP="00BF317B">
      <w:bookmarkStart w:id="31" w:name="_Hlk170462943"/>
      <w:r w:rsidRPr="00846769">
        <w:t xml:space="preserve">The introduction covers the manual’s purpose, format, and scope. It also covers general bivalve biology, including bivalve diseases, and provides a brief overview on the management of invasive marine bivalves. </w:t>
      </w:r>
    </w:p>
    <w:bookmarkEnd w:id="31"/>
    <w:p w14:paraId="2F949D77" w14:textId="3D46B600" w:rsidR="00C1620C" w:rsidRPr="00846769" w:rsidRDefault="00C1620C" w:rsidP="00E84C0C">
      <w:r w:rsidRPr="00846769">
        <w:t>Outside of the introduction, t</w:t>
      </w:r>
      <w:r w:rsidR="00B5740F" w:rsidRPr="00846769">
        <w:t xml:space="preserve">here are </w:t>
      </w:r>
      <w:r w:rsidR="00E84C0C">
        <w:t>six</w:t>
      </w:r>
      <w:r w:rsidR="00F8733B" w:rsidRPr="00846769">
        <w:t xml:space="preserve"> </w:t>
      </w:r>
      <w:r w:rsidR="00B5740F" w:rsidRPr="00846769">
        <w:t xml:space="preserve">main </w:t>
      </w:r>
      <w:r w:rsidR="00743A2E" w:rsidRPr="00846769">
        <w:t>sections</w:t>
      </w:r>
      <w:r w:rsidR="00B5740F" w:rsidRPr="00846769">
        <w:t xml:space="preserve"> within this manua</w:t>
      </w:r>
      <w:r w:rsidR="001D04C2" w:rsidRPr="00846769">
        <w:t>l</w:t>
      </w:r>
      <w:r w:rsidR="00E84C0C">
        <w:t xml:space="preserve"> and six appendices</w:t>
      </w:r>
      <w:bookmarkStart w:id="32" w:name="_Hlk170466893"/>
      <w:r w:rsidR="00674001" w:rsidRPr="00846769">
        <w:t xml:space="preserve"> (Appendices A-</w:t>
      </w:r>
      <w:r w:rsidRPr="00846769">
        <w:t>F</w:t>
      </w:r>
      <w:r w:rsidR="00674001" w:rsidRPr="00846769">
        <w:t xml:space="preserve">). </w:t>
      </w:r>
      <w:hyperlink w:anchor="_Appendix_A:_Species" w:history="1">
        <w:r w:rsidR="005C40CE" w:rsidRPr="00846769">
          <w:rPr>
            <w:rStyle w:val="Hyperlink"/>
          </w:rPr>
          <w:t>Appendix A</w:t>
        </w:r>
      </w:hyperlink>
      <w:r w:rsidR="005C40CE" w:rsidRPr="00846769">
        <w:t xml:space="preserve"> contains </w:t>
      </w:r>
      <w:r w:rsidR="00BA5DA3" w:rsidRPr="00846769">
        <w:t>taxon</w:t>
      </w:r>
      <w:r w:rsidR="005C40CE" w:rsidRPr="00846769">
        <w:t xml:space="preserve">-specific information on </w:t>
      </w:r>
      <w:r w:rsidR="00367F8D" w:rsidRPr="00846769">
        <w:t>some</w:t>
      </w:r>
      <w:r w:rsidR="005C40CE" w:rsidRPr="00846769">
        <w:t xml:space="preserve"> invasive marine bivalves to Australia representing infa</w:t>
      </w:r>
      <w:r w:rsidR="00674001" w:rsidRPr="00846769">
        <w:t>una</w:t>
      </w:r>
      <w:r w:rsidR="005C40CE" w:rsidRPr="00846769">
        <w:t xml:space="preserve">l and epifaunal life habits. </w:t>
      </w:r>
      <w:r w:rsidR="004E5BB7" w:rsidRPr="00846769">
        <w:t xml:space="preserve">The species in Appendix A are </w:t>
      </w:r>
      <w:r w:rsidR="005428CA">
        <w:t>grouped</w:t>
      </w:r>
      <w:r w:rsidR="005428CA" w:rsidRPr="00846769">
        <w:t xml:space="preserve"> </w:t>
      </w:r>
      <w:r w:rsidR="004E5BB7" w:rsidRPr="00846769">
        <w:t xml:space="preserve">by family and are listed in alphabetical order for ease of use. </w:t>
      </w:r>
      <w:r w:rsidR="005C40CE" w:rsidRPr="00846769">
        <w:t>This appendix does not co</w:t>
      </w:r>
      <w:r w:rsidRPr="00846769">
        <w:t>ver</w:t>
      </w:r>
      <w:r w:rsidR="005C40CE" w:rsidRPr="00846769">
        <w:t xml:space="preserve"> every </w:t>
      </w:r>
      <w:r w:rsidR="00646616" w:rsidRPr="00846769">
        <w:t xml:space="preserve">invasive </w:t>
      </w:r>
      <w:r w:rsidR="005C40CE" w:rsidRPr="00846769">
        <w:t xml:space="preserve">marine bivalve </w:t>
      </w:r>
      <w:r w:rsidRPr="00846769">
        <w:t>to</w:t>
      </w:r>
      <w:r w:rsidR="00646616" w:rsidRPr="00846769">
        <w:t xml:space="preserve"> </w:t>
      </w:r>
      <w:r w:rsidR="005C40CE" w:rsidRPr="00846769">
        <w:t xml:space="preserve">Australia, either established or exotic. </w:t>
      </w:r>
      <w:r w:rsidRPr="00846769">
        <w:t xml:space="preserve">The inclusion and exclusion of bivalve taxa covered in this appendix and throughout the manual is explained further under </w:t>
      </w:r>
      <w:hyperlink w:anchor="_Manual_scope" w:history="1">
        <w:r w:rsidRPr="00846769">
          <w:rPr>
            <w:rStyle w:val="Hyperlink"/>
          </w:rPr>
          <w:t>manual scope</w:t>
        </w:r>
      </w:hyperlink>
      <w:r w:rsidRPr="00846769">
        <w:t xml:space="preserve">. Additional taxonomic information can be located on </w:t>
      </w:r>
      <w:hyperlink r:id="rId31" w:history="1">
        <w:r w:rsidRPr="00846769">
          <w:rPr>
            <w:rStyle w:val="Hyperlink"/>
          </w:rPr>
          <w:t>NIMPIS</w:t>
        </w:r>
      </w:hyperlink>
      <w:r w:rsidRPr="00846769">
        <w:t xml:space="preserve">. </w:t>
      </w:r>
    </w:p>
    <w:p w14:paraId="4DF4CCDF" w14:textId="77777777" w:rsidR="00682FD1" w:rsidRDefault="005C40CE" w:rsidP="00BF317B">
      <w:bookmarkStart w:id="33" w:name="_Hlk170467188"/>
      <w:bookmarkEnd w:id="32"/>
      <w:r w:rsidRPr="00846769">
        <w:t>The remaining appendices contain information on</w:t>
      </w:r>
      <w:r w:rsidR="00682FD1">
        <w:t>:</w:t>
      </w:r>
    </w:p>
    <w:p w14:paraId="746C5479" w14:textId="73554034" w:rsidR="00682FD1" w:rsidRDefault="00682FD1" w:rsidP="003866F7">
      <w:pPr>
        <w:pStyle w:val="ListBullet"/>
      </w:pPr>
      <w:r>
        <w:t>P</w:t>
      </w:r>
      <w:r w:rsidR="006E2BD2" w:rsidRPr="00846769">
        <w:t>olicy principles for determining the status of marine pests</w:t>
      </w:r>
    </w:p>
    <w:p w14:paraId="48F9B58C" w14:textId="3A8026BF" w:rsidR="00682FD1" w:rsidRDefault="00682FD1" w:rsidP="003866F7">
      <w:pPr>
        <w:pStyle w:val="ListBullet"/>
      </w:pPr>
      <w:r>
        <w:t>T</w:t>
      </w:r>
      <w:r w:rsidR="005C40CE" w:rsidRPr="00846769">
        <w:t>he</w:t>
      </w:r>
      <w:r w:rsidR="00D4784F" w:rsidRPr="00846769">
        <w:t xml:space="preserve"> Australian Government</w:t>
      </w:r>
      <w:r w:rsidR="005C40CE" w:rsidRPr="00846769">
        <w:t xml:space="preserve"> </w:t>
      </w:r>
      <w:r w:rsidR="005C40CE" w:rsidRPr="00682FD1">
        <w:rPr>
          <w:i/>
          <w:iCs/>
        </w:rPr>
        <w:t>Biosecurity Act 2015</w:t>
      </w:r>
      <w:r w:rsidR="00D4784F" w:rsidRPr="00682FD1">
        <w:rPr>
          <w:i/>
          <w:iCs/>
        </w:rPr>
        <w:t xml:space="preserve"> </w:t>
      </w:r>
      <w:r w:rsidR="00D4784F" w:rsidRPr="00846769">
        <w:t xml:space="preserve">(hereafter the </w:t>
      </w:r>
      <w:r w:rsidR="00D4784F" w:rsidRPr="00682FD1">
        <w:rPr>
          <w:i/>
          <w:iCs/>
        </w:rPr>
        <w:t>Biosecurity Act 2015</w:t>
      </w:r>
      <w:r w:rsidR="00D4784F" w:rsidRPr="00846769">
        <w:t>)</w:t>
      </w:r>
    </w:p>
    <w:p w14:paraId="266F54D0" w14:textId="615B3EAF" w:rsidR="00682FD1" w:rsidRDefault="00682FD1" w:rsidP="003866F7">
      <w:pPr>
        <w:pStyle w:val="ListBullet"/>
      </w:pPr>
      <w:r>
        <w:t xml:space="preserve">Commonwealth, </w:t>
      </w:r>
      <w:r w:rsidR="005C40CE" w:rsidRPr="00846769">
        <w:t>state</w:t>
      </w:r>
      <w:r w:rsidR="002620B0">
        <w:t>,</w:t>
      </w:r>
      <w:r w:rsidR="005C40CE" w:rsidRPr="00846769">
        <w:t xml:space="preserve"> and territory legislative powers</w:t>
      </w:r>
    </w:p>
    <w:p w14:paraId="7C8D0EA3" w14:textId="04809C7D" w:rsidR="00682FD1" w:rsidRDefault="00682FD1" w:rsidP="003866F7">
      <w:pPr>
        <w:pStyle w:val="ListBullet"/>
      </w:pPr>
      <w:r>
        <w:t>Example</w:t>
      </w:r>
      <w:r w:rsidR="005C40CE" w:rsidRPr="00846769">
        <w:t xml:space="preserve"> methods for detecting invasive marine bivalves</w:t>
      </w:r>
      <w:r w:rsidR="00C1620C" w:rsidRPr="00846769">
        <w:t xml:space="preserve"> </w:t>
      </w:r>
      <w:r w:rsidR="006E2BD2" w:rsidRPr="00846769">
        <w:t>using</w:t>
      </w:r>
      <w:r w:rsidR="00C1620C" w:rsidRPr="00846769">
        <w:t xml:space="preserve"> settlement arrays and plankton tows</w:t>
      </w:r>
      <w:r w:rsidR="005C40CE" w:rsidRPr="00846769">
        <w:t>.</w:t>
      </w:r>
      <w:r w:rsidR="00FB0D38" w:rsidRPr="00846769">
        <w:t xml:space="preserve"> </w:t>
      </w:r>
    </w:p>
    <w:p w14:paraId="4C66E778" w14:textId="581D7136" w:rsidR="005C40CE" w:rsidRPr="00846769" w:rsidRDefault="00FB0D38" w:rsidP="00682FD1">
      <w:r w:rsidRPr="00846769">
        <w:lastRenderedPageBreak/>
        <w:t>Common word</w:t>
      </w:r>
      <w:r w:rsidR="005C40CE" w:rsidRPr="00846769">
        <w:t xml:space="preserve"> definitions are </w:t>
      </w:r>
      <w:r w:rsidR="00BA5DA3" w:rsidRPr="00846769">
        <w:t>listed</w:t>
      </w:r>
      <w:r w:rsidR="005C40CE" w:rsidRPr="00846769">
        <w:t xml:space="preserve"> in the glossary at the end of this manual. </w:t>
      </w:r>
    </w:p>
    <w:p w14:paraId="59D406B1" w14:textId="77777777" w:rsidR="006939E1" w:rsidRPr="00846769" w:rsidRDefault="00B5740F" w:rsidP="00BF317B">
      <w:pPr>
        <w:pStyle w:val="Heading3"/>
        <w:ind w:left="851" w:hanging="851"/>
      </w:pPr>
      <w:bookmarkStart w:id="34" w:name="_Manual_scope"/>
      <w:bookmarkStart w:id="35" w:name="_Toc87599084"/>
      <w:bookmarkStart w:id="36" w:name="_Toc191998644"/>
      <w:bookmarkEnd w:id="33"/>
      <w:bookmarkEnd w:id="34"/>
      <w:r w:rsidRPr="00846769">
        <w:t>Manual scope</w:t>
      </w:r>
      <w:bookmarkEnd w:id="35"/>
      <w:bookmarkEnd w:id="36"/>
    </w:p>
    <w:p w14:paraId="21B7C915" w14:textId="6DE0AD8C" w:rsidR="006939E1" w:rsidRPr="00846769" w:rsidRDefault="00B5740F" w:rsidP="00BF317B">
      <w:r w:rsidRPr="00846769">
        <w:t>The</w:t>
      </w:r>
      <w:r w:rsidR="008D0A9C" w:rsidRPr="00846769">
        <w:t xml:space="preserve"> scope of this</w:t>
      </w:r>
      <w:r w:rsidRPr="00846769">
        <w:t xml:space="preserve"> response manual is</w:t>
      </w:r>
      <w:r w:rsidR="008D0A9C" w:rsidRPr="00846769">
        <w:t xml:space="preserve"> </w:t>
      </w:r>
      <w:r w:rsidR="00746C4B" w:rsidRPr="00846769">
        <w:t xml:space="preserve">to provide </w:t>
      </w:r>
      <w:r w:rsidR="00841EE1" w:rsidRPr="00846769">
        <w:t xml:space="preserve">key </w:t>
      </w:r>
      <w:r w:rsidR="00746C4B" w:rsidRPr="00846769">
        <w:t>information on</w:t>
      </w:r>
      <w:r w:rsidRPr="00846769">
        <w:t xml:space="preserve"> invasive marine bivalves and how to respond to an incursion of any </w:t>
      </w:r>
      <w:r w:rsidR="00746C4B" w:rsidRPr="00846769">
        <w:t xml:space="preserve">invasive </w:t>
      </w:r>
      <w:r w:rsidRPr="00846769">
        <w:t>marine bivalve</w:t>
      </w:r>
      <w:r w:rsidR="00A51572" w:rsidRPr="00846769">
        <w:t>, including species which may not be listed in this manual</w:t>
      </w:r>
      <w:r w:rsidRPr="00846769">
        <w:t xml:space="preserve">. </w:t>
      </w:r>
      <w:r w:rsidR="00E350EB" w:rsidRPr="00846769">
        <w:t>W</w:t>
      </w:r>
      <w:r w:rsidRPr="00846769">
        <w:t xml:space="preserve">e </w:t>
      </w:r>
      <w:r w:rsidR="00746C4B" w:rsidRPr="00846769">
        <w:t xml:space="preserve">have identified </w:t>
      </w:r>
      <w:r w:rsidRPr="00846769">
        <w:t>invasive marine bivalves</w:t>
      </w:r>
      <w:r w:rsidR="00746C4B" w:rsidRPr="00846769">
        <w:t xml:space="preserve"> that are most likely to be considered in an emergency response</w:t>
      </w:r>
      <w:r w:rsidR="002A564E" w:rsidRPr="00846769">
        <w:t xml:space="preserve"> or ongoing management</w:t>
      </w:r>
      <w:r w:rsidR="008D00FA" w:rsidRPr="00846769">
        <w:t xml:space="preserve"> in Australia</w:t>
      </w:r>
      <w:r w:rsidRPr="00846769">
        <w:t xml:space="preserve"> </w:t>
      </w:r>
      <w:r w:rsidR="008D0A9C" w:rsidRPr="00846769">
        <w:t>a</w:t>
      </w:r>
      <w:r w:rsidR="00746C4B" w:rsidRPr="00846769">
        <w:t>nd have used these species as</w:t>
      </w:r>
      <w:r w:rsidR="008D0A9C" w:rsidRPr="00846769">
        <w:t xml:space="preserve"> examples </w:t>
      </w:r>
      <w:r w:rsidRPr="00846769">
        <w:t>to demonstrate how to respond to marine bivalves</w:t>
      </w:r>
      <w:r w:rsidR="008D0A9C" w:rsidRPr="00846769">
        <w:t xml:space="preserve"> </w:t>
      </w:r>
      <w:r w:rsidR="00DF5A56" w:rsidRPr="00846769">
        <w:t>from different functional groups</w:t>
      </w:r>
      <w:r w:rsidR="00746C4B" w:rsidRPr="00846769">
        <w:t xml:space="preserve">. For </w:t>
      </w:r>
      <w:r w:rsidRPr="00846769">
        <w:t>example, fouling mussels</w:t>
      </w:r>
      <w:r w:rsidR="00013145" w:rsidRPr="00846769">
        <w:t xml:space="preserve"> and</w:t>
      </w:r>
      <w:r w:rsidRPr="00846769">
        <w:t xml:space="preserve"> oysters</w:t>
      </w:r>
      <w:r w:rsidR="00746C4B" w:rsidRPr="00846769">
        <w:t xml:space="preserve"> on hard substrates</w:t>
      </w:r>
      <w:r w:rsidR="00674001" w:rsidRPr="00846769">
        <w:t xml:space="preserve"> (epifaunal)</w:t>
      </w:r>
      <w:r w:rsidR="00746C4B" w:rsidRPr="00846769">
        <w:t>,</w:t>
      </w:r>
      <w:r w:rsidRPr="00846769">
        <w:t xml:space="preserve"> or </w:t>
      </w:r>
      <w:r w:rsidR="00F66A86" w:rsidRPr="00846769">
        <w:t>clams in soft sediment habitats</w:t>
      </w:r>
      <w:r w:rsidR="00674001" w:rsidRPr="00846769">
        <w:t xml:space="preserve"> (infaunal)</w:t>
      </w:r>
      <w:r w:rsidRPr="00846769">
        <w:t xml:space="preserve">. The </w:t>
      </w:r>
      <w:r w:rsidR="002A564E" w:rsidRPr="00846769">
        <w:t>key</w:t>
      </w:r>
      <w:r w:rsidRPr="00846769">
        <w:t xml:space="preserve"> </w:t>
      </w:r>
      <w:r w:rsidR="00A51572" w:rsidRPr="00846769">
        <w:t xml:space="preserve">bivalve </w:t>
      </w:r>
      <w:r w:rsidR="003621D6" w:rsidRPr="00846769">
        <w:t>taxa</w:t>
      </w:r>
      <w:r w:rsidRPr="00846769">
        <w:t xml:space="preserve"> </w:t>
      </w:r>
      <w:r w:rsidR="00CE7A38" w:rsidRPr="00846769">
        <w:t>that are</w:t>
      </w:r>
      <w:r w:rsidR="00A51572" w:rsidRPr="00846769">
        <w:t xml:space="preserve"> </w:t>
      </w:r>
      <w:r w:rsidR="00674001" w:rsidRPr="00846769">
        <w:t xml:space="preserve">used </w:t>
      </w:r>
      <w:r w:rsidR="00A51572" w:rsidRPr="00846769">
        <w:t xml:space="preserve">as key examples in </w:t>
      </w:r>
      <w:r w:rsidRPr="00846769">
        <w:t xml:space="preserve">this manual </w:t>
      </w:r>
      <w:r w:rsidR="00746C4B" w:rsidRPr="00846769">
        <w:t xml:space="preserve">include (but are not </w:t>
      </w:r>
      <w:r w:rsidR="00C1542C" w:rsidRPr="00846769">
        <w:t>limited</w:t>
      </w:r>
      <w:r w:rsidR="00746C4B" w:rsidRPr="00846769">
        <w:t xml:space="preserve"> to)</w:t>
      </w:r>
      <w:r w:rsidRPr="00846769">
        <w:t>:</w:t>
      </w:r>
    </w:p>
    <w:p w14:paraId="5CF4497E" w14:textId="77777777" w:rsidR="003621D6" w:rsidRPr="00846769" w:rsidRDefault="003621D6" w:rsidP="003621D6">
      <w:pPr>
        <w:pStyle w:val="ListBullet"/>
      </w:pPr>
      <w:bookmarkStart w:id="37" w:name="_Hlk78818174"/>
      <w:r w:rsidRPr="00846769">
        <w:rPr>
          <w:rStyle w:val="Emphasis"/>
          <w:b/>
          <w:bCs/>
          <w:i w:val="0"/>
          <w:iCs w:val="0"/>
        </w:rPr>
        <w:t>Corbulidae:</w:t>
      </w:r>
      <w:r w:rsidRPr="00846769">
        <w:rPr>
          <w:rStyle w:val="Emphasis"/>
          <w:i w:val="0"/>
          <w:iCs w:val="0"/>
        </w:rPr>
        <w:t xml:space="preserve"> Asian basket clam (</w:t>
      </w:r>
      <w:r w:rsidRPr="00846769">
        <w:rPr>
          <w:rStyle w:val="Emphasis"/>
        </w:rPr>
        <w:t>Potamocorbula amurensis</w:t>
      </w:r>
      <w:r w:rsidRPr="00846769">
        <w:rPr>
          <w:rStyle w:val="Emphasis"/>
          <w:i w:val="0"/>
          <w:iCs w:val="0"/>
        </w:rPr>
        <w:t xml:space="preserve">) and </w:t>
      </w:r>
      <w:r w:rsidRPr="00846769">
        <w:t>European basket shell (</w:t>
      </w:r>
      <w:r w:rsidRPr="00846769">
        <w:rPr>
          <w:i/>
          <w:iCs/>
        </w:rPr>
        <w:t>Varicorbula gibba</w:t>
      </w:r>
      <w:r w:rsidRPr="00846769">
        <w:t>)</w:t>
      </w:r>
    </w:p>
    <w:p w14:paraId="5626EAC8" w14:textId="77777777" w:rsidR="003621D6" w:rsidRPr="00846769" w:rsidRDefault="003621D6" w:rsidP="003621D6">
      <w:pPr>
        <w:pStyle w:val="ListBullet"/>
      </w:pPr>
      <w:proofErr w:type="spellStart"/>
      <w:r w:rsidRPr="00846769">
        <w:rPr>
          <w:rStyle w:val="Emphasis"/>
          <w:b/>
          <w:bCs/>
          <w:i w:val="0"/>
          <w:iCs w:val="0"/>
        </w:rPr>
        <w:t>Dreissenidae</w:t>
      </w:r>
      <w:proofErr w:type="spellEnd"/>
      <w:r w:rsidRPr="00846769">
        <w:rPr>
          <w:rStyle w:val="Emphasis"/>
          <w:b/>
          <w:bCs/>
          <w:i w:val="0"/>
          <w:iCs w:val="0"/>
        </w:rPr>
        <w:t xml:space="preserve">: </w:t>
      </w:r>
      <w:r w:rsidRPr="00846769">
        <w:rPr>
          <w:rStyle w:val="Emphasis"/>
          <w:i w:val="0"/>
          <w:iCs w:val="0"/>
        </w:rPr>
        <w:t>Black-striped false mussel (</w:t>
      </w:r>
      <w:r w:rsidRPr="00846769">
        <w:rPr>
          <w:rStyle w:val="Emphasis"/>
        </w:rPr>
        <w:t>Mytilopsis sallei</w:t>
      </w:r>
      <w:r w:rsidRPr="00846769">
        <w:rPr>
          <w:rStyle w:val="Emphasis"/>
          <w:i w:val="0"/>
          <w:iCs w:val="0"/>
        </w:rPr>
        <w:t>)</w:t>
      </w:r>
    </w:p>
    <w:p w14:paraId="0976D97E" w14:textId="77777777" w:rsidR="003621D6" w:rsidRPr="00846769" w:rsidRDefault="003621D6" w:rsidP="003621D6">
      <w:pPr>
        <w:pStyle w:val="ListBullet"/>
        <w:rPr>
          <w:rStyle w:val="Emphasis"/>
          <w:i w:val="0"/>
          <w:iCs w:val="0"/>
        </w:rPr>
      </w:pPr>
      <w:proofErr w:type="spellStart"/>
      <w:r w:rsidRPr="00846769">
        <w:rPr>
          <w:rStyle w:val="Emphasis"/>
          <w:b/>
          <w:bCs/>
          <w:i w:val="0"/>
          <w:iCs w:val="0"/>
        </w:rPr>
        <w:t>Myidae</w:t>
      </w:r>
      <w:proofErr w:type="spellEnd"/>
      <w:r w:rsidRPr="00846769">
        <w:rPr>
          <w:rStyle w:val="Emphasis"/>
          <w:b/>
          <w:bCs/>
          <w:i w:val="0"/>
          <w:iCs w:val="0"/>
        </w:rPr>
        <w:t xml:space="preserve">: </w:t>
      </w:r>
      <w:r w:rsidRPr="00846769">
        <w:rPr>
          <w:rStyle w:val="Emphasis"/>
          <w:i w:val="0"/>
          <w:iCs w:val="0"/>
        </w:rPr>
        <w:t>Soft-shell clams (</w:t>
      </w:r>
      <w:r w:rsidRPr="00846769">
        <w:rPr>
          <w:rStyle w:val="Emphasis"/>
        </w:rPr>
        <w:t>Mya arenaria and Mya japonica</w:t>
      </w:r>
      <w:r w:rsidRPr="00846769">
        <w:rPr>
          <w:rStyle w:val="Emphasis"/>
          <w:i w:val="0"/>
          <w:iCs w:val="0"/>
        </w:rPr>
        <w:t>)</w:t>
      </w:r>
    </w:p>
    <w:p w14:paraId="1D06918A" w14:textId="77777777" w:rsidR="003621D6" w:rsidRPr="00846769" w:rsidRDefault="003621D6" w:rsidP="003621D6">
      <w:pPr>
        <w:pStyle w:val="ListBullet"/>
      </w:pPr>
      <w:r w:rsidRPr="00846769">
        <w:rPr>
          <w:rStyle w:val="Emphasis"/>
          <w:b/>
          <w:bCs/>
          <w:i w:val="0"/>
          <w:iCs w:val="0"/>
        </w:rPr>
        <w:t xml:space="preserve">Mytilidae: </w:t>
      </w:r>
      <w:r w:rsidRPr="00846769">
        <w:rPr>
          <w:rStyle w:val="Emphasis"/>
          <w:i w:val="0"/>
          <w:iCs w:val="0"/>
        </w:rPr>
        <w:t>Asian date/bag mussel (</w:t>
      </w:r>
      <w:r w:rsidRPr="00846769">
        <w:rPr>
          <w:rStyle w:val="Emphasis"/>
        </w:rPr>
        <w:t>Arcuatula senhousia</w:t>
      </w:r>
      <w:r w:rsidRPr="00846769">
        <w:rPr>
          <w:rStyle w:val="Emphasis"/>
          <w:i w:val="0"/>
          <w:iCs w:val="0"/>
        </w:rPr>
        <w:t>), Charru mussel (</w:t>
      </w:r>
      <w:r w:rsidRPr="00846769">
        <w:rPr>
          <w:rStyle w:val="Emphasis"/>
        </w:rPr>
        <w:t>Mytella strigata</w:t>
      </w:r>
      <w:r w:rsidRPr="00846769">
        <w:rPr>
          <w:rStyle w:val="Emphasis"/>
          <w:i w:val="0"/>
          <w:iCs w:val="0"/>
        </w:rPr>
        <w:t>), New Zealand green-lipped mussel (</w:t>
      </w:r>
      <w:r w:rsidRPr="00846769">
        <w:rPr>
          <w:rStyle w:val="Emphasis"/>
        </w:rPr>
        <w:t>Perna canaliculus</w:t>
      </w:r>
      <w:r w:rsidRPr="00846769">
        <w:rPr>
          <w:rStyle w:val="Emphasis"/>
          <w:i w:val="0"/>
          <w:iCs w:val="0"/>
        </w:rPr>
        <w:t>),</w:t>
      </w:r>
      <w:r w:rsidRPr="00846769">
        <w:rPr>
          <w:rStyle w:val="Emphasis"/>
        </w:rPr>
        <w:t xml:space="preserve"> </w:t>
      </w:r>
      <w:r w:rsidRPr="00846769">
        <w:rPr>
          <w:rStyle w:val="Emphasis"/>
          <w:i w:val="0"/>
          <w:iCs w:val="0"/>
        </w:rPr>
        <w:t>brown mussel</w:t>
      </w:r>
      <w:r w:rsidRPr="00846769">
        <w:rPr>
          <w:rStyle w:val="Emphasis"/>
        </w:rPr>
        <w:t xml:space="preserve"> </w:t>
      </w:r>
      <w:r w:rsidRPr="00846769">
        <w:rPr>
          <w:rStyle w:val="Emphasis"/>
          <w:i w:val="0"/>
          <w:iCs w:val="0"/>
        </w:rPr>
        <w:t>(</w:t>
      </w:r>
      <w:r w:rsidRPr="00846769">
        <w:rPr>
          <w:rStyle w:val="Emphasis"/>
        </w:rPr>
        <w:t>Perna perna</w:t>
      </w:r>
      <w:r w:rsidRPr="00846769">
        <w:rPr>
          <w:rStyle w:val="Emphasis"/>
          <w:i w:val="0"/>
          <w:iCs w:val="0"/>
        </w:rPr>
        <w:t>)</w:t>
      </w:r>
      <w:r w:rsidRPr="00846769">
        <w:rPr>
          <w:rStyle w:val="Emphasis"/>
        </w:rPr>
        <w:t xml:space="preserve"> </w:t>
      </w:r>
      <w:r w:rsidRPr="00846769">
        <w:rPr>
          <w:rStyle w:val="Emphasis"/>
          <w:i w:val="0"/>
          <w:iCs w:val="0"/>
        </w:rPr>
        <w:t>and Asian green mussel (</w:t>
      </w:r>
      <w:r w:rsidRPr="00846769">
        <w:rPr>
          <w:rStyle w:val="Emphasis"/>
        </w:rPr>
        <w:t>Perna viridis</w:t>
      </w:r>
      <w:r w:rsidRPr="00846769">
        <w:rPr>
          <w:rStyle w:val="Emphasis"/>
          <w:i w:val="0"/>
          <w:iCs w:val="0"/>
        </w:rPr>
        <w:t>)</w:t>
      </w:r>
    </w:p>
    <w:p w14:paraId="42DE06D1" w14:textId="552DB01F" w:rsidR="006F50EB" w:rsidRPr="00846769" w:rsidRDefault="003621D6" w:rsidP="003621D6">
      <w:pPr>
        <w:pStyle w:val="ListBullet"/>
        <w:rPr>
          <w:rStyle w:val="Emphasis"/>
          <w:i w:val="0"/>
          <w:iCs w:val="0"/>
        </w:rPr>
      </w:pPr>
      <w:proofErr w:type="spellStart"/>
      <w:r w:rsidRPr="00846769">
        <w:rPr>
          <w:b/>
          <w:bCs/>
        </w:rPr>
        <w:t>Ostreidae</w:t>
      </w:r>
      <w:proofErr w:type="spellEnd"/>
      <w:r w:rsidRPr="00846769">
        <w:rPr>
          <w:b/>
          <w:bCs/>
        </w:rPr>
        <w:t xml:space="preserve">: </w:t>
      </w:r>
      <w:r w:rsidRPr="00846769">
        <w:t>Suminoe oyster (</w:t>
      </w:r>
      <w:r w:rsidRPr="00846769">
        <w:rPr>
          <w:i/>
          <w:iCs/>
        </w:rPr>
        <w:t>Magallana ariakensis</w:t>
      </w:r>
      <w:r w:rsidRPr="00846769">
        <w:t>), black scar oyster (</w:t>
      </w:r>
      <w:r w:rsidRPr="00846769">
        <w:rPr>
          <w:i/>
          <w:iCs/>
        </w:rPr>
        <w:t>Magallana bilineata</w:t>
      </w:r>
      <w:r w:rsidRPr="00846769">
        <w:t>)</w:t>
      </w:r>
      <w:r w:rsidRPr="00846769">
        <w:rPr>
          <w:i/>
          <w:iCs/>
        </w:rPr>
        <w:t xml:space="preserve"> </w:t>
      </w:r>
      <w:r w:rsidRPr="00846769">
        <w:t>and Pacific oyster (</w:t>
      </w:r>
      <w:r w:rsidRPr="00846769">
        <w:rPr>
          <w:i/>
          <w:iCs/>
        </w:rPr>
        <w:t>Magallana gigas</w:t>
      </w:r>
      <w:r w:rsidRPr="00846769">
        <w:t>).</w:t>
      </w:r>
    </w:p>
    <w:p w14:paraId="700247A7" w14:textId="64ED001F" w:rsidR="00296F2A" w:rsidRPr="00846769" w:rsidRDefault="00365737" w:rsidP="00365737">
      <w:r w:rsidRPr="00846769">
        <w:t xml:space="preserve">Taxon-specific information on these species is detailed in </w:t>
      </w:r>
      <w:hyperlink w:anchor="_Appendix_A:_Species">
        <w:r w:rsidRPr="00846769">
          <w:rPr>
            <w:rStyle w:val="Hyperlink"/>
          </w:rPr>
          <w:t>Appendix A</w:t>
        </w:r>
      </w:hyperlink>
      <w:r w:rsidRPr="00846769">
        <w:t xml:space="preserve"> with further technical information available in NIMPIS. These </w:t>
      </w:r>
      <w:r w:rsidR="00DF5A56" w:rsidRPr="00846769">
        <w:t xml:space="preserve">invasive </w:t>
      </w:r>
      <w:r w:rsidRPr="00846769">
        <w:t xml:space="preserve">marine bivalves were selected based on their national listing on the </w:t>
      </w:r>
      <w:hyperlink r:id="rId32" w:history="1">
        <w:r w:rsidRPr="00846769">
          <w:rPr>
            <w:rStyle w:val="Hyperlink"/>
          </w:rPr>
          <w:t>Australian Priority Marine Pest List (APMPL)</w:t>
        </w:r>
      </w:hyperlink>
      <w:r w:rsidRPr="00846769">
        <w:t xml:space="preserve"> or the </w:t>
      </w:r>
      <w:hyperlink r:id="rId33" w:history="1">
        <w:r w:rsidRPr="00846769">
          <w:rPr>
            <w:rStyle w:val="Hyperlink"/>
          </w:rPr>
          <w:t>Exotic Environmental Pest List (EEPL)</w:t>
        </w:r>
      </w:hyperlink>
      <w:r w:rsidRPr="00846769">
        <w:t>,</w:t>
      </w:r>
      <w:r w:rsidR="00347877">
        <w:t xml:space="preserve"> being</w:t>
      </w:r>
      <w:r w:rsidRPr="00846769">
        <w:t xml:space="preserve"> list</w:t>
      </w:r>
      <w:r w:rsidR="00194A2B" w:rsidRPr="00846769">
        <w:t>ed</w:t>
      </w:r>
      <w:r w:rsidRPr="00846769">
        <w:t xml:space="preserve"> on </w:t>
      </w:r>
      <w:r w:rsidR="008D00FA" w:rsidRPr="00846769">
        <w:t>jurisdiction</w:t>
      </w:r>
      <w:r w:rsidRPr="00846769">
        <w:t xml:space="preserve"> state and territory lists (</w:t>
      </w:r>
      <w:r w:rsidR="0004422F">
        <w:t>i.e.</w:t>
      </w:r>
      <w:r w:rsidRPr="00846769">
        <w:t xml:space="preserve"> noxious species lists, surveillance lists),</w:t>
      </w:r>
      <w:r w:rsidR="00523D23" w:rsidRPr="00846769">
        <w:t xml:space="preserve"> listed on the CCIMPE trigger list</w:t>
      </w:r>
      <w:r w:rsidR="007F7842">
        <w:t xml:space="preserve"> (not publicly available)</w:t>
      </w:r>
      <w:r w:rsidR="00523D23" w:rsidRPr="00846769">
        <w:t>,</w:t>
      </w:r>
      <w:r w:rsidR="00296F2A" w:rsidRPr="00846769">
        <w:t xml:space="preserve"> </w:t>
      </w:r>
      <w:r w:rsidR="00FB0D38" w:rsidRPr="00846769">
        <w:t xml:space="preserve">having an existing </w:t>
      </w:r>
      <w:hyperlink r:id="rId34" w:anchor=":~:text=National%20control%20plans%20are%20nationally,contingency%20plans" w:history="1">
        <w:r w:rsidR="00FB0D38" w:rsidRPr="00846769">
          <w:rPr>
            <w:rStyle w:val="Hyperlink"/>
          </w:rPr>
          <w:t>National Control Plan</w:t>
        </w:r>
      </w:hyperlink>
      <w:r w:rsidR="00FB0D38" w:rsidRPr="00846769">
        <w:t xml:space="preserve">, </w:t>
      </w:r>
      <w:r w:rsidR="00194A2B" w:rsidRPr="00846769">
        <w:t>or due to having demonstrated</w:t>
      </w:r>
      <w:r w:rsidR="002A564E" w:rsidRPr="00846769">
        <w:t xml:space="preserve"> or potential</w:t>
      </w:r>
      <w:r w:rsidR="00194A2B" w:rsidRPr="00846769">
        <w:t xml:space="preserve"> impacts </w:t>
      </w:r>
      <w:r w:rsidRPr="00846769">
        <w:t xml:space="preserve">that </w:t>
      </w:r>
      <w:r w:rsidR="00194A2B" w:rsidRPr="00846769">
        <w:t>may</w:t>
      </w:r>
      <w:r w:rsidRPr="00846769">
        <w:t xml:space="preserve"> affect response strategies and </w:t>
      </w:r>
      <w:r w:rsidR="002A564E" w:rsidRPr="00846769">
        <w:t xml:space="preserve">management </w:t>
      </w:r>
      <w:r w:rsidRPr="00846769">
        <w:t>actions (</w:t>
      </w:r>
      <w:r w:rsidR="007F7842">
        <w:t xml:space="preserve">see </w:t>
      </w:r>
      <w:r w:rsidR="00523D23" w:rsidRPr="00846769">
        <w:fldChar w:fldCharType="begin"/>
      </w:r>
      <w:r w:rsidR="00523D23" w:rsidRPr="00846769">
        <w:instrText xml:space="preserve"> REF _Ref166237852 \h </w:instrText>
      </w:r>
      <w:r w:rsidR="00523D23" w:rsidRPr="00846769">
        <w:fldChar w:fldCharType="separate"/>
      </w:r>
      <w:r w:rsidR="00523D23" w:rsidRPr="00846769">
        <w:t>Table 1</w:t>
      </w:r>
      <w:r w:rsidR="00523D23" w:rsidRPr="00846769">
        <w:fldChar w:fldCharType="end"/>
      </w:r>
      <w:r w:rsidRPr="00846769">
        <w:t xml:space="preserve">). </w:t>
      </w:r>
    </w:p>
    <w:p w14:paraId="6A3B4174" w14:textId="77777777" w:rsidR="005C76AD" w:rsidRPr="00846769" w:rsidRDefault="00FB0D38" w:rsidP="00365737">
      <w:bookmarkStart w:id="38" w:name="_Hlk170470313"/>
      <w:r w:rsidRPr="00846769">
        <w:t>B</w:t>
      </w:r>
      <w:r w:rsidR="00365737" w:rsidRPr="00846769">
        <w:t xml:space="preserve">ivalves </w:t>
      </w:r>
      <w:r w:rsidRPr="00846769">
        <w:t xml:space="preserve">included in this manual </w:t>
      </w:r>
      <w:r w:rsidR="00365737" w:rsidRPr="00846769">
        <w:t>have been identified as having the potential to cause significant negative environmental, economic, social</w:t>
      </w:r>
      <w:r w:rsidR="008D00FA" w:rsidRPr="00846769">
        <w:t>,</w:t>
      </w:r>
      <w:r w:rsidR="00365737" w:rsidRPr="00846769">
        <w:t xml:space="preserve"> or cultural impacts should they arrive</w:t>
      </w:r>
      <w:r w:rsidR="00194A2B" w:rsidRPr="00846769">
        <w:t xml:space="preserve"> </w:t>
      </w:r>
      <w:r w:rsidRPr="00846769">
        <w:t>to</w:t>
      </w:r>
      <w:r w:rsidR="00194A2B" w:rsidRPr="00846769">
        <w:t xml:space="preserve"> Australia. </w:t>
      </w:r>
      <w:r w:rsidRPr="00846769">
        <w:t>For</w:t>
      </w:r>
      <w:r w:rsidR="00365737" w:rsidRPr="00846769">
        <w:t xml:space="preserve"> </w:t>
      </w:r>
      <w:r w:rsidR="00194A2B" w:rsidRPr="00846769">
        <w:t xml:space="preserve">species which are </w:t>
      </w:r>
      <w:r w:rsidR="00365737" w:rsidRPr="00846769">
        <w:t>already established</w:t>
      </w:r>
      <w:r w:rsidR="00194A2B" w:rsidRPr="00846769">
        <w:t xml:space="preserve"> or cultivated</w:t>
      </w:r>
      <w:r w:rsidR="00365737" w:rsidRPr="00846769">
        <w:t xml:space="preserve">, there is national interest to limit their spread and impact within Australia. </w:t>
      </w:r>
    </w:p>
    <w:p w14:paraId="4E3C7A2C" w14:textId="31D50B07" w:rsidR="00BA5DA3" w:rsidRPr="00846769" w:rsidRDefault="00DD56AA" w:rsidP="00365737">
      <w:r>
        <w:t>This</w:t>
      </w:r>
      <w:r w:rsidR="00365737" w:rsidRPr="00846769">
        <w:t xml:space="preserve"> manual does not cover all invasive marine bivalves to Australia, either </w:t>
      </w:r>
      <w:r w:rsidR="00BA5DA3" w:rsidRPr="00846769">
        <w:t xml:space="preserve">introduced, </w:t>
      </w:r>
      <w:r w:rsidR="00365737" w:rsidRPr="00846769">
        <w:t>established</w:t>
      </w:r>
      <w:r w:rsidR="00BA5DA3" w:rsidRPr="00846769">
        <w:t>,</w:t>
      </w:r>
      <w:r w:rsidR="00365737" w:rsidRPr="00846769">
        <w:t xml:space="preserve"> or exotic</w:t>
      </w:r>
      <w:r w:rsidR="00682FD1">
        <w:t>, or for those which may have unknown invasion status (</w:t>
      </w:r>
      <w:r w:rsidR="0004422F">
        <w:t>e.g.</w:t>
      </w:r>
      <w:r w:rsidR="00682FD1">
        <w:t xml:space="preserve"> cryptogenic species)</w:t>
      </w:r>
      <w:r w:rsidR="00365737" w:rsidRPr="00846769">
        <w:t xml:space="preserve">. NIMPIS is a good resource of information for species not covered in the manual. </w:t>
      </w:r>
      <w:r w:rsidR="00296F2A" w:rsidRPr="00846769">
        <w:t xml:space="preserve">Other </w:t>
      </w:r>
      <w:r w:rsidR="008D699E" w:rsidRPr="00846769">
        <w:t>taxa</w:t>
      </w:r>
      <w:r w:rsidR="00296F2A" w:rsidRPr="00846769">
        <w:t xml:space="preserve"> may be identified for inclusion or exclusion and the manual will be updated as required. </w:t>
      </w:r>
    </w:p>
    <w:p w14:paraId="37D60636" w14:textId="5DACE542" w:rsidR="005C76AD" w:rsidRPr="00846769" w:rsidRDefault="005C76AD" w:rsidP="00365737">
      <w:bookmarkStart w:id="39" w:name="_Hlk170470329"/>
      <w:bookmarkEnd w:id="38"/>
      <w:r w:rsidRPr="00846769">
        <w:t>We acknowledge some native bivalve species can also exhibit ‘pest’ traits, but these native bivalves are out-of-scope in this manual. In addition, we recognise some invasive marine bivalves may have perceived or actual positive benefits to the surrounding environment (</w:t>
      </w:r>
      <w:r w:rsidR="0004422F">
        <w:t>e.g.</w:t>
      </w:r>
      <w:r w:rsidRPr="00846769">
        <w:t xml:space="preserve"> habitat structure and biodiversity), economy (</w:t>
      </w:r>
      <w:r w:rsidR="0004422F">
        <w:t>e.g.</w:t>
      </w:r>
      <w:r w:rsidRPr="00846769">
        <w:t xml:space="preserve"> cultivation and aquaculture production), or socio-cultural influences </w:t>
      </w:r>
      <w:r w:rsidRPr="00846769">
        <w:lastRenderedPageBreak/>
        <w:t>(</w:t>
      </w:r>
      <w:r w:rsidR="0004422F">
        <w:t>e.g.</w:t>
      </w:r>
      <w:r w:rsidRPr="00846769">
        <w:t xml:space="preserve"> recreational harvest)</w:t>
      </w:r>
      <w:r w:rsidR="00682FD1">
        <w:t xml:space="preserve">, but this manual’s purpose is </w:t>
      </w:r>
      <w:r w:rsidR="00405C6E">
        <w:t>for</w:t>
      </w:r>
      <w:r w:rsidR="00682FD1">
        <w:t xml:space="preserve"> </w:t>
      </w:r>
      <w:r w:rsidR="00405C6E">
        <w:t>bivalves which</w:t>
      </w:r>
      <w:r w:rsidR="00682FD1">
        <w:t xml:space="preserve"> can have a negative impact on the marine environment, industries, or social amenity</w:t>
      </w:r>
      <w:r w:rsidR="00405C6E">
        <w:t xml:space="preserve"> and elicit an emergency response</w:t>
      </w:r>
      <w:r w:rsidR="00682FD1">
        <w:t xml:space="preserve">. </w:t>
      </w:r>
      <w:bookmarkEnd w:id="39"/>
    </w:p>
    <w:p w14:paraId="5E39612B" w14:textId="20FBF653" w:rsidR="00296F2A" w:rsidRPr="00846769" w:rsidRDefault="008D00FA" w:rsidP="005C76AD">
      <w:r w:rsidRPr="00846769">
        <w:t xml:space="preserve">Finally, this manual focuses on </w:t>
      </w:r>
      <w:r w:rsidR="00BA5DA3" w:rsidRPr="00846769">
        <w:t xml:space="preserve">invasive </w:t>
      </w:r>
      <w:r w:rsidRPr="00846769">
        <w:t>marine bivalves. ‘</w:t>
      </w:r>
      <w:r w:rsidR="00BA5DA3" w:rsidRPr="00846769">
        <w:t>M</w:t>
      </w:r>
      <w:r w:rsidRPr="00846769">
        <w:t>arin</w:t>
      </w:r>
      <w:r w:rsidR="00BA5DA3" w:rsidRPr="00846769">
        <w:t>e bivalves’ are defined as species that spend the majority or the entirety of their lifecycle in marine (salinity 33</w:t>
      </w:r>
      <w:r w:rsidR="003E0CB9">
        <w:rPr>
          <w:rFonts w:cstheme="minorHAnsi"/>
        </w:rPr>
        <w:t>‒</w:t>
      </w:r>
      <w:r w:rsidR="00BA5DA3" w:rsidRPr="00846769">
        <w:t xml:space="preserve">37 </w:t>
      </w:r>
      <w:r w:rsidR="001463BA">
        <w:t>ppt</w:t>
      </w:r>
      <w:r w:rsidR="00BA5DA3" w:rsidRPr="00846769">
        <w:t>) or brackish (3</w:t>
      </w:r>
      <w:r w:rsidR="003E0CB9">
        <w:rPr>
          <w:rFonts w:cstheme="minorHAnsi"/>
        </w:rPr>
        <w:t>‒</w:t>
      </w:r>
      <w:r w:rsidR="00BA5DA3" w:rsidRPr="00846769">
        <w:t xml:space="preserve">35 </w:t>
      </w:r>
      <w:r w:rsidR="001463BA">
        <w:t>ppt</w:t>
      </w:r>
      <w:r w:rsidR="00BA5DA3" w:rsidRPr="00846769">
        <w:t>) waters. The</w:t>
      </w:r>
      <w:r w:rsidR="00567518" w:rsidRPr="00846769">
        <w:t>se</w:t>
      </w:r>
      <w:r w:rsidR="00BA5DA3" w:rsidRPr="00846769">
        <w:t xml:space="preserve"> species may have some ability to survive in freshwater (&lt;3 </w:t>
      </w:r>
      <w:r w:rsidR="001463BA">
        <w:t>ppt</w:t>
      </w:r>
      <w:r w:rsidR="00BA5DA3" w:rsidRPr="00846769">
        <w:t xml:space="preserve">), but brackish/marine waters are required for the species to reproduce and/or for their </w:t>
      </w:r>
      <w:r w:rsidR="00C1542C" w:rsidRPr="00846769">
        <w:t>long-term</w:t>
      </w:r>
      <w:r w:rsidR="00BA5DA3" w:rsidRPr="00846769">
        <w:t xml:space="preserve"> survival</w:t>
      </w:r>
      <w:r w:rsidRPr="00846769">
        <w:t>. We recognise that invasive freshwater bivalves exist to which emergency responses have occurred</w:t>
      </w:r>
      <w:r w:rsidR="00BA5DA3" w:rsidRPr="00846769">
        <w:t xml:space="preserve"> in Australia</w:t>
      </w:r>
      <w:r w:rsidRPr="00846769">
        <w:t xml:space="preserve"> (</w:t>
      </w:r>
      <w:r w:rsidR="0004422F">
        <w:t>i.e.</w:t>
      </w:r>
      <w:r w:rsidRPr="00846769">
        <w:t xml:space="preserve"> the </w:t>
      </w:r>
      <w:r w:rsidR="00BA5DA3" w:rsidRPr="00846769">
        <w:t xml:space="preserve">freshwater gold clam, </w:t>
      </w:r>
      <w:r w:rsidR="00BA5DA3" w:rsidRPr="00846769">
        <w:rPr>
          <w:i/>
          <w:iCs/>
        </w:rPr>
        <w:t>Corbicula fluminea</w:t>
      </w:r>
      <w:r w:rsidR="00BA5DA3" w:rsidRPr="00846769">
        <w:t xml:space="preserve">), but freshwater bivalves are out-of-scope in this current manual. Suspected freshwater invasive bivalves should still be reported to the relevant biosecurity agency in the jurisdiction in which they have been found. </w:t>
      </w:r>
    </w:p>
    <w:p w14:paraId="5655C1D3" w14:textId="77777777" w:rsidR="00AD7127" w:rsidRPr="00846769" w:rsidRDefault="00AD7127" w:rsidP="005C76AD">
      <w:pPr>
        <w:sectPr w:rsidR="00AD7127" w:rsidRPr="00846769" w:rsidSect="00AD7127">
          <w:pgSz w:w="11906" w:h="16838"/>
          <w:pgMar w:top="1440" w:right="1440" w:bottom="1440" w:left="1440" w:header="708" w:footer="708" w:gutter="0"/>
          <w:pgNumType w:start="1"/>
          <w:cols w:space="708"/>
          <w:docGrid w:linePitch="360"/>
        </w:sectPr>
      </w:pPr>
    </w:p>
    <w:p w14:paraId="3D968B85" w14:textId="5FDBF57C" w:rsidR="00232FA0" w:rsidRPr="00846769" w:rsidRDefault="00AD7127" w:rsidP="00232FA0">
      <w:pPr>
        <w:pStyle w:val="Caption"/>
      </w:pPr>
      <w:bookmarkStart w:id="40" w:name="_Ref166237852"/>
      <w:bookmarkStart w:id="41" w:name="_Toc169785364"/>
      <w:bookmarkStart w:id="42" w:name="_Toc191999496"/>
      <w:r w:rsidRPr="00846769">
        <w:lastRenderedPageBreak/>
        <w:t xml:space="preserve">Table </w:t>
      </w:r>
      <w:r w:rsidR="00232FA0" w:rsidRPr="00846769">
        <w:fldChar w:fldCharType="begin"/>
      </w:r>
      <w:r w:rsidR="00232FA0" w:rsidRPr="00846769">
        <w:instrText xml:space="preserve"> SEQ Table \* ARABIC </w:instrText>
      </w:r>
      <w:r w:rsidR="00232FA0" w:rsidRPr="00846769">
        <w:fldChar w:fldCharType="separate"/>
      </w:r>
      <w:r w:rsidR="005E4F41">
        <w:rPr>
          <w:noProof/>
        </w:rPr>
        <w:t>1</w:t>
      </w:r>
      <w:r w:rsidR="00232FA0" w:rsidRPr="00846769">
        <w:fldChar w:fldCharType="end"/>
      </w:r>
      <w:bookmarkEnd w:id="40"/>
      <w:r w:rsidRPr="00846769">
        <w:t xml:space="preserve"> </w:t>
      </w:r>
      <w:bookmarkEnd w:id="41"/>
      <w:r w:rsidR="002A564E" w:rsidRPr="00846769">
        <w:t>Invasive</w:t>
      </w:r>
      <w:r w:rsidRPr="00846769">
        <w:t xml:space="preserve"> marine bivalves included as key examples throughout this manual</w:t>
      </w:r>
      <w:r w:rsidR="00DD56AA">
        <w:t xml:space="preserve"> and their </w:t>
      </w:r>
      <w:proofErr w:type="gramStart"/>
      <w:r w:rsidR="00DD56AA">
        <w:t>current status</w:t>
      </w:r>
      <w:proofErr w:type="gramEnd"/>
      <w:r w:rsidR="00DD56AA">
        <w:t xml:space="preserve"> in Australia</w:t>
      </w:r>
      <w:r w:rsidR="001E2D60" w:rsidRPr="00846769">
        <w:t xml:space="preserve">. </w:t>
      </w:r>
      <w:r w:rsidR="00DD56AA">
        <w:t>Taxa</w:t>
      </w:r>
      <w:r w:rsidR="00DD56AA" w:rsidRPr="00846769">
        <w:t xml:space="preserve"> </w:t>
      </w:r>
      <w:r w:rsidR="001E2D60" w:rsidRPr="00846769">
        <w:t>are displayed in alphabetical order</w:t>
      </w:r>
      <w:bookmarkEnd w:id="42"/>
    </w:p>
    <w:tbl>
      <w:tblPr>
        <w:tblStyle w:val="TableGrid"/>
        <w:tblW w:w="138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4"/>
        <w:gridCol w:w="1984"/>
        <w:gridCol w:w="1559"/>
        <w:gridCol w:w="1276"/>
        <w:gridCol w:w="1134"/>
        <w:gridCol w:w="3827"/>
        <w:gridCol w:w="1418"/>
      </w:tblGrid>
      <w:tr w:rsidR="009735AC" w:rsidRPr="005631FD" w14:paraId="3FCDDCCE" w14:textId="77777777" w:rsidTr="00A04E26">
        <w:tc>
          <w:tcPr>
            <w:tcW w:w="2694" w:type="dxa"/>
            <w:shd w:val="clear" w:color="auto" w:fill="FFFFFF" w:themeFill="background1"/>
          </w:tcPr>
          <w:p w14:paraId="116F9CEA" w14:textId="2CA78E31" w:rsidR="009735AC" w:rsidRPr="00D06DB9" w:rsidRDefault="009735AC" w:rsidP="009735AC">
            <w:pPr>
              <w:pStyle w:val="TableText"/>
              <w:rPr>
                <w:rFonts w:cstheme="minorHAnsi"/>
                <w:szCs w:val="18"/>
              </w:rPr>
            </w:pPr>
            <w:bookmarkStart w:id="43" w:name="Table_1"/>
            <w:bookmarkEnd w:id="43"/>
            <w:r w:rsidRPr="00A04E26">
              <w:rPr>
                <w:rFonts w:cstheme="minorHAnsi"/>
                <w:b/>
                <w:bCs/>
                <w:szCs w:val="18"/>
              </w:rPr>
              <w:t>Bivalve species and common name</w:t>
            </w:r>
          </w:p>
        </w:tc>
        <w:tc>
          <w:tcPr>
            <w:tcW w:w="1984" w:type="dxa"/>
            <w:shd w:val="clear" w:color="auto" w:fill="FFFFFF" w:themeFill="background1"/>
          </w:tcPr>
          <w:p w14:paraId="01E370A3" w14:textId="3306C325" w:rsidR="009735AC" w:rsidRPr="00D06DB9" w:rsidRDefault="009735AC" w:rsidP="009735AC">
            <w:pPr>
              <w:pStyle w:val="TableText"/>
              <w:rPr>
                <w:rFonts w:cstheme="minorHAnsi"/>
                <w:szCs w:val="18"/>
              </w:rPr>
            </w:pPr>
            <w:r w:rsidRPr="00A04E26">
              <w:rPr>
                <w:rFonts w:cstheme="minorHAnsi"/>
                <w:b/>
                <w:bCs/>
                <w:szCs w:val="18"/>
              </w:rPr>
              <w:t xml:space="preserve">Presence in </w:t>
            </w:r>
            <w:proofErr w:type="spellStart"/>
            <w:r w:rsidRPr="00A04E26">
              <w:rPr>
                <w:rFonts w:cstheme="minorHAnsi"/>
                <w:b/>
                <w:bCs/>
                <w:szCs w:val="18"/>
              </w:rPr>
              <w:t>Australia</w:t>
            </w:r>
            <w:r w:rsidRPr="00A04E26">
              <w:rPr>
                <w:rFonts w:cstheme="minorHAnsi"/>
                <w:b/>
                <w:bCs/>
                <w:szCs w:val="18"/>
                <w:vertAlign w:val="superscript"/>
              </w:rPr>
              <w:t>e</w:t>
            </w:r>
            <w:proofErr w:type="spellEnd"/>
          </w:p>
        </w:tc>
        <w:tc>
          <w:tcPr>
            <w:tcW w:w="1559" w:type="dxa"/>
            <w:shd w:val="clear" w:color="auto" w:fill="FFFFFF" w:themeFill="background1"/>
          </w:tcPr>
          <w:p w14:paraId="0D64D677" w14:textId="25793803" w:rsidR="009735AC" w:rsidRPr="00D06DB9" w:rsidRDefault="009735AC" w:rsidP="009735AC">
            <w:pPr>
              <w:pStyle w:val="TableText"/>
              <w:rPr>
                <w:rFonts w:cstheme="minorHAnsi"/>
                <w:szCs w:val="18"/>
              </w:rPr>
            </w:pPr>
            <w:r w:rsidRPr="00A04E26">
              <w:rPr>
                <w:rFonts w:cstheme="minorHAnsi"/>
                <w:b/>
                <w:bCs/>
                <w:szCs w:val="18"/>
              </w:rPr>
              <w:t>Invasion status in Australia</w:t>
            </w:r>
          </w:p>
        </w:tc>
        <w:tc>
          <w:tcPr>
            <w:tcW w:w="1276" w:type="dxa"/>
            <w:shd w:val="clear" w:color="auto" w:fill="FFFFFF" w:themeFill="background1"/>
          </w:tcPr>
          <w:p w14:paraId="70843E04" w14:textId="36668F33" w:rsidR="009735AC" w:rsidRPr="00D06DB9" w:rsidRDefault="009735AC" w:rsidP="009735AC">
            <w:pPr>
              <w:pStyle w:val="TableText"/>
              <w:rPr>
                <w:rFonts w:cstheme="minorHAnsi"/>
                <w:szCs w:val="18"/>
              </w:rPr>
            </w:pPr>
            <w:r w:rsidRPr="00A04E26">
              <w:rPr>
                <w:rFonts w:cstheme="minorHAnsi"/>
                <w:b/>
                <w:bCs/>
                <w:szCs w:val="18"/>
              </w:rPr>
              <w:t xml:space="preserve">Listed on the </w:t>
            </w:r>
            <w:hyperlink r:id="rId35" w:history="1">
              <w:r w:rsidRPr="00A04E26">
                <w:rPr>
                  <w:rStyle w:val="Hyperlink"/>
                  <w:rFonts w:cstheme="minorHAnsi"/>
                  <w:b/>
                  <w:bCs/>
                  <w:sz w:val="18"/>
                  <w:szCs w:val="18"/>
                </w:rPr>
                <w:t>APMPL?</w:t>
              </w:r>
            </w:hyperlink>
          </w:p>
        </w:tc>
        <w:tc>
          <w:tcPr>
            <w:tcW w:w="1134" w:type="dxa"/>
            <w:shd w:val="clear" w:color="auto" w:fill="FFFFFF" w:themeFill="background1"/>
          </w:tcPr>
          <w:p w14:paraId="1C4C056F" w14:textId="179075A4" w:rsidR="009735AC" w:rsidRPr="00D06DB9" w:rsidRDefault="009735AC" w:rsidP="009735AC">
            <w:pPr>
              <w:pStyle w:val="TableText"/>
              <w:rPr>
                <w:rFonts w:cstheme="minorHAnsi"/>
                <w:szCs w:val="18"/>
              </w:rPr>
            </w:pPr>
            <w:r w:rsidRPr="00A04E26">
              <w:rPr>
                <w:rFonts w:cstheme="minorHAnsi"/>
                <w:b/>
                <w:bCs/>
                <w:szCs w:val="18"/>
              </w:rPr>
              <w:t xml:space="preserve">Listed on the </w:t>
            </w:r>
            <w:hyperlink r:id="rId36" w:history="1">
              <w:r w:rsidRPr="00A04E26">
                <w:rPr>
                  <w:rStyle w:val="Hyperlink"/>
                  <w:rFonts w:cstheme="minorHAnsi"/>
                  <w:b/>
                  <w:bCs/>
                  <w:sz w:val="18"/>
                  <w:szCs w:val="18"/>
                </w:rPr>
                <w:t>EEPL?</w:t>
              </w:r>
            </w:hyperlink>
          </w:p>
        </w:tc>
        <w:tc>
          <w:tcPr>
            <w:tcW w:w="3827" w:type="dxa"/>
            <w:shd w:val="clear" w:color="auto" w:fill="FFFFFF" w:themeFill="background1"/>
          </w:tcPr>
          <w:p w14:paraId="2B792F0B" w14:textId="1BFDCD74" w:rsidR="009735AC" w:rsidRPr="00D06DB9" w:rsidRDefault="009735AC" w:rsidP="009735AC">
            <w:pPr>
              <w:pStyle w:val="TableText"/>
              <w:rPr>
                <w:rFonts w:cstheme="minorHAnsi"/>
                <w:szCs w:val="18"/>
              </w:rPr>
            </w:pPr>
            <w:r w:rsidRPr="00A04E26">
              <w:rPr>
                <w:rFonts w:cstheme="minorHAnsi"/>
                <w:b/>
                <w:bCs/>
                <w:szCs w:val="18"/>
              </w:rPr>
              <w:t xml:space="preserve">Other reasons for inclusion </w:t>
            </w:r>
          </w:p>
        </w:tc>
        <w:tc>
          <w:tcPr>
            <w:tcW w:w="1418" w:type="dxa"/>
            <w:shd w:val="clear" w:color="auto" w:fill="FFFFFF" w:themeFill="background1"/>
          </w:tcPr>
          <w:p w14:paraId="630E89EB" w14:textId="72BF8972" w:rsidR="009735AC" w:rsidRPr="00A04E26" w:rsidRDefault="009735AC" w:rsidP="009735AC">
            <w:pPr>
              <w:pStyle w:val="TableText"/>
              <w:rPr>
                <w:rFonts w:cstheme="minorHAnsi"/>
                <w:szCs w:val="18"/>
              </w:rPr>
            </w:pPr>
            <w:r w:rsidRPr="00A04E26">
              <w:rPr>
                <w:rFonts w:cstheme="minorHAnsi"/>
                <w:b/>
                <w:bCs/>
                <w:szCs w:val="18"/>
              </w:rPr>
              <w:t>NIMPIS profile link</w:t>
            </w:r>
          </w:p>
        </w:tc>
      </w:tr>
      <w:tr w:rsidR="001443B7" w:rsidRPr="005631FD" w14:paraId="556379DC" w14:textId="77777777" w:rsidTr="001443B7">
        <w:tc>
          <w:tcPr>
            <w:tcW w:w="2694" w:type="dxa"/>
            <w:shd w:val="clear" w:color="auto" w:fill="FFFFFF" w:themeFill="background1"/>
          </w:tcPr>
          <w:p w14:paraId="1A035A2E" w14:textId="77777777" w:rsidR="00A814D8" w:rsidRPr="00A04E26" w:rsidRDefault="001E2D60" w:rsidP="00A04E26">
            <w:pPr>
              <w:pStyle w:val="TableText"/>
              <w:rPr>
                <w:rFonts w:cstheme="minorHAnsi"/>
                <w:i/>
                <w:iCs/>
                <w:szCs w:val="18"/>
              </w:rPr>
            </w:pPr>
            <w:r w:rsidRPr="00A04E26">
              <w:rPr>
                <w:rFonts w:cstheme="minorHAnsi"/>
                <w:i/>
                <w:iCs/>
                <w:szCs w:val="18"/>
              </w:rPr>
              <w:t xml:space="preserve">Arcuatula senhousia </w:t>
            </w:r>
          </w:p>
          <w:p w14:paraId="2B44286A" w14:textId="709EDFF9" w:rsidR="001E2D60" w:rsidRPr="00D06DB9" w:rsidRDefault="001E2D60" w:rsidP="00A04E26">
            <w:pPr>
              <w:pStyle w:val="TableText"/>
              <w:rPr>
                <w:rFonts w:cstheme="minorHAnsi"/>
                <w:szCs w:val="18"/>
              </w:rPr>
            </w:pPr>
            <w:r w:rsidRPr="00A04E26">
              <w:rPr>
                <w:rFonts w:cstheme="minorHAnsi"/>
                <w:szCs w:val="18"/>
              </w:rPr>
              <w:t>(Asian date/bag mussel)</w:t>
            </w:r>
          </w:p>
        </w:tc>
        <w:tc>
          <w:tcPr>
            <w:tcW w:w="1984" w:type="dxa"/>
            <w:shd w:val="clear" w:color="auto" w:fill="FFFFFF" w:themeFill="background1"/>
          </w:tcPr>
          <w:p w14:paraId="70CF33A3" w14:textId="418A3CA1" w:rsidR="001E2D60" w:rsidRPr="00D06DB9" w:rsidRDefault="00E44649" w:rsidP="00A04E26">
            <w:pPr>
              <w:pStyle w:val="TableText"/>
              <w:rPr>
                <w:rFonts w:cstheme="minorHAnsi"/>
                <w:szCs w:val="18"/>
              </w:rPr>
            </w:pPr>
            <w:r w:rsidRPr="00A04E26">
              <w:rPr>
                <w:rFonts w:cstheme="minorHAnsi"/>
                <w:szCs w:val="18"/>
              </w:rPr>
              <w:t>Established</w:t>
            </w:r>
            <w:r w:rsidR="005428CA" w:rsidRPr="00A04E26">
              <w:rPr>
                <w:rFonts w:cstheme="minorHAnsi"/>
                <w:szCs w:val="18"/>
              </w:rPr>
              <w:t xml:space="preserve"> (TAS, VIC, WA)</w:t>
            </w:r>
          </w:p>
        </w:tc>
        <w:tc>
          <w:tcPr>
            <w:tcW w:w="1559" w:type="dxa"/>
            <w:shd w:val="clear" w:color="auto" w:fill="FFFFFF" w:themeFill="background1"/>
          </w:tcPr>
          <w:p w14:paraId="57FCD8D8" w14:textId="6FC5E6B1" w:rsidR="001E2D60" w:rsidRPr="00D06DB9" w:rsidRDefault="00E44649"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1A17AE36" w14:textId="532BDA10" w:rsidR="001E2D60" w:rsidRPr="00D06DB9" w:rsidRDefault="000B412A" w:rsidP="00A04E26">
            <w:pPr>
              <w:pStyle w:val="TableText"/>
              <w:rPr>
                <w:rFonts w:cstheme="minorHAnsi"/>
                <w:szCs w:val="18"/>
              </w:rPr>
            </w:pPr>
            <w:r w:rsidRPr="00A04E26">
              <w:rPr>
                <w:rFonts w:cstheme="minorHAnsi"/>
                <w:szCs w:val="18"/>
              </w:rPr>
              <w:t>No</w:t>
            </w:r>
          </w:p>
        </w:tc>
        <w:tc>
          <w:tcPr>
            <w:tcW w:w="1134" w:type="dxa"/>
            <w:shd w:val="clear" w:color="auto" w:fill="FFFFFF" w:themeFill="background1"/>
          </w:tcPr>
          <w:p w14:paraId="19831BFF" w14:textId="73DEBDB9" w:rsidR="001E2D60" w:rsidRPr="00D06DB9" w:rsidRDefault="000B412A" w:rsidP="00A04E26">
            <w:pPr>
              <w:pStyle w:val="TableText"/>
              <w:rPr>
                <w:rFonts w:cstheme="minorHAnsi"/>
                <w:szCs w:val="18"/>
              </w:rPr>
            </w:pPr>
            <w:r w:rsidRPr="00A04E26">
              <w:rPr>
                <w:rFonts w:cstheme="minorHAnsi"/>
                <w:szCs w:val="18"/>
              </w:rPr>
              <w:t>No</w:t>
            </w:r>
          </w:p>
        </w:tc>
        <w:tc>
          <w:tcPr>
            <w:tcW w:w="3827" w:type="dxa"/>
            <w:shd w:val="clear" w:color="auto" w:fill="FFFFFF" w:themeFill="background1"/>
          </w:tcPr>
          <w:p w14:paraId="55D5B8F6" w14:textId="71E08BF8" w:rsidR="001E2D60" w:rsidRPr="00D06DB9" w:rsidRDefault="000B412A" w:rsidP="00A04E26">
            <w:pPr>
              <w:pStyle w:val="TableText"/>
              <w:rPr>
                <w:rFonts w:cstheme="minorHAnsi"/>
                <w:szCs w:val="18"/>
              </w:rPr>
            </w:pPr>
            <w:r w:rsidRPr="00A04E26">
              <w:rPr>
                <w:rFonts w:cstheme="minorHAnsi"/>
                <w:szCs w:val="18"/>
              </w:rPr>
              <w:t xml:space="preserve">Listed on state/territory noxious species lists; listed on </w:t>
            </w:r>
            <w:proofErr w:type="spellStart"/>
            <w:r w:rsidRPr="00A04E26">
              <w:rPr>
                <w:rFonts w:cstheme="minorHAnsi"/>
                <w:szCs w:val="18"/>
              </w:rPr>
              <w:t>CCIMPE</w:t>
            </w:r>
            <w:r w:rsidR="00B86203" w:rsidRPr="00A04E26">
              <w:rPr>
                <w:rFonts w:cstheme="minorHAnsi"/>
                <w:b/>
                <w:bCs/>
                <w:szCs w:val="18"/>
                <w:vertAlign w:val="superscript"/>
              </w:rPr>
              <w:t>c</w:t>
            </w:r>
            <w:proofErr w:type="spellEnd"/>
            <w:r w:rsidRPr="00A04E26">
              <w:rPr>
                <w:rFonts w:cstheme="minorHAnsi"/>
                <w:szCs w:val="18"/>
                <w:vertAlign w:val="superscript"/>
              </w:rPr>
              <w:t xml:space="preserve"> </w:t>
            </w:r>
            <w:r w:rsidRPr="00A04E26">
              <w:rPr>
                <w:rFonts w:cstheme="minorHAnsi"/>
                <w:szCs w:val="18"/>
              </w:rPr>
              <w:t xml:space="preserve">trigger list; </w:t>
            </w:r>
            <w:r w:rsidR="00B86203" w:rsidRPr="00A04E26">
              <w:rPr>
                <w:rFonts w:cstheme="minorHAnsi"/>
                <w:szCs w:val="18"/>
              </w:rPr>
              <w:t xml:space="preserve">has a </w:t>
            </w:r>
            <w:hyperlink r:id="rId37" w:history="1">
              <w:r w:rsidR="00B86203" w:rsidRPr="00A04E26">
                <w:rPr>
                  <w:rStyle w:val="Hyperlink"/>
                  <w:rFonts w:cstheme="minorHAnsi"/>
                  <w:sz w:val="18"/>
                  <w:szCs w:val="18"/>
                </w:rPr>
                <w:t>National Control Plan (NCP)</w:t>
              </w:r>
            </w:hyperlink>
          </w:p>
        </w:tc>
        <w:tc>
          <w:tcPr>
            <w:tcW w:w="1418" w:type="dxa"/>
            <w:shd w:val="clear" w:color="auto" w:fill="FFFFFF" w:themeFill="background1"/>
          </w:tcPr>
          <w:p w14:paraId="03259F78" w14:textId="42985063" w:rsidR="001E2D60" w:rsidRPr="00D06DB9" w:rsidRDefault="000B412A" w:rsidP="00A04E26">
            <w:pPr>
              <w:pStyle w:val="TableText"/>
              <w:rPr>
                <w:rFonts w:cstheme="minorHAnsi"/>
                <w:szCs w:val="18"/>
              </w:rPr>
            </w:pPr>
            <w:hyperlink r:id="rId38" w:history="1">
              <w:r w:rsidRPr="00A04E26">
                <w:rPr>
                  <w:rStyle w:val="Hyperlink"/>
                  <w:rFonts w:cstheme="minorHAnsi"/>
                  <w:sz w:val="18"/>
                  <w:szCs w:val="18"/>
                </w:rPr>
                <w:t>NIMPIS profile</w:t>
              </w:r>
            </w:hyperlink>
          </w:p>
        </w:tc>
      </w:tr>
      <w:tr w:rsidR="000B412A" w:rsidRPr="005631FD" w14:paraId="46F18317" w14:textId="77777777" w:rsidTr="00A04E26">
        <w:tc>
          <w:tcPr>
            <w:tcW w:w="2694" w:type="dxa"/>
            <w:shd w:val="clear" w:color="auto" w:fill="FFFFFF" w:themeFill="background1"/>
          </w:tcPr>
          <w:p w14:paraId="511FEFA9" w14:textId="77777777" w:rsidR="000B412A" w:rsidRPr="00A04E26" w:rsidRDefault="000B412A" w:rsidP="00A04E26">
            <w:pPr>
              <w:pStyle w:val="TableText"/>
              <w:rPr>
                <w:rFonts w:cstheme="minorHAnsi"/>
                <w:i/>
                <w:iCs/>
                <w:szCs w:val="18"/>
              </w:rPr>
            </w:pPr>
            <w:r w:rsidRPr="00A04E26">
              <w:rPr>
                <w:rFonts w:cstheme="minorHAnsi"/>
                <w:i/>
                <w:iCs/>
                <w:szCs w:val="18"/>
              </w:rPr>
              <w:t xml:space="preserve">Magallana ariakensis </w:t>
            </w:r>
          </w:p>
          <w:p w14:paraId="557F0E1B" w14:textId="0A53EFB7" w:rsidR="000B412A" w:rsidRPr="00D06DB9" w:rsidRDefault="000B412A" w:rsidP="00A04E26">
            <w:pPr>
              <w:pStyle w:val="TableText"/>
              <w:rPr>
                <w:rFonts w:cstheme="minorHAnsi"/>
                <w:szCs w:val="18"/>
              </w:rPr>
            </w:pPr>
            <w:r w:rsidRPr="00A04E26">
              <w:rPr>
                <w:rFonts w:cstheme="minorHAnsi"/>
                <w:szCs w:val="18"/>
              </w:rPr>
              <w:t>(Suminoe oyster)</w:t>
            </w:r>
          </w:p>
        </w:tc>
        <w:tc>
          <w:tcPr>
            <w:tcW w:w="1984" w:type="dxa"/>
            <w:shd w:val="clear" w:color="auto" w:fill="FFFFFF" w:themeFill="background1"/>
          </w:tcPr>
          <w:p w14:paraId="064CF429" w14:textId="2429E0CF" w:rsidR="000B412A" w:rsidRPr="00D06DB9" w:rsidRDefault="006B0AB1" w:rsidP="00A04E26">
            <w:pPr>
              <w:pStyle w:val="TableText"/>
              <w:rPr>
                <w:rFonts w:cstheme="minorHAnsi"/>
                <w:szCs w:val="18"/>
              </w:rPr>
            </w:pPr>
            <w:r>
              <w:rPr>
                <w:rFonts w:cstheme="minorHAnsi"/>
                <w:szCs w:val="18"/>
              </w:rPr>
              <w:t>Recorded</w:t>
            </w:r>
            <w:r w:rsidRPr="00A04E26" w:rsidDel="006B0AB1">
              <w:rPr>
                <w:rFonts w:cstheme="minorHAnsi"/>
                <w:szCs w:val="18"/>
              </w:rPr>
              <w:t xml:space="preserve"> </w:t>
            </w:r>
            <w:r w:rsidR="005428CA" w:rsidRPr="00A04E26">
              <w:rPr>
                <w:rFonts w:cstheme="minorHAnsi"/>
                <w:szCs w:val="18"/>
              </w:rPr>
              <w:t>(QLD)</w:t>
            </w:r>
            <w:r w:rsidR="00A80DD3" w:rsidRPr="005631FD">
              <w:rPr>
                <w:rStyle w:val="CommentReference"/>
                <w:rFonts w:eastAsiaTheme="minorHAnsi" w:cstheme="minorHAnsi"/>
                <w:sz w:val="18"/>
                <w:szCs w:val="18"/>
                <w:lang w:eastAsia="en-US"/>
              </w:rPr>
              <w:t xml:space="preserve"> </w:t>
            </w:r>
            <w:r>
              <w:rPr>
                <w:rStyle w:val="CommentReference"/>
                <w:rFonts w:eastAsiaTheme="minorHAnsi" w:cstheme="minorHAnsi"/>
                <w:sz w:val="18"/>
                <w:szCs w:val="18"/>
                <w:lang w:eastAsia="en-US"/>
              </w:rPr>
              <w:t>but uncertain</w:t>
            </w:r>
          </w:p>
        </w:tc>
        <w:tc>
          <w:tcPr>
            <w:tcW w:w="1559" w:type="dxa"/>
            <w:shd w:val="clear" w:color="auto" w:fill="FFFFFF" w:themeFill="background1"/>
          </w:tcPr>
          <w:p w14:paraId="513F6DE9" w14:textId="78694252"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09685326" w14:textId="476DB86D" w:rsidR="000B412A" w:rsidRPr="00D06DB9" w:rsidRDefault="000B412A" w:rsidP="00A04E26">
            <w:pPr>
              <w:pStyle w:val="TableText"/>
              <w:rPr>
                <w:rFonts w:cstheme="minorHAnsi"/>
                <w:szCs w:val="18"/>
              </w:rPr>
            </w:pPr>
            <w:r w:rsidRPr="00A04E26">
              <w:rPr>
                <w:rFonts w:cstheme="minorHAnsi"/>
                <w:szCs w:val="18"/>
              </w:rPr>
              <w:t>No</w:t>
            </w:r>
          </w:p>
        </w:tc>
        <w:tc>
          <w:tcPr>
            <w:tcW w:w="1134" w:type="dxa"/>
            <w:shd w:val="clear" w:color="auto" w:fill="FFFFFF" w:themeFill="background1"/>
          </w:tcPr>
          <w:p w14:paraId="024A8192" w14:textId="7DABE6CE" w:rsidR="000B412A" w:rsidRPr="00D06DB9" w:rsidRDefault="000B412A" w:rsidP="00A04E26">
            <w:pPr>
              <w:pStyle w:val="TableText"/>
              <w:rPr>
                <w:rFonts w:cstheme="minorHAnsi"/>
                <w:szCs w:val="18"/>
              </w:rPr>
            </w:pPr>
            <w:r w:rsidRPr="00A04E26">
              <w:rPr>
                <w:rFonts w:cstheme="minorHAnsi"/>
                <w:szCs w:val="18"/>
              </w:rPr>
              <w:t>No</w:t>
            </w:r>
          </w:p>
        </w:tc>
        <w:tc>
          <w:tcPr>
            <w:tcW w:w="3827" w:type="dxa"/>
            <w:shd w:val="clear" w:color="auto" w:fill="FFFFFF" w:themeFill="background1"/>
          </w:tcPr>
          <w:p w14:paraId="7F596A51" w14:textId="38E50DEE" w:rsidR="000B412A" w:rsidRPr="00D06DB9" w:rsidRDefault="00B86203" w:rsidP="00A04E26">
            <w:pPr>
              <w:pStyle w:val="TableText"/>
              <w:rPr>
                <w:rFonts w:cstheme="minorHAnsi"/>
                <w:szCs w:val="18"/>
              </w:rPr>
            </w:pPr>
            <w:r w:rsidRPr="00A04E26">
              <w:rPr>
                <w:rFonts w:cstheme="minorHAnsi"/>
                <w:szCs w:val="18"/>
              </w:rPr>
              <w:t>Listed on state/territory noxious species lists; reportable biosecurity matter under QLD Biosecurity Act 2014</w:t>
            </w:r>
          </w:p>
        </w:tc>
        <w:tc>
          <w:tcPr>
            <w:tcW w:w="1418" w:type="dxa"/>
            <w:shd w:val="clear" w:color="auto" w:fill="FFFFFF" w:themeFill="background1"/>
          </w:tcPr>
          <w:p w14:paraId="2450B30B" w14:textId="43FDF1CD" w:rsidR="000B412A" w:rsidRPr="00D06DB9" w:rsidRDefault="004E4E44" w:rsidP="00A04E26">
            <w:pPr>
              <w:pStyle w:val="TableText"/>
              <w:rPr>
                <w:rFonts w:cstheme="minorHAnsi"/>
                <w:szCs w:val="18"/>
              </w:rPr>
            </w:pPr>
            <w:r w:rsidRPr="00A04E26">
              <w:rPr>
                <w:rFonts w:cstheme="minorHAnsi"/>
                <w:szCs w:val="18"/>
              </w:rPr>
              <w:t>n/a</w:t>
            </w:r>
          </w:p>
        </w:tc>
      </w:tr>
      <w:tr w:rsidR="00E95577" w:rsidRPr="005631FD" w14:paraId="0671023C" w14:textId="77777777" w:rsidTr="001443B7">
        <w:tc>
          <w:tcPr>
            <w:tcW w:w="2694" w:type="dxa"/>
            <w:shd w:val="clear" w:color="auto" w:fill="FFFFFF" w:themeFill="background1"/>
          </w:tcPr>
          <w:p w14:paraId="63A5377B" w14:textId="77777777" w:rsidR="000B412A" w:rsidRPr="00A04E26" w:rsidRDefault="000B412A" w:rsidP="00A04E26">
            <w:pPr>
              <w:pStyle w:val="TableText"/>
              <w:rPr>
                <w:rFonts w:cstheme="minorHAnsi"/>
                <w:i/>
                <w:iCs/>
                <w:szCs w:val="18"/>
              </w:rPr>
            </w:pPr>
            <w:r w:rsidRPr="00A04E26">
              <w:rPr>
                <w:rFonts w:cstheme="minorHAnsi"/>
                <w:i/>
                <w:iCs/>
                <w:szCs w:val="18"/>
              </w:rPr>
              <w:t xml:space="preserve">Magallana bilineata </w:t>
            </w:r>
          </w:p>
          <w:p w14:paraId="54571376" w14:textId="0C6D9978" w:rsidR="000B412A" w:rsidRPr="00D06DB9" w:rsidRDefault="000B412A" w:rsidP="00A04E26">
            <w:pPr>
              <w:pStyle w:val="TableText"/>
              <w:rPr>
                <w:rFonts w:cstheme="minorHAnsi"/>
                <w:szCs w:val="18"/>
              </w:rPr>
            </w:pPr>
            <w:r w:rsidRPr="00A04E26">
              <w:rPr>
                <w:rFonts w:cstheme="minorHAnsi"/>
                <w:szCs w:val="18"/>
              </w:rPr>
              <w:t>(Black scar oyster)</w:t>
            </w:r>
          </w:p>
        </w:tc>
        <w:tc>
          <w:tcPr>
            <w:tcW w:w="1984" w:type="dxa"/>
            <w:shd w:val="clear" w:color="auto" w:fill="FFFFFF" w:themeFill="background1"/>
          </w:tcPr>
          <w:p w14:paraId="2B927FE4" w14:textId="5F6B878F" w:rsidR="000B412A" w:rsidRPr="00D06DB9" w:rsidRDefault="000B412A" w:rsidP="00A04E26">
            <w:pPr>
              <w:pStyle w:val="TableText"/>
              <w:rPr>
                <w:rFonts w:cstheme="minorHAnsi"/>
                <w:szCs w:val="18"/>
              </w:rPr>
            </w:pPr>
            <w:r w:rsidRPr="00A04E26">
              <w:rPr>
                <w:rFonts w:cstheme="minorHAnsi"/>
                <w:szCs w:val="18"/>
              </w:rPr>
              <w:t>Established</w:t>
            </w:r>
            <w:r w:rsidR="005428CA" w:rsidRPr="00A04E26">
              <w:rPr>
                <w:rFonts w:cstheme="minorHAnsi"/>
                <w:szCs w:val="18"/>
              </w:rPr>
              <w:t xml:space="preserve"> (QLD)</w:t>
            </w:r>
          </w:p>
        </w:tc>
        <w:tc>
          <w:tcPr>
            <w:tcW w:w="1559" w:type="dxa"/>
            <w:shd w:val="clear" w:color="auto" w:fill="FFFFFF" w:themeFill="background1"/>
          </w:tcPr>
          <w:p w14:paraId="2E41287E" w14:textId="47AED555"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14BB3B60" w14:textId="2E45A3FB" w:rsidR="000B412A" w:rsidRPr="00D06DB9" w:rsidRDefault="000B412A" w:rsidP="00A04E26">
            <w:pPr>
              <w:pStyle w:val="TableText"/>
              <w:rPr>
                <w:rFonts w:cstheme="minorHAnsi"/>
                <w:szCs w:val="18"/>
              </w:rPr>
            </w:pPr>
            <w:r w:rsidRPr="00A04E26">
              <w:rPr>
                <w:rFonts w:cstheme="minorHAnsi"/>
                <w:szCs w:val="18"/>
              </w:rPr>
              <w:t>No</w:t>
            </w:r>
          </w:p>
        </w:tc>
        <w:tc>
          <w:tcPr>
            <w:tcW w:w="1134" w:type="dxa"/>
            <w:shd w:val="clear" w:color="auto" w:fill="FFFFFF" w:themeFill="background1"/>
          </w:tcPr>
          <w:p w14:paraId="6DE17DEE" w14:textId="514317F2" w:rsidR="000B412A" w:rsidRPr="00D06DB9" w:rsidRDefault="000B412A" w:rsidP="00A04E26">
            <w:pPr>
              <w:pStyle w:val="TableText"/>
              <w:rPr>
                <w:rFonts w:cstheme="minorHAnsi"/>
                <w:szCs w:val="18"/>
              </w:rPr>
            </w:pPr>
            <w:r w:rsidRPr="00A04E26">
              <w:rPr>
                <w:rFonts w:cstheme="minorHAnsi"/>
                <w:szCs w:val="18"/>
              </w:rPr>
              <w:t>No</w:t>
            </w:r>
          </w:p>
        </w:tc>
        <w:tc>
          <w:tcPr>
            <w:tcW w:w="3827" w:type="dxa"/>
            <w:shd w:val="clear" w:color="auto" w:fill="FFFFFF" w:themeFill="background1"/>
          </w:tcPr>
          <w:p w14:paraId="7EA90C2B" w14:textId="717C8A91" w:rsidR="000B412A" w:rsidRPr="00D06DB9" w:rsidRDefault="000B412A" w:rsidP="00A04E26">
            <w:pPr>
              <w:pStyle w:val="TableText"/>
              <w:rPr>
                <w:rFonts w:cstheme="minorHAnsi"/>
                <w:szCs w:val="18"/>
              </w:rPr>
            </w:pPr>
            <w:r w:rsidRPr="00A04E26">
              <w:rPr>
                <w:rFonts w:cstheme="minorHAnsi"/>
                <w:szCs w:val="18"/>
              </w:rPr>
              <w:t xml:space="preserve">Listed on state/territory noxious species lists; </w:t>
            </w:r>
            <w:r w:rsidR="00B86203" w:rsidRPr="00A04E26">
              <w:rPr>
                <w:rFonts w:cstheme="minorHAnsi"/>
                <w:szCs w:val="18"/>
              </w:rPr>
              <w:t>reportable biosecurity matter under QLD Biosecurity Act 2014</w:t>
            </w:r>
          </w:p>
        </w:tc>
        <w:tc>
          <w:tcPr>
            <w:tcW w:w="1418" w:type="dxa"/>
            <w:shd w:val="clear" w:color="auto" w:fill="FFFFFF" w:themeFill="background1"/>
          </w:tcPr>
          <w:p w14:paraId="3644BF70" w14:textId="27D123DA" w:rsidR="000B412A" w:rsidRPr="00D06DB9" w:rsidRDefault="000B412A" w:rsidP="00A04E26">
            <w:pPr>
              <w:pStyle w:val="TableText"/>
              <w:rPr>
                <w:rFonts w:cstheme="minorHAnsi"/>
                <w:szCs w:val="18"/>
              </w:rPr>
            </w:pPr>
            <w:hyperlink r:id="rId39" w:history="1">
              <w:r w:rsidRPr="00A04E26">
                <w:rPr>
                  <w:rStyle w:val="Hyperlink"/>
                  <w:rFonts w:cstheme="minorHAnsi"/>
                  <w:sz w:val="18"/>
                  <w:szCs w:val="18"/>
                </w:rPr>
                <w:t>NIMPIS profile</w:t>
              </w:r>
            </w:hyperlink>
          </w:p>
        </w:tc>
      </w:tr>
      <w:tr w:rsidR="000B412A" w:rsidRPr="005631FD" w14:paraId="6CC3872A" w14:textId="77777777" w:rsidTr="00A04E26">
        <w:tc>
          <w:tcPr>
            <w:tcW w:w="2694" w:type="dxa"/>
            <w:shd w:val="clear" w:color="auto" w:fill="FFFFFF" w:themeFill="background1"/>
          </w:tcPr>
          <w:p w14:paraId="1E01340F" w14:textId="77777777" w:rsidR="000B412A" w:rsidRPr="00A04E26" w:rsidRDefault="000B412A" w:rsidP="00A04E26">
            <w:pPr>
              <w:pStyle w:val="TableText"/>
              <w:rPr>
                <w:rFonts w:cstheme="minorHAnsi"/>
                <w:i/>
                <w:iCs/>
                <w:szCs w:val="18"/>
              </w:rPr>
            </w:pPr>
            <w:r w:rsidRPr="00A04E26">
              <w:rPr>
                <w:rFonts w:cstheme="minorHAnsi"/>
                <w:i/>
                <w:iCs/>
                <w:szCs w:val="18"/>
              </w:rPr>
              <w:t xml:space="preserve">Magallana gigas </w:t>
            </w:r>
          </w:p>
          <w:p w14:paraId="386F6368" w14:textId="4E794963" w:rsidR="000B412A" w:rsidRPr="00D06DB9" w:rsidRDefault="000B412A" w:rsidP="00A04E26">
            <w:pPr>
              <w:pStyle w:val="TableText"/>
              <w:rPr>
                <w:rFonts w:cstheme="minorHAnsi"/>
                <w:szCs w:val="18"/>
              </w:rPr>
            </w:pPr>
            <w:r w:rsidRPr="00A04E26">
              <w:rPr>
                <w:rFonts w:cstheme="minorHAnsi"/>
                <w:szCs w:val="18"/>
              </w:rPr>
              <w:t>(Pacific oyster)</w:t>
            </w:r>
          </w:p>
        </w:tc>
        <w:tc>
          <w:tcPr>
            <w:tcW w:w="1984" w:type="dxa"/>
            <w:shd w:val="clear" w:color="auto" w:fill="FFFFFF" w:themeFill="background1"/>
          </w:tcPr>
          <w:p w14:paraId="24455BAF" w14:textId="22540FA2" w:rsidR="000B412A" w:rsidRPr="00D06DB9" w:rsidRDefault="000B412A" w:rsidP="00A04E26">
            <w:pPr>
              <w:pStyle w:val="TableText"/>
              <w:rPr>
                <w:rFonts w:cstheme="minorHAnsi"/>
                <w:szCs w:val="18"/>
              </w:rPr>
            </w:pPr>
            <w:r w:rsidRPr="00A04E26">
              <w:rPr>
                <w:rFonts w:cstheme="minorHAnsi"/>
                <w:szCs w:val="18"/>
              </w:rPr>
              <w:t>Established, cultivated</w:t>
            </w:r>
            <w:r w:rsidR="005428CA" w:rsidRPr="00A04E26">
              <w:rPr>
                <w:rFonts w:cstheme="minorHAnsi"/>
                <w:szCs w:val="18"/>
              </w:rPr>
              <w:t xml:space="preserve"> (NSW, SA, TAS, VIC)</w:t>
            </w:r>
          </w:p>
        </w:tc>
        <w:tc>
          <w:tcPr>
            <w:tcW w:w="1559" w:type="dxa"/>
            <w:shd w:val="clear" w:color="auto" w:fill="FFFFFF" w:themeFill="background1"/>
          </w:tcPr>
          <w:p w14:paraId="13DB0651" w14:textId="16C2579A"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548E1EAD" w14:textId="64406D80" w:rsidR="000B412A" w:rsidRPr="00D06DB9" w:rsidRDefault="000B412A" w:rsidP="00A04E26">
            <w:pPr>
              <w:pStyle w:val="TableText"/>
              <w:rPr>
                <w:rFonts w:cstheme="minorHAnsi"/>
                <w:szCs w:val="18"/>
              </w:rPr>
            </w:pPr>
            <w:r w:rsidRPr="00A04E26">
              <w:rPr>
                <w:rFonts w:cstheme="minorHAnsi"/>
                <w:szCs w:val="18"/>
              </w:rPr>
              <w:t>No</w:t>
            </w:r>
          </w:p>
        </w:tc>
        <w:tc>
          <w:tcPr>
            <w:tcW w:w="1134" w:type="dxa"/>
            <w:shd w:val="clear" w:color="auto" w:fill="FFFFFF" w:themeFill="background1"/>
          </w:tcPr>
          <w:p w14:paraId="6B3BB719" w14:textId="5FE283E9" w:rsidR="000B412A" w:rsidRPr="00D06DB9" w:rsidRDefault="000B412A" w:rsidP="00A04E26">
            <w:pPr>
              <w:pStyle w:val="TableText"/>
              <w:rPr>
                <w:rFonts w:cstheme="minorHAnsi"/>
                <w:szCs w:val="18"/>
              </w:rPr>
            </w:pPr>
            <w:r w:rsidRPr="00A04E26">
              <w:rPr>
                <w:rFonts w:cstheme="minorHAnsi"/>
                <w:szCs w:val="18"/>
              </w:rPr>
              <w:t>No</w:t>
            </w:r>
          </w:p>
        </w:tc>
        <w:tc>
          <w:tcPr>
            <w:tcW w:w="3827" w:type="dxa"/>
            <w:shd w:val="clear" w:color="auto" w:fill="FFFFFF" w:themeFill="background1"/>
          </w:tcPr>
          <w:p w14:paraId="6CEC3BA1" w14:textId="46F580C7" w:rsidR="000B412A" w:rsidRPr="00D06DB9" w:rsidRDefault="000B412A" w:rsidP="00A04E26">
            <w:pPr>
              <w:pStyle w:val="TableText"/>
              <w:rPr>
                <w:rFonts w:cstheme="minorHAnsi"/>
                <w:szCs w:val="18"/>
              </w:rPr>
            </w:pPr>
            <w:r w:rsidRPr="00A04E26">
              <w:rPr>
                <w:rFonts w:cstheme="minorHAnsi"/>
                <w:szCs w:val="18"/>
              </w:rPr>
              <w:t>Listed on state/territory noxious species lists</w:t>
            </w:r>
          </w:p>
        </w:tc>
        <w:tc>
          <w:tcPr>
            <w:tcW w:w="1418" w:type="dxa"/>
            <w:shd w:val="clear" w:color="auto" w:fill="FFFFFF" w:themeFill="background1"/>
          </w:tcPr>
          <w:p w14:paraId="3DB891F0" w14:textId="0ED58BED" w:rsidR="000B412A" w:rsidRPr="00D06DB9" w:rsidRDefault="000B412A" w:rsidP="00A04E26">
            <w:pPr>
              <w:pStyle w:val="TableText"/>
              <w:rPr>
                <w:rFonts w:cstheme="minorHAnsi"/>
                <w:szCs w:val="18"/>
              </w:rPr>
            </w:pPr>
            <w:hyperlink r:id="rId40" w:history="1">
              <w:r w:rsidRPr="00A04E26">
                <w:rPr>
                  <w:rStyle w:val="Hyperlink"/>
                  <w:rFonts w:cstheme="minorHAnsi"/>
                  <w:sz w:val="18"/>
                  <w:szCs w:val="18"/>
                </w:rPr>
                <w:t>NIMPIS profile</w:t>
              </w:r>
            </w:hyperlink>
          </w:p>
        </w:tc>
      </w:tr>
      <w:tr w:rsidR="00E95577" w:rsidRPr="005631FD" w14:paraId="5FB67C23" w14:textId="77777777" w:rsidTr="001443B7">
        <w:tc>
          <w:tcPr>
            <w:tcW w:w="2694" w:type="dxa"/>
            <w:shd w:val="clear" w:color="auto" w:fill="FFFFFF" w:themeFill="background1"/>
          </w:tcPr>
          <w:p w14:paraId="2A06E330" w14:textId="77777777" w:rsidR="000B412A" w:rsidRPr="00A04E26" w:rsidRDefault="000B412A" w:rsidP="00A04E26">
            <w:pPr>
              <w:pStyle w:val="TableText"/>
              <w:rPr>
                <w:rFonts w:cstheme="minorHAnsi"/>
                <w:i/>
                <w:iCs/>
                <w:szCs w:val="18"/>
              </w:rPr>
            </w:pPr>
            <w:r w:rsidRPr="00A04E26">
              <w:rPr>
                <w:rFonts w:cstheme="minorHAnsi"/>
                <w:i/>
                <w:iCs/>
                <w:szCs w:val="18"/>
              </w:rPr>
              <w:t xml:space="preserve">Mya arenaria </w:t>
            </w:r>
          </w:p>
          <w:p w14:paraId="6446E0C3" w14:textId="4A7BE259" w:rsidR="000B412A" w:rsidRPr="00D06DB9" w:rsidRDefault="000B412A" w:rsidP="00A04E26">
            <w:pPr>
              <w:pStyle w:val="TableText"/>
              <w:rPr>
                <w:rFonts w:cstheme="minorHAnsi"/>
                <w:szCs w:val="18"/>
              </w:rPr>
            </w:pPr>
            <w:r w:rsidRPr="00A04E26">
              <w:rPr>
                <w:rFonts w:cstheme="minorHAnsi"/>
                <w:szCs w:val="18"/>
              </w:rPr>
              <w:t>(Soft-shell clam)</w:t>
            </w:r>
          </w:p>
        </w:tc>
        <w:tc>
          <w:tcPr>
            <w:tcW w:w="1984" w:type="dxa"/>
            <w:shd w:val="clear" w:color="auto" w:fill="FFFFFF" w:themeFill="background1"/>
          </w:tcPr>
          <w:p w14:paraId="0E2982A4" w14:textId="3B3C6106" w:rsidR="000B412A" w:rsidRPr="00D06DB9" w:rsidRDefault="005428CA" w:rsidP="00A04E26">
            <w:pPr>
              <w:pStyle w:val="TableText"/>
              <w:rPr>
                <w:rFonts w:cstheme="minorHAnsi"/>
                <w:szCs w:val="18"/>
              </w:rPr>
            </w:pPr>
            <w:r w:rsidRPr="00A04E26">
              <w:rPr>
                <w:rFonts w:cstheme="minorHAnsi"/>
                <w:szCs w:val="18"/>
              </w:rPr>
              <w:t>Not recorded</w:t>
            </w:r>
          </w:p>
        </w:tc>
        <w:tc>
          <w:tcPr>
            <w:tcW w:w="1559" w:type="dxa"/>
            <w:shd w:val="clear" w:color="auto" w:fill="FFFFFF" w:themeFill="background1"/>
          </w:tcPr>
          <w:p w14:paraId="69859356" w14:textId="5A4C6EEB"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44722834" w14:textId="4E1FC8B2" w:rsidR="000B412A" w:rsidRPr="00D06DB9" w:rsidRDefault="000B412A" w:rsidP="00A04E26">
            <w:pPr>
              <w:pStyle w:val="TableText"/>
              <w:rPr>
                <w:rFonts w:cstheme="minorHAnsi"/>
                <w:szCs w:val="18"/>
              </w:rPr>
            </w:pPr>
            <w:r w:rsidRPr="00A04E26">
              <w:rPr>
                <w:rFonts w:cstheme="minorHAnsi"/>
                <w:szCs w:val="18"/>
              </w:rPr>
              <w:t>No</w:t>
            </w:r>
          </w:p>
        </w:tc>
        <w:tc>
          <w:tcPr>
            <w:tcW w:w="1134" w:type="dxa"/>
            <w:shd w:val="clear" w:color="auto" w:fill="FFFFFF" w:themeFill="background1"/>
          </w:tcPr>
          <w:p w14:paraId="6A7D2430" w14:textId="375F272F" w:rsidR="000B412A" w:rsidRPr="00D06DB9" w:rsidRDefault="000B412A" w:rsidP="00A04E26">
            <w:pPr>
              <w:pStyle w:val="TableText"/>
              <w:rPr>
                <w:rFonts w:cstheme="minorHAnsi"/>
                <w:szCs w:val="18"/>
              </w:rPr>
            </w:pPr>
            <w:r w:rsidRPr="00A04E26">
              <w:rPr>
                <w:rFonts w:cstheme="minorHAnsi"/>
                <w:szCs w:val="18"/>
              </w:rPr>
              <w:t>Yes</w:t>
            </w:r>
          </w:p>
        </w:tc>
        <w:tc>
          <w:tcPr>
            <w:tcW w:w="3827" w:type="dxa"/>
            <w:shd w:val="clear" w:color="auto" w:fill="FFFFFF" w:themeFill="background1"/>
          </w:tcPr>
          <w:p w14:paraId="5DE22259" w14:textId="327DD330" w:rsidR="000B412A" w:rsidRPr="00D06DB9" w:rsidRDefault="000B412A" w:rsidP="00A04E26">
            <w:pPr>
              <w:pStyle w:val="TableText"/>
              <w:rPr>
                <w:rFonts w:cstheme="minorHAnsi"/>
                <w:szCs w:val="18"/>
              </w:rPr>
            </w:pPr>
            <w:r w:rsidRPr="00A04E26">
              <w:rPr>
                <w:rFonts w:cstheme="minorHAnsi"/>
                <w:szCs w:val="18"/>
              </w:rPr>
              <w:t xml:space="preserve">Listed on the </w:t>
            </w:r>
            <w:proofErr w:type="spellStart"/>
            <w:r w:rsidRPr="00A04E26">
              <w:rPr>
                <w:rFonts w:cstheme="minorHAnsi"/>
                <w:szCs w:val="18"/>
              </w:rPr>
              <w:t>EEPL</w:t>
            </w:r>
            <w:r w:rsidRPr="00A04E26">
              <w:rPr>
                <w:rFonts w:cstheme="minorHAnsi"/>
                <w:b/>
                <w:bCs/>
                <w:szCs w:val="18"/>
                <w:vertAlign w:val="superscript"/>
              </w:rPr>
              <w:t>b</w:t>
            </w:r>
            <w:proofErr w:type="spellEnd"/>
            <w:r w:rsidRPr="00A04E26">
              <w:rPr>
                <w:rFonts w:cstheme="minorHAnsi"/>
                <w:b/>
                <w:bCs/>
                <w:szCs w:val="18"/>
              </w:rPr>
              <w:t>;</w:t>
            </w:r>
            <w:r w:rsidRPr="00A04E26">
              <w:rPr>
                <w:rFonts w:cstheme="minorHAnsi"/>
                <w:szCs w:val="18"/>
              </w:rPr>
              <w:t xml:space="preserve"> listed on state/territory noxious species lists; listed on </w:t>
            </w:r>
            <w:proofErr w:type="spellStart"/>
            <w:r w:rsidRPr="00A04E26">
              <w:rPr>
                <w:rFonts w:cstheme="minorHAnsi"/>
                <w:szCs w:val="18"/>
              </w:rPr>
              <w:t>CCIMPE</w:t>
            </w:r>
            <w:r w:rsidR="00B86203" w:rsidRPr="00A04E26">
              <w:rPr>
                <w:rFonts w:cstheme="minorHAnsi"/>
                <w:b/>
                <w:bCs/>
                <w:szCs w:val="18"/>
                <w:vertAlign w:val="superscript"/>
              </w:rPr>
              <w:t>c</w:t>
            </w:r>
            <w:proofErr w:type="spellEnd"/>
            <w:r w:rsidRPr="00A04E26">
              <w:rPr>
                <w:rFonts w:cstheme="minorHAnsi"/>
                <w:szCs w:val="18"/>
                <w:vertAlign w:val="superscript"/>
              </w:rPr>
              <w:t xml:space="preserve"> </w:t>
            </w:r>
            <w:r w:rsidRPr="00A04E26">
              <w:rPr>
                <w:rFonts w:cstheme="minorHAnsi"/>
                <w:szCs w:val="18"/>
              </w:rPr>
              <w:t>trigger list</w:t>
            </w:r>
          </w:p>
        </w:tc>
        <w:tc>
          <w:tcPr>
            <w:tcW w:w="1418" w:type="dxa"/>
            <w:shd w:val="clear" w:color="auto" w:fill="FFFFFF" w:themeFill="background1"/>
          </w:tcPr>
          <w:p w14:paraId="474C932A" w14:textId="134C0444" w:rsidR="000B412A" w:rsidRPr="00D06DB9" w:rsidRDefault="000B412A" w:rsidP="00A04E26">
            <w:pPr>
              <w:pStyle w:val="TableText"/>
              <w:rPr>
                <w:rFonts w:cstheme="minorHAnsi"/>
                <w:szCs w:val="18"/>
              </w:rPr>
            </w:pPr>
            <w:hyperlink r:id="rId41" w:history="1">
              <w:r w:rsidRPr="00A04E26">
                <w:rPr>
                  <w:rStyle w:val="Hyperlink"/>
                  <w:rFonts w:cstheme="minorHAnsi"/>
                  <w:sz w:val="18"/>
                  <w:szCs w:val="18"/>
                </w:rPr>
                <w:t>NIMPIS profile</w:t>
              </w:r>
            </w:hyperlink>
          </w:p>
        </w:tc>
      </w:tr>
      <w:tr w:rsidR="000B412A" w:rsidRPr="005631FD" w14:paraId="1C73C536" w14:textId="77777777" w:rsidTr="00A04E26">
        <w:tc>
          <w:tcPr>
            <w:tcW w:w="2694" w:type="dxa"/>
            <w:shd w:val="clear" w:color="auto" w:fill="FFFFFF" w:themeFill="background1"/>
          </w:tcPr>
          <w:p w14:paraId="2B57D001" w14:textId="514B707A" w:rsidR="000B412A" w:rsidRPr="00D06DB9" w:rsidRDefault="000B412A" w:rsidP="00A04E26">
            <w:pPr>
              <w:pStyle w:val="TableText"/>
              <w:rPr>
                <w:rFonts w:cstheme="minorHAnsi"/>
                <w:szCs w:val="18"/>
              </w:rPr>
            </w:pPr>
            <w:r w:rsidRPr="00A04E26">
              <w:rPr>
                <w:rFonts w:cstheme="minorHAnsi"/>
                <w:i/>
                <w:iCs/>
                <w:szCs w:val="18"/>
              </w:rPr>
              <w:t xml:space="preserve">Mya </w:t>
            </w:r>
            <w:proofErr w:type="spellStart"/>
            <w:r w:rsidRPr="00A04E26">
              <w:rPr>
                <w:rFonts w:cstheme="minorHAnsi"/>
                <w:i/>
                <w:iCs/>
                <w:szCs w:val="18"/>
              </w:rPr>
              <w:t>japonica</w:t>
            </w:r>
            <w:r w:rsidR="002C56BD" w:rsidRPr="00A04E26">
              <w:rPr>
                <w:rFonts w:cstheme="minorHAnsi"/>
                <w:b/>
                <w:bCs/>
                <w:szCs w:val="18"/>
                <w:vertAlign w:val="superscript"/>
              </w:rPr>
              <w:t>d</w:t>
            </w:r>
            <w:proofErr w:type="spellEnd"/>
          </w:p>
          <w:p w14:paraId="76C5284C" w14:textId="25B85313" w:rsidR="000B412A" w:rsidRPr="00D06DB9" w:rsidRDefault="000B412A" w:rsidP="00A04E26">
            <w:pPr>
              <w:pStyle w:val="TableText"/>
              <w:rPr>
                <w:rFonts w:cstheme="minorHAnsi"/>
                <w:szCs w:val="18"/>
              </w:rPr>
            </w:pPr>
            <w:r w:rsidRPr="00A04E26">
              <w:rPr>
                <w:rFonts w:cstheme="minorHAnsi"/>
                <w:szCs w:val="18"/>
              </w:rPr>
              <w:t>(Japanese soft-shell clam)</w:t>
            </w:r>
          </w:p>
        </w:tc>
        <w:tc>
          <w:tcPr>
            <w:tcW w:w="1984" w:type="dxa"/>
            <w:shd w:val="clear" w:color="auto" w:fill="FFFFFF" w:themeFill="background1"/>
          </w:tcPr>
          <w:p w14:paraId="04A7E6CC" w14:textId="40B1F130" w:rsidR="000B412A" w:rsidRPr="00D06DB9" w:rsidRDefault="000B412A" w:rsidP="00A04E26">
            <w:pPr>
              <w:pStyle w:val="TableText"/>
              <w:rPr>
                <w:rFonts w:cstheme="minorHAnsi"/>
                <w:szCs w:val="18"/>
              </w:rPr>
            </w:pPr>
            <w:r w:rsidRPr="00A04E26">
              <w:rPr>
                <w:rFonts w:cstheme="minorHAnsi"/>
                <w:szCs w:val="18"/>
              </w:rPr>
              <w:t>Established</w:t>
            </w:r>
            <w:r w:rsidR="005428CA" w:rsidRPr="00A04E26">
              <w:rPr>
                <w:rFonts w:cstheme="minorHAnsi"/>
                <w:szCs w:val="18"/>
              </w:rPr>
              <w:t xml:space="preserve"> (TAS)</w:t>
            </w:r>
          </w:p>
        </w:tc>
        <w:tc>
          <w:tcPr>
            <w:tcW w:w="1559" w:type="dxa"/>
            <w:shd w:val="clear" w:color="auto" w:fill="FFFFFF" w:themeFill="background1"/>
          </w:tcPr>
          <w:p w14:paraId="384DC4E6" w14:textId="2F793AEE"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1A878C84" w14:textId="66616144" w:rsidR="000B412A" w:rsidRPr="00D06DB9" w:rsidRDefault="000B412A" w:rsidP="00A04E26">
            <w:pPr>
              <w:pStyle w:val="TableText"/>
              <w:rPr>
                <w:rFonts w:cstheme="minorHAnsi"/>
                <w:szCs w:val="18"/>
              </w:rPr>
            </w:pPr>
            <w:r w:rsidRPr="00A04E26">
              <w:rPr>
                <w:rFonts w:cstheme="minorHAnsi"/>
                <w:szCs w:val="18"/>
              </w:rPr>
              <w:t>No</w:t>
            </w:r>
          </w:p>
        </w:tc>
        <w:tc>
          <w:tcPr>
            <w:tcW w:w="1134" w:type="dxa"/>
            <w:shd w:val="clear" w:color="auto" w:fill="FFFFFF" w:themeFill="background1"/>
          </w:tcPr>
          <w:p w14:paraId="5D265913" w14:textId="4F25E80D" w:rsidR="000B412A" w:rsidRPr="00D06DB9" w:rsidRDefault="000B412A" w:rsidP="00A04E26">
            <w:pPr>
              <w:pStyle w:val="TableText"/>
              <w:rPr>
                <w:rFonts w:cstheme="minorHAnsi"/>
                <w:szCs w:val="18"/>
              </w:rPr>
            </w:pPr>
            <w:r w:rsidRPr="00A04E26">
              <w:rPr>
                <w:rFonts w:cstheme="minorHAnsi"/>
                <w:szCs w:val="18"/>
              </w:rPr>
              <w:t>No</w:t>
            </w:r>
          </w:p>
        </w:tc>
        <w:tc>
          <w:tcPr>
            <w:tcW w:w="3827" w:type="dxa"/>
            <w:shd w:val="clear" w:color="auto" w:fill="FFFFFF" w:themeFill="background1"/>
          </w:tcPr>
          <w:p w14:paraId="233425CA" w14:textId="53CC2635" w:rsidR="000B412A" w:rsidRPr="00D06DB9" w:rsidRDefault="000B412A" w:rsidP="00A04E26">
            <w:pPr>
              <w:pStyle w:val="TableText"/>
              <w:rPr>
                <w:rFonts w:cstheme="minorHAnsi"/>
                <w:szCs w:val="18"/>
              </w:rPr>
            </w:pPr>
            <w:r w:rsidRPr="00A04E26">
              <w:rPr>
                <w:rFonts w:cstheme="minorHAnsi"/>
                <w:szCs w:val="18"/>
              </w:rPr>
              <w:t xml:space="preserve">Listed on the </w:t>
            </w:r>
            <w:proofErr w:type="spellStart"/>
            <w:r w:rsidRPr="00A04E26">
              <w:rPr>
                <w:rFonts w:cstheme="minorHAnsi"/>
                <w:szCs w:val="18"/>
              </w:rPr>
              <w:t>EEPL</w:t>
            </w:r>
            <w:r w:rsidRPr="00A04E26">
              <w:rPr>
                <w:rFonts w:cstheme="minorHAnsi"/>
                <w:b/>
                <w:bCs/>
                <w:szCs w:val="18"/>
                <w:vertAlign w:val="superscript"/>
              </w:rPr>
              <w:t>b</w:t>
            </w:r>
            <w:proofErr w:type="spellEnd"/>
            <w:r w:rsidRPr="00A04E26">
              <w:rPr>
                <w:rFonts w:cstheme="minorHAnsi"/>
                <w:b/>
                <w:bCs/>
                <w:szCs w:val="18"/>
              </w:rPr>
              <w:t>;</w:t>
            </w:r>
            <w:r w:rsidRPr="00A04E26">
              <w:rPr>
                <w:rFonts w:cstheme="minorHAnsi"/>
                <w:szCs w:val="18"/>
              </w:rPr>
              <w:t xml:space="preserve"> listed on state/territory noxious species lists; listed on </w:t>
            </w:r>
            <w:proofErr w:type="spellStart"/>
            <w:r w:rsidRPr="00A04E26">
              <w:rPr>
                <w:rFonts w:cstheme="minorHAnsi"/>
                <w:szCs w:val="18"/>
              </w:rPr>
              <w:t>CCIMPE</w:t>
            </w:r>
            <w:r w:rsidR="00B86203" w:rsidRPr="00A04E26">
              <w:rPr>
                <w:rFonts w:cstheme="minorHAnsi"/>
                <w:b/>
                <w:bCs/>
                <w:szCs w:val="18"/>
                <w:vertAlign w:val="superscript"/>
              </w:rPr>
              <w:t>c</w:t>
            </w:r>
            <w:proofErr w:type="spellEnd"/>
            <w:r w:rsidRPr="00A04E26">
              <w:rPr>
                <w:rFonts w:cstheme="minorHAnsi"/>
                <w:szCs w:val="18"/>
                <w:vertAlign w:val="superscript"/>
              </w:rPr>
              <w:t xml:space="preserve"> </w:t>
            </w:r>
            <w:r w:rsidRPr="00A04E26">
              <w:rPr>
                <w:rFonts w:cstheme="minorHAnsi"/>
                <w:szCs w:val="18"/>
              </w:rPr>
              <w:t>trigger list</w:t>
            </w:r>
          </w:p>
        </w:tc>
        <w:tc>
          <w:tcPr>
            <w:tcW w:w="1418" w:type="dxa"/>
            <w:shd w:val="clear" w:color="auto" w:fill="FFFFFF" w:themeFill="background1"/>
          </w:tcPr>
          <w:p w14:paraId="229A81D6" w14:textId="24FB821F" w:rsidR="000B412A" w:rsidRPr="00D06DB9" w:rsidRDefault="00163F8E" w:rsidP="00A04E26">
            <w:pPr>
              <w:pStyle w:val="TableText"/>
              <w:rPr>
                <w:rFonts w:cstheme="minorHAnsi"/>
                <w:szCs w:val="18"/>
              </w:rPr>
            </w:pPr>
            <w:r w:rsidRPr="00A04E26">
              <w:rPr>
                <w:rFonts w:cstheme="minorHAnsi"/>
                <w:szCs w:val="18"/>
              </w:rPr>
              <w:t>n/a</w:t>
            </w:r>
          </w:p>
        </w:tc>
      </w:tr>
      <w:tr w:rsidR="001914AE" w:rsidRPr="005631FD" w14:paraId="2DDCFF62" w14:textId="77777777" w:rsidTr="001443B7">
        <w:tc>
          <w:tcPr>
            <w:tcW w:w="2694" w:type="dxa"/>
            <w:shd w:val="clear" w:color="auto" w:fill="FFFFFF" w:themeFill="background1"/>
          </w:tcPr>
          <w:p w14:paraId="363ADC08" w14:textId="77777777" w:rsidR="000B412A" w:rsidRPr="00A04E26" w:rsidRDefault="000B412A" w:rsidP="00A04E26">
            <w:pPr>
              <w:pStyle w:val="TableText"/>
              <w:rPr>
                <w:rFonts w:cstheme="minorHAnsi"/>
                <w:i/>
                <w:iCs/>
                <w:szCs w:val="18"/>
              </w:rPr>
            </w:pPr>
            <w:r w:rsidRPr="00A04E26">
              <w:rPr>
                <w:rFonts w:cstheme="minorHAnsi"/>
                <w:i/>
                <w:iCs/>
                <w:szCs w:val="18"/>
              </w:rPr>
              <w:t xml:space="preserve">Mytella strigata </w:t>
            </w:r>
          </w:p>
          <w:p w14:paraId="5E55AEC7" w14:textId="460483A3" w:rsidR="000B412A" w:rsidRPr="00D06DB9" w:rsidRDefault="000B412A" w:rsidP="00A04E26">
            <w:pPr>
              <w:pStyle w:val="TableText"/>
              <w:rPr>
                <w:rFonts w:cstheme="minorHAnsi"/>
                <w:szCs w:val="18"/>
              </w:rPr>
            </w:pPr>
            <w:r w:rsidRPr="00A04E26">
              <w:rPr>
                <w:rFonts w:cstheme="minorHAnsi"/>
                <w:szCs w:val="18"/>
              </w:rPr>
              <w:t>(Charru mussel)</w:t>
            </w:r>
          </w:p>
        </w:tc>
        <w:tc>
          <w:tcPr>
            <w:tcW w:w="1984" w:type="dxa"/>
            <w:shd w:val="clear" w:color="auto" w:fill="FFFFFF" w:themeFill="background1"/>
          </w:tcPr>
          <w:p w14:paraId="181EE5E2" w14:textId="1663087C" w:rsidR="000B412A" w:rsidRPr="00D06DB9" w:rsidRDefault="00F40D92" w:rsidP="00A04E26">
            <w:pPr>
              <w:pStyle w:val="TableText"/>
              <w:rPr>
                <w:rFonts w:cstheme="minorHAnsi"/>
                <w:szCs w:val="18"/>
              </w:rPr>
            </w:pPr>
            <w:r w:rsidRPr="00A04E26">
              <w:rPr>
                <w:rFonts w:cstheme="minorHAnsi"/>
                <w:szCs w:val="18"/>
              </w:rPr>
              <w:t>Recorded</w:t>
            </w:r>
            <w:r w:rsidR="00843A0F" w:rsidRPr="00A04E26">
              <w:rPr>
                <w:rFonts w:cstheme="minorHAnsi"/>
                <w:szCs w:val="18"/>
              </w:rPr>
              <w:t xml:space="preserve"> (NT)</w:t>
            </w:r>
            <w:r w:rsidR="005428CA" w:rsidRPr="00A04E26">
              <w:rPr>
                <w:rFonts w:cstheme="minorHAnsi"/>
                <w:szCs w:val="18"/>
              </w:rPr>
              <w:t xml:space="preserve"> but not established</w:t>
            </w:r>
          </w:p>
        </w:tc>
        <w:tc>
          <w:tcPr>
            <w:tcW w:w="1559" w:type="dxa"/>
            <w:shd w:val="clear" w:color="auto" w:fill="FFFFFF" w:themeFill="background1"/>
          </w:tcPr>
          <w:p w14:paraId="7465BD8E" w14:textId="19184DCD"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7E25E219" w14:textId="149623D4" w:rsidR="000B412A" w:rsidRPr="00D06DB9" w:rsidRDefault="000B412A" w:rsidP="00A04E26">
            <w:pPr>
              <w:pStyle w:val="TableText"/>
              <w:rPr>
                <w:rFonts w:cstheme="minorHAnsi"/>
                <w:szCs w:val="18"/>
              </w:rPr>
            </w:pPr>
            <w:r w:rsidRPr="00A04E26">
              <w:rPr>
                <w:rFonts w:cstheme="minorHAnsi"/>
                <w:szCs w:val="18"/>
              </w:rPr>
              <w:t>Yes</w:t>
            </w:r>
          </w:p>
        </w:tc>
        <w:tc>
          <w:tcPr>
            <w:tcW w:w="1134" w:type="dxa"/>
            <w:shd w:val="clear" w:color="auto" w:fill="FFFFFF" w:themeFill="background1"/>
          </w:tcPr>
          <w:p w14:paraId="0E5FE07B" w14:textId="2623B434" w:rsidR="000B412A" w:rsidRPr="00D06DB9" w:rsidRDefault="000B412A" w:rsidP="00A04E26">
            <w:pPr>
              <w:pStyle w:val="TableText"/>
              <w:rPr>
                <w:rFonts w:cstheme="minorHAnsi"/>
                <w:szCs w:val="18"/>
              </w:rPr>
            </w:pPr>
            <w:r w:rsidRPr="00A04E26">
              <w:rPr>
                <w:rFonts w:cstheme="minorHAnsi"/>
                <w:szCs w:val="18"/>
              </w:rPr>
              <w:t>No</w:t>
            </w:r>
          </w:p>
        </w:tc>
        <w:tc>
          <w:tcPr>
            <w:tcW w:w="3827" w:type="dxa"/>
            <w:shd w:val="clear" w:color="auto" w:fill="FFFFFF" w:themeFill="background1"/>
          </w:tcPr>
          <w:p w14:paraId="0F338ADB" w14:textId="2FAB6925" w:rsidR="000B412A" w:rsidRPr="00D06DB9" w:rsidRDefault="000B412A" w:rsidP="00A04E26">
            <w:pPr>
              <w:pStyle w:val="TableText"/>
              <w:rPr>
                <w:rFonts w:cstheme="minorHAnsi"/>
                <w:szCs w:val="18"/>
              </w:rPr>
            </w:pPr>
            <w:r w:rsidRPr="00A04E26">
              <w:rPr>
                <w:rFonts w:cstheme="minorHAnsi"/>
                <w:szCs w:val="18"/>
              </w:rPr>
              <w:t xml:space="preserve">Listed on the </w:t>
            </w:r>
            <w:proofErr w:type="spellStart"/>
            <w:r w:rsidRPr="00A04E26">
              <w:rPr>
                <w:rFonts w:cstheme="minorHAnsi"/>
                <w:szCs w:val="18"/>
              </w:rPr>
              <w:t>APMPL</w:t>
            </w:r>
            <w:r w:rsidRPr="00A04E26">
              <w:rPr>
                <w:rFonts w:cstheme="minorHAnsi"/>
                <w:b/>
                <w:bCs/>
                <w:szCs w:val="18"/>
                <w:vertAlign w:val="superscript"/>
              </w:rPr>
              <w:t>a</w:t>
            </w:r>
            <w:proofErr w:type="spellEnd"/>
            <w:r w:rsidRPr="00A04E26">
              <w:rPr>
                <w:rFonts w:cstheme="minorHAnsi"/>
                <w:b/>
                <w:bCs/>
                <w:szCs w:val="18"/>
              </w:rPr>
              <w:t xml:space="preserve">; </w:t>
            </w:r>
            <w:r w:rsidRPr="00A04E26">
              <w:rPr>
                <w:rFonts w:cstheme="minorHAnsi"/>
                <w:szCs w:val="18"/>
              </w:rPr>
              <w:t>listed on state/territory noxious species lists</w:t>
            </w:r>
          </w:p>
        </w:tc>
        <w:tc>
          <w:tcPr>
            <w:tcW w:w="1418" w:type="dxa"/>
            <w:shd w:val="clear" w:color="auto" w:fill="FFFFFF" w:themeFill="background1"/>
          </w:tcPr>
          <w:p w14:paraId="4762A190" w14:textId="0C761A75" w:rsidR="000B412A" w:rsidRPr="00D06DB9" w:rsidRDefault="000B412A" w:rsidP="00A04E26">
            <w:pPr>
              <w:pStyle w:val="TableText"/>
              <w:rPr>
                <w:rFonts w:cstheme="minorHAnsi"/>
                <w:szCs w:val="18"/>
              </w:rPr>
            </w:pPr>
            <w:hyperlink r:id="rId42" w:history="1">
              <w:r w:rsidRPr="00A04E26">
                <w:rPr>
                  <w:rStyle w:val="Hyperlink"/>
                  <w:rFonts w:cstheme="minorHAnsi"/>
                  <w:sz w:val="18"/>
                  <w:szCs w:val="18"/>
                </w:rPr>
                <w:t>NIMPIS profile</w:t>
              </w:r>
            </w:hyperlink>
          </w:p>
        </w:tc>
      </w:tr>
      <w:tr w:rsidR="000B412A" w:rsidRPr="005631FD" w14:paraId="4C0D8E5A" w14:textId="77777777" w:rsidTr="00A04E26">
        <w:tc>
          <w:tcPr>
            <w:tcW w:w="2694" w:type="dxa"/>
            <w:shd w:val="clear" w:color="auto" w:fill="FFFFFF" w:themeFill="background1"/>
          </w:tcPr>
          <w:p w14:paraId="2C7528C7" w14:textId="77777777" w:rsidR="000B412A" w:rsidRPr="00A04E26" w:rsidRDefault="000B412A" w:rsidP="00A04E26">
            <w:pPr>
              <w:pStyle w:val="TableText"/>
              <w:rPr>
                <w:rFonts w:cstheme="minorHAnsi"/>
                <w:i/>
                <w:iCs/>
                <w:szCs w:val="18"/>
              </w:rPr>
            </w:pPr>
            <w:r w:rsidRPr="00A04E26">
              <w:rPr>
                <w:rFonts w:cstheme="minorHAnsi"/>
                <w:i/>
                <w:iCs/>
                <w:szCs w:val="18"/>
              </w:rPr>
              <w:t xml:space="preserve">Mytilopsis sallei </w:t>
            </w:r>
          </w:p>
          <w:p w14:paraId="6A64C9D5" w14:textId="7009364D" w:rsidR="000B412A" w:rsidRPr="00D06DB9" w:rsidRDefault="000B412A" w:rsidP="00A04E26">
            <w:pPr>
              <w:pStyle w:val="TableText"/>
              <w:rPr>
                <w:rFonts w:cstheme="minorHAnsi"/>
                <w:szCs w:val="18"/>
              </w:rPr>
            </w:pPr>
            <w:r w:rsidRPr="00A04E26">
              <w:rPr>
                <w:rFonts w:cstheme="minorHAnsi"/>
                <w:szCs w:val="18"/>
              </w:rPr>
              <w:t>(Black-striped false mussel)</w:t>
            </w:r>
          </w:p>
        </w:tc>
        <w:tc>
          <w:tcPr>
            <w:tcW w:w="1984" w:type="dxa"/>
            <w:shd w:val="clear" w:color="auto" w:fill="FFFFFF" w:themeFill="background1"/>
          </w:tcPr>
          <w:p w14:paraId="379FEC9C" w14:textId="704946B3" w:rsidR="000B412A" w:rsidRPr="00D06DB9" w:rsidRDefault="005428CA" w:rsidP="00A04E26">
            <w:pPr>
              <w:pStyle w:val="TableText"/>
              <w:rPr>
                <w:rFonts w:cstheme="minorHAnsi"/>
                <w:szCs w:val="18"/>
              </w:rPr>
            </w:pPr>
            <w:r w:rsidRPr="00A04E26">
              <w:rPr>
                <w:rFonts w:cstheme="minorHAnsi"/>
                <w:szCs w:val="18"/>
              </w:rPr>
              <w:t>Recorded</w:t>
            </w:r>
            <w:r w:rsidR="00843A0F" w:rsidRPr="00A04E26">
              <w:rPr>
                <w:rFonts w:cstheme="minorHAnsi"/>
                <w:szCs w:val="18"/>
              </w:rPr>
              <w:t xml:space="preserve"> (NT)</w:t>
            </w:r>
            <w:r w:rsidRPr="00A04E26">
              <w:rPr>
                <w:rFonts w:cstheme="minorHAnsi"/>
                <w:szCs w:val="18"/>
              </w:rPr>
              <w:t xml:space="preserve"> but not established</w:t>
            </w:r>
          </w:p>
        </w:tc>
        <w:tc>
          <w:tcPr>
            <w:tcW w:w="1559" w:type="dxa"/>
            <w:shd w:val="clear" w:color="auto" w:fill="FFFFFF" w:themeFill="background1"/>
          </w:tcPr>
          <w:p w14:paraId="0D44FCA9" w14:textId="536B5E26"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2A9D86A9" w14:textId="0AEC6865" w:rsidR="000B412A" w:rsidRPr="00D06DB9" w:rsidRDefault="000B412A" w:rsidP="00A04E26">
            <w:pPr>
              <w:pStyle w:val="TableText"/>
              <w:rPr>
                <w:rFonts w:cstheme="minorHAnsi"/>
                <w:szCs w:val="18"/>
              </w:rPr>
            </w:pPr>
            <w:r w:rsidRPr="00A04E26">
              <w:rPr>
                <w:rFonts w:cstheme="minorHAnsi"/>
                <w:szCs w:val="18"/>
              </w:rPr>
              <w:t>Yes</w:t>
            </w:r>
          </w:p>
        </w:tc>
        <w:tc>
          <w:tcPr>
            <w:tcW w:w="1134" w:type="dxa"/>
            <w:shd w:val="clear" w:color="auto" w:fill="FFFFFF" w:themeFill="background1"/>
          </w:tcPr>
          <w:p w14:paraId="7843BBC3" w14:textId="53A99E66" w:rsidR="000B412A" w:rsidRPr="00D06DB9" w:rsidRDefault="000B412A" w:rsidP="00A04E26">
            <w:pPr>
              <w:pStyle w:val="TableText"/>
              <w:rPr>
                <w:rFonts w:cstheme="minorHAnsi"/>
                <w:szCs w:val="18"/>
              </w:rPr>
            </w:pPr>
            <w:r w:rsidRPr="00A04E26">
              <w:rPr>
                <w:rFonts w:cstheme="minorHAnsi"/>
                <w:szCs w:val="18"/>
              </w:rPr>
              <w:t>Yes</w:t>
            </w:r>
          </w:p>
        </w:tc>
        <w:tc>
          <w:tcPr>
            <w:tcW w:w="3827" w:type="dxa"/>
            <w:shd w:val="clear" w:color="auto" w:fill="FFFFFF" w:themeFill="background1"/>
          </w:tcPr>
          <w:p w14:paraId="598714C9" w14:textId="22312616" w:rsidR="000B412A" w:rsidRPr="00D06DB9" w:rsidRDefault="000B412A" w:rsidP="00A04E26">
            <w:pPr>
              <w:pStyle w:val="TableText"/>
              <w:rPr>
                <w:rFonts w:cstheme="minorHAnsi"/>
                <w:szCs w:val="18"/>
              </w:rPr>
            </w:pPr>
            <w:r w:rsidRPr="00A04E26">
              <w:rPr>
                <w:rFonts w:cstheme="minorHAnsi"/>
                <w:szCs w:val="18"/>
              </w:rPr>
              <w:t xml:space="preserve">Listed on the </w:t>
            </w:r>
            <w:proofErr w:type="spellStart"/>
            <w:r w:rsidRPr="00A04E26">
              <w:rPr>
                <w:rFonts w:cstheme="minorHAnsi"/>
                <w:szCs w:val="18"/>
              </w:rPr>
              <w:t>APMPL</w:t>
            </w:r>
            <w:r w:rsidRPr="00A04E26">
              <w:rPr>
                <w:rFonts w:cstheme="minorHAnsi"/>
                <w:b/>
                <w:bCs/>
                <w:szCs w:val="18"/>
                <w:vertAlign w:val="superscript"/>
              </w:rPr>
              <w:t>a</w:t>
            </w:r>
            <w:proofErr w:type="spellEnd"/>
            <w:r w:rsidRPr="00A04E26">
              <w:rPr>
                <w:rFonts w:cstheme="minorHAnsi"/>
                <w:szCs w:val="18"/>
              </w:rPr>
              <w:t xml:space="preserve"> and </w:t>
            </w:r>
            <w:proofErr w:type="spellStart"/>
            <w:r w:rsidRPr="00A04E26">
              <w:rPr>
                <w:rFonts w:cstheme="minorHAnsi"/>
                <w:szCs w:val="18"/>
              </w:rPr>
              <w:t>EEPL</w:t>
            </w:r>
            <w:r w:rsidRPr="00A04E26">
              <w:rPr>
                <w:rFonts w:cstheme="minorHAnsi"/>
                <w:b/>
                <w:bCs/>
                <w:szCs w:val="18"/>
                <w:vertAlign w:val="superscript"/>
              </w:rPr>
              <w:t>b</w:t>
            </w:r>
            <w:proofErr w:type="spellEnd"/>
            <w:r w:rsidRPr="00A04E26">
              <w:rPr>
                <w:rFonts w:cstheme="minorHAnsi"/>
                <w:szCs w:val="18"/>
              </w:rPr>
              <w:t xml:space="preserve">; listed on state/territory noxious species lists; listed on </w:t>
            </w:r>
            <w:proofErr w:type="spellStart"/>
            <w:r w:rsidRPr="00A04E26">
              <w:rPr>
                <w:rFonts w:cstheme="minorHAnsi"/>
                <w:szCs w:val="18"/>
              </w:rPr>
              <w:t>CCIMPE</w:t>
            </w:r>
            <w:r w:rsidR="00B86203" w:rsidRPr="00A04E26">
              <w:rPr>
                <w:rFonts w:cstheme="minorHAnsi"/>
                <w:b/>
                <w:bCs/>
                <w:szCs w:val="18"/>
                <w:vertAlign w:val="superscript"/>
              </w:rPr>
              <w:t>c</w:t>
            </w:r>
            <w:proofErr w:type="spellEnd"/>
            <w:r w:rsidRPr="00A04E26">
              <w:rPr>
                <w:rFonts w:cstheme="minorHAnsi"/>
                <w:szCs w:val="18"/>
                <w:vertAlign w:val="superscript"/>
              </w:rPr>
              <w:t xml:space="preserve"> </w:t>
            </w:r>
            <w:r w:rsidRPr="00A04E26">
              <w:rPr>
                <w:rFonts w:cstheme="minorHAnsi"/>
                <w:szCs w:val="18"/>
              </w:rPr>
              <w:t>trigger list</w:t>
            </w:r>
          </w:p>
        </w:tc>
        <w:tc>
          <w:tcPr>
            <w:tcW w:w="1418" w:type="dxa"/>
            <w:shd w:val="clear" w:color="auto" w:fill="FFFFFF" w:themeFill="background1"/>
          </w:tcPr>
          <w:p w14:paraId="2E35410E" w14:textId="3E01112A" w:rsidR="000B412A" w:rsidRPr="00D06DB9" w:rsidRDefault="000B412A" w:rsidP="00A04E26">
            <w:pPr>
              <w:pStyle w:val="TableText"/>
              <w:rPr>
                <w:rFonts w:cstheme="minorHAnsi"/>
                <w:szCs w:val="18"/>
              </w:rPr>
            </w:pPr>
            <w:hyperlink r:id="rId43" w:history="1">
              <w:r w:rsidRPr="00A04E26">
                <w:rPr>
                  <w:rStyle w:val="Hyperlink"/>
                  <w:rFonts w:cstheme="minorHAnsi"/>
                  <w:sz w:val="18"/>
                  <w:szCs w:val="18"/>
                </w:rPr>
                <w:t>NIMPIS profile</w:t>
              </w:r>
            </w:hyperlink>
          </w:p>
        </w:tc>
      </w:tr>
      <w:tr w:rsidR="001443B7" w:rsidRPr="005631FD" w14:paraId="311EBFEE" w14:textId="77777777" w:rsidTr="001443B7">
        <w:tc>
          <w:tcPr>
            <w:tcW w:w="2694" w:type="dxa"/>
            <w:shd w:val="clear" w:color="auto" w:fill="FFFFFF" w:themeFill="background1"/>
          </w:tcPr>
          <w:p w14:paraId="1B974198" w14:textId="77777777" w:rsidR="000B412A" w:rsidRPr="00A04E26" w:rsidRDefault="000B412A" w:rsidP="00A04E26">
            <w:pPr>
              <w:pStyle w:val="TableText"/>
              <w:rPr>
                <w:rFonts w:cstheme="minorHAnsi"/>
                <w:i/>
                <w:iCs/>
                <w:szCs w:val="18"/>
              </w:rPr>
            </w:pPr>
            <w:r w:rsidRPr="00A04E26">
              <w:rPr>
                <w:rFonts w:cstheme="minorHAnsi"/>
                <w:i/>
                <w:iCs/>
                <w:szCs w:val="18"/>
              </w:rPr>
              <w:t xml:space="preserve">Perna canaliculus </w:t>
            </w:r>
          </w:p>
          <w:p w14:paraId="26568919" w14:textId="7D9A17FD" w:rsidR="000B412A" w:rsidRPr="00D06DB9" w:rsidRDefault="000B412A" w:rsidP="00A04E26">
            <w:pPr>
              <w:pStyle w:val="TableText"/>
              <w:rPr>
                <w:rFonts w:cstheme="minorHAnsi"/>
                <w:szCs w:val="18"/>
              </w:rPr>
            </w:pPr>
            <w:r w:rsidRPr="00A04E26">
              <w:rPr>
                <w:rFonts w:cstheme="minorHAnsi"/>
                <w:szCs w:val="18"/>
              </w:rPr>
              <w:t>(New Zealand green-lipped mussel)</w:t>
            </w:r>
          </w:p>
        </w:tc>
        <w:tc>
          <w:tcPr>
            <w:tcW w:w="1984" w:type="dxa"/>
            <w:shd w:val="clear" w:color="auto" w:fill="FFFFFF" w:themeFill="background1"/>
          </w:tcPr>
          <w:p w14:paraId="60D64472" w14:textId="462A3012" w:rsidR="000B412A" w:rsidRPr="00D06DB9" w:rsidRDefault="005428CA" w:rsidP="00A04E26">
            <w:pPr>
              <w:pStyle w:val="TableText"/>
              <w:rPr>
                <w:rFonts w:cstheme="minorHAnsi"/>
                <w:szCs w:val="18"/>
              </w:rPr>
            </w:pPr>
            <w:r w:rsidRPr="00A04E26">
              <w:rPr>
                <w:rFonts w:cstheme="minorHAnsi"/>
                <w:szCs w:val="18"/>
              </w:rPr>
              <w:t xml:space="preserve">Recorded </w:t>
            </w:r>
            <w:r w:rsidR="00843A0F" w:rsidRPr="00A04E26">
              <w:rPr>
                <w:rFonts w:cstheme="minorHAnsi"/>
                <w:szCs w:val="18"/>
              </w:rPr>
              <w:t xml:space="preserve">(SA, VIC) </w:t>
            </w:r>
            <w:r w:rsidRPr="00A04E26">
              <w:rPr>
                <w:rFonts w:cstheme="minorHAnsi"/>
                <w:szCs w:val="18"/>
              </w:rPr>
              <w:t>but not established</w:t>
            </w:r>
          </w:p>
        </w:tc>
        <w:tc>
          <w:tcPr>
            <w:tcW w:w="1559" w:type="dxa"/>
            <w:shd w:val="clear" w:color="auto" w:fill="FFFFFF" w:themeFill="background1"/>
          </w:tcPr>
          <w:p w14:paraId="170CA461" w14:textId="2E1B7BD9"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5B0AE458" w14:textId="44E38647" w:rsidR="000B412A" w:rsidRPr="00D06DB9" w:rsidRDefault="000B412A" w:rsidP="00A04E26">
            <w:pPr>
              <w:pStyle w:val="TableText"/>
              <w:rPr>
                <w:rFonts w:cstheme="minorHAnsi"/>
                <w:szCs w:val="18"/>
              </w:rPr>
            </w:pPr>
            <w:r w:rsidRPr="00A04E26">
              <w:rPr>
                <w:rFonts w:cstheme="minorHAnsi"/>
                <w:szCs w:val="18"/>
              </w:rPr>
              <w:t>Yes</w:t>
            </w:r>
          </w:p>
        </w:tc>
        <w:tc>
          <w:tcPr>
            <w:tcW w:w="1134" w:type="dxa"/>
            <w:shd w:val="clear" w:color="auto" w:fill="FFFFFF" w:themeFill="background1"/>
          </w:tcPr>
          <w:p w14:paraId="4BE6EC45" w14:textId="21B009E6" w:rsidR="000B412A" w:rsidRPr="00D06DB9" w:rsidRDefault="000B412A" w:rsidP="00A04E26">
            <w:pPr>
              <w:pStyle w:val="TableText"/>
              <w:rPr>
                <w:rFonts w:cstheme="minorHAnsi"/>
                <w:szCs w:val="18"/>
              </w:rPr>
            </w:pPr>
            <w:r w:rsidRPr="00A04E26">
              <w:rPr>
                <w:rFonts w:cstheme="minorHAnsi"/>
                <w:szCs w:val="18"/>
              </w:rPr>
              <w:t>Yes</w:t>
            </w:r>
          </w:p>
        </w:tc>
        <w:tc>
          <w:tcPr>
            <w:tcW w:w="3827" w:type="dxa"/>
            <w:shd w:val="clear" w:color="auto" w:fill="FFFFFF" w:themeFill="background1"/>
          </w:tcPr>
          <w:p w14:paraId="7502E6E9" w14:textId="465E7694" w:rsidR="000B412A" w:rsidRPr="00D06DB9" w:rsidRDefault="000B412A" w:rsidP="00A04E26">
            <w:pPr>
              <w:pStyle w:val="TableText"/>
              <w:rPr>
                <w:rFonts w:cstheme="minorHAnsi"/>
                <w:szCs w:val="18"/>
              </w:rPr>
            </w:pPr>
            <w:r w:rsidRPr="00A04E26">
              <w:rPr>
                <w:rFonts w:cstheme="minorHAnsi"/>
                <w:szCs w:val="18"/>
              </w:rPr>
              <w:t xml:space="preserve">Listed on the </w:t>
            </w:r>
            <w:proofErr w:type="spellStart"/>
            <w:r w:rsidRPr="00A04E26">
              <w:rPr>
                <w:rFonts w:cstheme="minorHAnsi"/>
                <w:szCs w:val="18"/>
              </w:rPr>
              <w:t>APMPL</w:t>
            </w:r>
            <w:r w:rsidRPr="00A04E26">
              <w:rPr>
                <w:rFonts w:cstheme="minorHAnsi"/>
                <w:b/>
                <w:bCs/>
                <w:szCs w:val="18"/>
                <w:vertAlign w:val="superscript"/>
              </w:rPr>
              <w:t>a</w:t>
            </w:r>
            <w:proofErr w:type="spellEnd"/>
            <w:r w:rsidRPr="00A04E26">
              <w:rPr>
                <w:rFonts w:cstheme="minorHAnsi"/>
                <w:b/>
                <w:bCs/>
                <w:szCs w:val="18"/>
                <w:vertAlign w:val="superscript"/>
              </w:rPr>
              <w:t xml:space="preserve"> </w:t>
            </w:r>
            <w:r w:rsidRPr="00A04E26">
              <w:rPr>
                <w:rFonts w:cstheme="minorHAnsi"/>
                <w:szCs w:val="18"/>
              </w:rPr>
              <w:t xml:space="preserve">and </w:t>
            </w:r>
            <w:proofErr w:type="spellStart"/>
            <w:r w:rsidRPr="00A04E26">
              <w:rPr>
                <w:rFonts w:cstheme="minorHAnsi"/>
                <w:szCs w:val="18"/>
              </w:rPr>
              <w:t>EEPL</w:t>
            </w:r>
            <w:r w:rsidRPr="00A04E26">
              <w:rPr>
                <w:rFonts w:cstheme="minorHAnsi"/>
                <w:b/>
                <w:bCs/>
                <w:szCs w:val="18"/>
                <w:vertAlign w:val="superscript"/>
              </w:rPr>
              <w:t>b</w:t>
            </w:r>
            <w:proofErr w:type="spellEnd"/>
            <w:r w:rsidRPr="00A04E26">
              <w:rPr>
                <w:rFonts w:cstheme="minorHAnsi"/>
                <w:b/>
                <w:bCs/>
                <w:szCs w:val="18"/>
              </w:rPr>
              <w:t>;</w:t>
            </w:r>
            <w:r w:rsidRPr="00A04E26">
              <w:rPr>
                <w:rFonts w:cstheme="minorHAnsi"/>
                <w:szCs w:val="18"/>
              </w:rPr>
              <w:t xml:space="preserve"> listed on state/territory noxious species lists</w:t>
            </w:r>
          </w:p>
        </w:tc>
        <w:tc>
          <w:tcPr>
            <w:tcW w:w="1418" w:type="dxa"/>
            <w:shd w:val="clear" w:color="auto" w:fill="FFFFFF" w:themeFill="background1"/>
          </w:tcPr>
          <w:p w14:paraId="0B615C4D" w14:textId="7258A8F8" w:rsidR="000B412A" w:rsidRPr="00D06DB9" w:rsidRDefault="000B412A" w:rsidP="00A04E26">
            <w:pPr>
              <w:pStyle w:val="TableText"/>
              <w:rPr>
                <w:rFonts w:cstheme="minorHAnsi"/>
                <w:szCs w:val="18"/>
              </w:rPr>
            </w:pPr>
            <w:hyperlink r:id="rId44" w:history="1">
              <w:r w:rsidRPr="00A04E26">
                <w:rPr>
                  <w:rStyle w:val="Hyperlink"/>
                  <w:rFonts w:cstheme="minorHAnsi"/>
                  <w:sz w:val="18"/>
                  <w:szCs w:val="18"/>
                </w:rPr>
                <w:t>NIMPIS profile</w:t>
              </w:r>
            </w:hyperlink>
          </w:p>
        </w:tc>
      </w:tr>
      <w:tr w:rsidR="000B412A" w:rsidRPr="005631FD" w14:paraId="75ABF466" w14:textId="77777777" w:rsidTr="00A04E26">
        <w:tc>
          <w:tcPr>
            <w:tcW w:w="2694" w:type="dxa"/>
            <w:shd w:val="clear" w:color="auto" w:fill="FFFFFF" w:themeFill="background1"/>
          </w:tcPr>
          <w:p w14:paraId="1C56E049" w14:textId="77777777" w:rsidR="000B412A" w:rsidRPr="00A04E26" w:rsidRDefault="000B412A" w:rsidP="00A04E26">
            <w:pPr>
              <w:pStyle w:val="TableText"/>
              <w:rPr>
                <w:rFonts w:cstheme="minorHAnsi"/>
                <w:i/>
                <w:iCs/>
                <w:szCs w:val="18"/>
              </w:rPr>
            </w:pPr>
            <w:r w:rsidRPr="00A04E26">
              <w:rPr>
                <w:rFonts w:cstheme="minorHAnsi"/>
                <w:i/>
                <w:iCs/>
                <w:szCs w:val="18"/>
              </w:rPr>
              <w:t xml:space="preserve">Perna </w:t>
            </w:r>
            <w:proofErr w:type="spellStart"/>
            <w:r w:rsidRPr="00A04E26">
              <w:rPr>
                <w:rFonts w:cstheme="minorHAnsi"/>
                <w:i/>
                <w:iCs/>
                <w:szCs w:val="18"/>
              </w:rPr>
              <w:t>perna</w:t>
            </w:r>
            <w:proofErr w:type="spellEnd"/>
            <w:r w:rsidRPr="00A04E26">
              <w:rPr>
                <w:rFonts w:cstheme="minorHAnsi"/>
                <w:i/>
                <w:iCs/>
                <w:szCs w:val="18"/>
              </w:rPr>
              <w:t xml:space="preserve"> </w:t>
            </w:r>
          </w:p>
          <w:p w14:paraId="5E8621B7" w14:textId="233DFE70" w:rsidR="000B412A" w:rsidRPr="00D06DB9" w:rsidRDefault="000B412A" w:rsidP="00A04E26">
            <w:pPr>
              <w:pStyle w:val="TableText"/>
              <w:rPr>
                <w:rFonts w:cstheme="minorHAnsi"/>
                <w:szCs w:val="18"/>
              </w:rPr>
            </w:pPr>
            <w:r w:rsidRPr="00A04E26">
              <w:rPr>
                <w:rFonts w:cstheme="minorHAnsi"/>
                <w:szCs w:val="18"/>
              </w:rPr>
              <w:t>(Brown mussel)</w:t>
            </w:r>
          </w:p>
        </w:tc>
        <w:tc>
          <w:tcPr>
            <w:tcW w:w="1984" w:type="dxa"/>
            <w:shd w:val="clear" w:color="auto" w:fill="FFFFFF" w:themeFill="background1"/>
          </w:tcPr>
          <w:p w14:paraId="5AC85F0B" w14:textId="4C3859FA" w:rsidR="000B412A" w:rsidRPr="00D06DB9" w:rsidRDefault="005428CA" w:rsidP="00A04E26">
            <w:pPr>
              <w:pStyle w:val="TableText"/>
              <w:rPr>
                <w:rFonts w:cstheme="minorHAnsi"/>
                <w:szCs w:val="18"/>
              </w:rPr>
            </w:pPr>
            <w:r w:rsidRPr="00A04E26">
              <w:rPr>
                <w:rFonts w:cstheme="minorHAnsi"/>
                <w:szCs w:val="18"/>
              </w:rPr>
              <w:t>Not</w:t>
            </w:r>
            <w:r w:rsidR="00843A0F" w:rsidRPr="00A04E26">
              <w:rPr>
                <w:rFonts w:cstheme="minorHAnsi"/>
                <w:szCs w:val="18"/>
              </w:rPr>
              <w:t xml:space="preserve"> </w:t>
            </w:r>
            <w:r w:rsidR="000B412A" w:rsidRPr="00A04E26">
              <w:rPr>
                <w:rFonts w:cstheme="minorHAnsi"/>
                <w:szCs w:val="18"/>
              </w:rPr>
              <w:t>recorded</w:t>
            </w:r>
          </w:p>
        </w:tc>
        <w:tc>
          <w:tcPr>
            <w:tcW w:w="1559" w:type="dxa"/>
            <w:shd w:val="clear" w:color="auto" w:fill="FFFFFF" w:themeFill="background1"/>
          </w:tcPr>
          <w:p w14:paraId="53F3029C" w14:textId="22B319E0"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2CB7FDCE" w14:textId="00359818" w:rsidR="000B412A" w:rsidRPr="00D06DB9" w:rsidRDefault="000B412A" w:rsidP="00A04E26">
            <w:pPr>
              <w:pStyle w:val="TableText"/>
              <w:rPr>
                <w:rFonts w:cstheme="minorHAnsi"/>
                <w:szCs w:val="18"/>
              </w:rPr>
            </w:pPr>
            <w:r w:rsidRPr="00A04E26">
              <w:rPr>
                <w:rFonts w:cstheme="minorHAnsi"/>
                <w:szCs w:val="18"/>
              </w:rPr>
              <w:t>Yes</w:t>
            </w:r>
          </w:p>
        </w:tc>
        <w:tc>
          <w:tcPr>
            <w:tcW w:w="1134" w:type="dxa"/>
            <w:shd w:val="clear" w:color="auto" w:fill="FFFFFF" w:themeFill="background1"/>
          </w:tcPr>
          <w:p w14:paraId="2990873A" w14:textId="580C2555" w:rsidR="000B412A" w:rsidRPr="00D06DB9" w:rsidRDefault="000B412A" w:rsidP="00A04E26">
            <w:pPr>
              <w:pStyle w:val="TableText"/>
              <w:rPr>
                <w:rFonts w:cstheme="minorHAnsi"/>
                <w:szCs w:val="18"/>
              </w:rPr>
            </w:pPr>
            <w:r w:rsidRPr="00A04E26">
              <w:rPr>
                <w:rFonts w:cstheme="minorHAnsi"/>
                <w:szCs w:val="18"/>
              </w:rPr>
              <w:t>Yes</w:t>
            </w:r>
          </w:p>
        </w:tc>
        <w:tc>
          <w:tcPr>
            <w:tcW w:w="3827" w:type="dxa"/>
            <w:shd w:val="clear" w:color="auto" w:fill="FFFFFF" w:themeFill="background1"/>
          </w:tcPr>
          <w:p w14:paraId="28A0892C" w14:textId="5CCF07CF" w:rsidR="000B412A" w:rsidRPr="00D06DB9" w:rsidRDefault="000B412A" w:rsidP="00A04E26">
            <w:pPr>
              <w:pStyle w:val="TableText"/>
              <w:rPr>
                <w:rFonts w:cstheme="minorHAnsi"/>
                <w:szCs w:val="18"/>
              </w:rPr>
            </w:pPr>
            <w:r w:rsidRPr="00A04E26">
              <w:rPr>
                <w:rFonts w:cstheme="minorHAnsi"/>
                <w:szCs w:val="18"/>
              </w:rPr>
              <w:t xml:space="preserve">Listed on the </w:t>
            </w:r>
            <w:proofErr w:type="spellStart"/>
            <w:r w:rsidRPr="00A04E26">
              <w:rPr>
                <w:rFonts w:cstheme="minorHAnsi"/>
                <w:szCs w:val="18"/>
              </w:rPr>
              <w:t>APMPL</w:t>
            </w:r>
            <w:r w:rsidRPr="00A04E26">
              <w:rPr>
                <w:rFonts w:cstheme="minorHAnsi"/>
                <w:b/>
                <w:bCs/>
                <w:szCs w:val="18"/>
                <w:vertAlign w:val="superscript"/>
              </w:rPr>
              <w:t>a</w:t>
            </w:r>
            <w:proofErr w:type="spellEnd"/>
            <w:r w:rsidRPr="00A04E26">
              <w:rPr>
                <w:rFonts w:cstheme="minorHAnsi"/>
                <w:b/>
                <w:bCs/>
                <w:szCs w:val="18"/>
                <w:vertAlign w:val="superscript"/>
              </w:rPr>
              <w:t xml:space="preserve"> </w:t>
            </w:r>
            <w:r w:rsidRPr="00A04E26">
              <w:rPr>
                <w:rFonts w:cstheme="minorHAnsi"/>
                <w:szCs w:val="18"/>
              </w:rPr>
              <w:t xml:space="preserve">and </w:t>
            </w:r>
            <w:proofErr w:type="spellStart"/>
            <w:r w:rsidRPr="00A04E26">
              <w:rPr>
                <w:rFonts w:cstheme="minorHAnsi"/>
                <w:szCs w:val="18"/>
              </w:rPr>
              <w:t>EEPL</w:t>
            </w:r>
            <w:r w:rsidRPr="00A04E26">
              <w:rPr>
                <w:rFonts w:cstheme="minorHAnsi"/>
                <w:b/>
                <w:bCs/>
                <w:szCs w:val="18"/>
                <w:vertAlign w:val="superscript"/>
              </w:rPr>
              <w:t>b</w:t>
            </w:r>
            <w:proofErr w:type="spellEnd"/>
            <w:r w:rsidRPr="00A04E26">
              <w:rPr>
                <w:rFonts w:cstheme="minorHAnsi"/>
                <w:b/>
                <w:bCs/>
                <w:szCs w:val="18"/>
              </w:rPr>
              <w:t>;</w:t>
            </w:r>
            <w:r w:rsidRPr="00A04E26">
              <w:rPr>
                <w:rFonts w:cstheme="minorHAnsi"/>
                <w:szCs w:val="18"/>
              </w:rPr>
              <w:t xml:space="preserve"> listed on state/territory noxious species lists; listed on </w:t>
            </w:r>
            <w:proofErr w:type="spellStart"/>
            <w:r w:rsidRPr="00A04E26">
              <w:rPr>
                <w:rFonts w:cstheme="minorHAnsi"/>
                <w:szCs w:val="18"/>
              </w:rPr>
              <w:t>CCIMPE</w:t>
            </w:r>
            <w:r w:rsidR="00B86203" w:rsidRPr="00A04E26">
              <w:rPr>
                <w:rFonts w:cstheme="minorHAnsi"/>
                <w:b/>
                <w:bCs/>
                <w:szCs w:val="18"/>
                <w:vertAlign w:val="superscript"/>
              </w:rPr>
              <w:t>c</w:t>
            </w:r>
            <w:proofErr w:type="spellEnd"/>
            <w:r w:rsidRPr="00A04E26">
              <w:rPr>
                <w:rFonts w:cstheme="minorHAnsi"/>
                <w:szCs w:val="18"/>
                <w:vertAlign w:val="superscript"/>
              </w:rPr>
              <w:t xml:space="preserve"> </w:t>
            </w:r>
            <w:r w:rsidRPr="00A04E26">
              <w:rPr>
                <w:rFonts w:cstheme="minorHAnsi"/>
                <w:szCs w:val="18"/>
              </w:rPr>
              <w:t>trigger list</w:t>
            </w:r>
          </w:p>
        </w:tc>
        <w:tc>
          <w:tcPr>
            <w:tcW w:w="1418" w:type="dxa"/>
            <w:shd w:val="clear" w:color="auto" w:fill="FFFFFF" w:themeFill="background1"/>
          </w:tcPr>
          <w:p w14:paraId="31BB334E" w14:textId="395C2B8E" w:rsidR="000B412A" w:rsidRPr="00D06DB9" w:rsidRDefault="000B412A" w:rsidP="00A04E26">
            <w:pPr>
              <w:pStyle w:val="TableText"/>
              <w:rPr>
                <w:rFonts w:cstheme="minorHAnsi"/>
                <w:szCs w:val="18"/>
              </w:rPr>
            </w:pPr>
            <w:hyperlink r:id="rId45" w:history="1">
              <w:r w:rsidRPr="00A04E26">
                <w:rPr>
                  <w:rStyle w:val="Hyperlink"/>
                  <w:rFonts w:cstheme="minorHAnsi"/>
                  <w:sz w:val="18"/>
                  <w:szCs w:val="18"/>
                </w:rPr>
                <w:t>NIMPIS profile</w:t>
              </w:r>
            </w:hyperlink>
          </w:p>
        </w:tc>
      </w:tr>
      <w:tr w:rsidR="001914AE" w:rsidRPr="005631FD" w14:paraId="7D9246AA" w14:textId="77777777" w:rsidTr="001443B7">
        <w:tc>
          <w:tcPr>
            <w:tcW w:w="2694" w:type="dxa"/>
            <w:shd w:val="clear" w:color="auto" w:fill="FFFFFF" w:themeFill="background1"/>
          </w:tcPr>
          <w:p w14:paraId="5E19EB79" w14:textId="77777777" w:rsidR="000B412A" w:rsidRPr="00A04E26" w:rsidRDefault="000B412A" w:rsidP="00A04E26">
            <w:pPr>
              <w:pStyle w:val="TableText"/>
              <w:rPr>
                <w:rFonts w:cstheme="minorHAnsi"/>
                <w:i/>
                <w:iCs/>
                <w:szCs w:val="18"/>
              </w:rPr>
            </w:pPr>
            <w:r w:rsidRPr="00A04E26">
              <w:rPr>
                <w:rFonts w:cstheme="minorHAnsi"/>
                <w:i/>
                <w:iCs/>
                <w:szCs w:val="18"/>
              </w:rPr>
              <w:lastRenderedPageBreak/>
              <w:t xml:space="preserve">Perna viridis </w:t>
            </w:r>
          </w:p>
          <w:p w14:paraId="35F05688" w14:textId="5A03C7EE" w:rsidR="000B412A" w:rsidRPr="00D06DB9" w:rsidRDefault="000B412A" w:rsidP="00A04E26">
            <w:pPr>
              <w:pStyle w:val="TableText"/>
              <w:rPr>
                <w:rFonts w:cstheme="minorHAnsi"/>
                <w:szCs w:val="18"/>
              </w:rPr>
            </w:pPr>
            <w:r w:rsidRPr="00A04E26">
              <w:rPr>
                <w:rFonts w:cstheme="minorHAnsi"/>
                <w:szCs w:val="18"/>
              </w:rPr>
              <w:t>(Asian green mussel)</w:t>
            </w:r>
          </w:p>
        </w:tc>
        <w:tc>
          <w:tcPr>
            <w:tcW w:w="1984" w:type="dxa"/>
            <w:shd w:val="clear" w:color="auto" w:fill="FFFFFF" w:themeFill="background1"/>
          </w:tcPr>
          <w:p w14:paraId="603474F9" w14:textId="28E0AF1A" w:rsidR="000B412A" w:rsidRPr="00D06DB9" w:rsidRDefault="005428CA" w:rsidP="00A04E26">
            <w:pPr>
              <w:pStyle w:val="TableText"/>
              <w:rPr>
                <w:rFonts w:cstheme="minorHAnsi"/>
                <w:szCs w:val="18"/>
              </w:rPr>
            </w:pPr>
            <w:r w:rsidRPr="00A04E26">
              <w:rPr>
                <w:rFonts w:cstheme="minorHAnsi"/>
                <w:szCs w:val="18"/>
              </w:rPr>
              <w:t>Recorded</w:t>
            </w:r>
            <w:r w:rsidR="00843A0F" w:rsidRPr="00A04E26">
              <w:rPr>
                <w:rFonts w:cstheme="minorHAnsi"/>
                <w:szCs w:val="18"/>
              </w:rPr>
              <w:t xml:space="preserve"> (NT, QLD, WA)</w:t>
            </w:r>
            <w:r w:rsidRPr="00A04E26">
              <w:rPr>
                <w:rFonts w:cstheme="minorHAnsi"/>
                <w:szCs w:val="18"/>
              </w:rPr>
              <w:t xml:space="preserve"> but not established</w:t>
            </w:r>
          </w:p>
        </w:tc>
        <w:tc>
          <w:tcPr>
            <w:tcW w:w="1559" w:type="dxa"/>
            <w:shd w:val="clear" w:color="auto" w:fill="FFFFFF" w:themeFill="background1"/>
          </w:tcPr>
          <w:p w14:paraId="57785EEE" w14:textId="225A28B9"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3FDEAE92" w14:textId="65553114" w:rsidR="000B412A" w:rsidRPr="00D06DB9" w:rsidRDefault="000B412A" w:rsidP="00A04E26">
            <w:pPr>
              <w:pStyle w:val="TableText"/>
              <w:rPr>
                <w:rFonts w:cstheme="minorHAnsi"/>
                <w:szCs w:val="18"/>
              </w:rPr>
            </w:pPr>
            <w:r w:rsidRPr="00A04E26">
              <w:rPr>
                <w:rFonts w:cstheme="minorHAnsi"/>
                <w:szCs w:val="18"/>
              </w:rPr>
              <w:t>Yes</w:t>
            </w:r>
          </w:p>
        </w:tc>
        <w:tc>
          <w:tcPr>
            <w:tcW w:w="1134" w:type="dxa"/>
            <w:shd w:val="clear" w:color="auto" w:fill="FFFFFF" w:themeFill="background1"/>
          </w:tcPr>
          <w:p w14:paraId="5CDBF646" w14:textId="5D8D3F9B" w:rsidR="000B412A" w:rsidRPr="00D06DB9" w:rsidRDefault="000B412A" w:rsidP="00A04E26">
            <w:pPr>
              <w:pStyle w:val="TableText"/>
              <w:rPr>
                <w:rFonts w:cstheme="minorHAnsi"/>
                <w:szCs w:val="18"/>
              </w:rPr>
            </w:pPr>
            <w:r w:rsidRPr="00A04E26">
              <w:rPr>
                <w:rFonts w:cstheme="minorHAnsi"/>
                <w:szCs w:val="18"/>
              </w:rPr>
              <w:t>Yes</w:t>
            </w:r>
          </w:p>
        </w:tc>
        <w:tc>
          <w:tcPr>
            <w:tcW w:w="3827" w:type="dxa"/>
            <w:shd w:val="clear" w:color="auto" w:fill="FFFFFF" w:themeFill="background1"/>
          </w:tcPr>
          <w:p w14:paraId="7D83B018" w14:textId="794F1712" w:rsidR="000B412A" w:rsidRPr="00D06DB9" w:rsidRDefault="000B412A" w:rsidP="00A04E26">
            <w:pPr>
              <w:pStyle w:val="TableText"/>
              <w:rPr>
                <w:rFonts w:cstheme="minorHAnsi"/>
                <w:szCs w:val="18"/>
              </w:rPr>
            </w:pPr>
            <w:r w:rsidRPr="00A04E26">
              <w:rPr>
                <w:rFonts w:cstheme="minorHAnsi"/>
                <w:szCs w:val="18"/>
              </w:rPr>
              <w:t xml:space="preserve">Listed on the </w:t>
            </w:r>
            <w:proofErr w:type="spellStart"/>
            <w:r w:rsidRPr="00A04E26">
              <w:rPr>
                <w:rFonts w:cstheme="minorHAnsi"/>
                <w:szCs w:val="18"/>
              </w:rPr>
              <w:t>APMPL</w:t>
            </w:r>
            <w:r w:rsidRPr="00A04E26">
              <w:rPr>
                <w:rFonts w:cstheme="minorHAnsi"/>
                <w:b/>
                <w:bCs/>
                <w:szCs w:val="18"/>
                <w:vertAlign w:val="superscript"/>
              </w:rPr>
              <w:t>a</w:t>
            </w:r>
            <w:proofErr w:type="spellEnd"/>
            <w:r w:rsidRPr="00A04E26">
              <w:rPr>
                <w:rFonts w:cstheme="minorHAnsi"/>
                <w:b/>
                <w:bCs/>
                <w:szCs w:val="18"/>
                <w:vertAlign w:val="superscript"/>
              </w:rPr>
              <w:t xml:space="preserve"> </w:t>
            </w:r>
            <w:r w:rsidRPr="00A04E26">
              <w:rPr>
                <w:rFonts w:cstheme="minorHAnsi"/>
                <w:szCs w:val="18"/>
              </w:rPr>
              <w:t xml:space="preserve">and </w:t>
            </w:r>
            <w:proofErr w:type="spellStart"/>
            <w:r w:rsidRPr="00A04E26">
              <w:rPr>
                <w:rFonts w:cstheme="minorHAnsi"/>
                <w:szCs w:val="18"/>
              </w:rPr>
              <w:t>EEPL</w:t>
            </w:r>
            <w:r w:rsidRPr="00A04E26">
              <w:rPr>
                <w:rFonts w:cstheme="minorHAnsi"/>
                <w:b/>
                <w:bCs/>
                <w:szCs w:val="18"/>
                <w:vertAlign w:val="superscript"/>
              </w:rPr>
              <w:t>b</w:t>
            </w:r>
            <w:proofErr w:type="spellEnd"/>
            <w:r w:rsidRPr="00A04E26">
              <w:rPr>
                <w:rFonts w:cstheme="minorHAnsi"/>
                <w:b/>
                <w:bCs/>
                <w:szCs w:val="18"/>
              </w:rPr>
              <w:t>;</w:t>
            </w:r>
            <w:r w:rsidRPr="00A04E26">
              <w:rPr>
                <w:rFonts w:cstheme="minorHAnsi"/>
                <w:szCs w:val="18"/>
              </w:rPr>
              <w:t xml:space="preserve"> listed on state/territory noxious species lists; listed on </w:t>
            </w:r>
            <w:proofErr w:type="spellStart"/>
            <w:r w:rsidRPr="00A04E26">
              <w:rPr>
                <w:rFonts w:cstheme="minorHAnsi"/>
                <w:szCs w:val="18"/>
              </w:rPr>
              <w:t>CCIMPE</w:t>
            </w:r>
            <w:r w:rsidR="00B86203" w:rsidRPr="00A04E26">
              <w:rPr>
                <w:rFonts w:cstheme="minorHAnsi"/>
                <w:b/>
                <w:bCs/>
                <w:szCs w:val="18"/>
                <w:vertAlign w:val="superscript"/>
              </w:rPr>
              <w:t>c</w:t>
            </w:r>
            <w:proofErr w:type="spellEnd"/>
            <w:r w:rsidRPr="00A04E26">
              <w:rPr>
                <w:rFonts w:cstheme="minorHAnsi"/>
                <w:szCs w:val="18"/>
                <w:vertAlign w:val="superscript"/>
              </w:rPr>
              <w:t xml:space="preserve"> </w:t>
            </w:r>
            <w:r w:rsidRPr="00A04E26">
              <w:rPr>
                <w:rFonts w:cstheme="minorHAnsi"/>
                <w:szCs w:val="18"/>
              </w:rPr>
              <w:t>trigger list</w:t>
            </w:r>
          </w:p>
        </w:tc>
        <w:tc>
          <w:tcPr>
            <w:tcW w:w="1418" w:type="dxa"/>
            <w:shd w:val="clear" w:color="auto" w:fill="FFFFFF" w:themeFill="background1"/>
          </w:tcPr>
          <w:p w14:paraId="400792A9" w14:textId="27283C4C" w:rsidR="000B412A" w:rsidRPr="00D06DB9" w:rsidRDefault="000B412A" w:rsidP="00A04E26">
            <w:pPr>
              <w:pStyle w:val="TableText"/>
              <w:rPr>
                <w:rFonts w:cstheme="minorHAnsi"/>
                <w:szCs w:val="18"/>
              </w:rPr>
            </w:pPr>
            <w:hyperlink r:id="rId46" w:history="1">
              <w:r w:rsidRPr="00A04E26">
                <w:rPr>
                  <w:rStyle w:val="Hyperlink"/>
                  <w:rFonts w:cstheme="minorHAnsi"/>
                  <w:sz w:val="18"/>
                  <w:szCs w:val="18"/>
                </w:rPr>
                <w:t>NIMPIS profile</w:t>
              </w:r>
            </w:hyperlink>
          </w:p>
        </w:tc>
      </w:tr>
      <w:tr w:rsidR="000B412A" w:rsidRPr="005631FD" w14:paraId="02923D3C" w14:textId="77777777" w:rsidTr="00A04E26">
        <w:tc>
          <w:tcPr>
            <w:tcW w:w="2694" w:type="dxa"/>
            <w:shd w:val="clear" w:color="auto" w:fill="FFFFFF" w:themeFill="background1"/>
          </w:tcPr>
          <w:p w14:paraId="2A4210D8" w14:textId="77777777" w:rsidR="000B412A" w:rsidRPr="00A04E26" w:rsidRDefault="000B412A" w:rsidP="00A04E26">
            <w:pPr>
              <w:pStyle w:val="TableText"/>
              <w:rPr>
                <w:rFonts w:cstheme="minorHAnsi"/>
                <w:i/>
                <w:iCs/>
                <w:szCs w:val="18"/>
              </w:rPr>
            </w:pPr>
            <w:r w:rsidRPr="00A04E26">
              <w:rPr>
                <w:rFonts w:cstheme="minorHAnsi"/>
                <w:i/>
                <w:iCs/>
                <w:szCs w:val="18"/>
              </w:rPr>
              <w:t xml:space="preserve">Potamocorbula amurensis </w:t>
            </w:r>
          </w:p>
          <w:p w14:paraId="2061739F" w14:textId="3905B01D" w:rsidR="000B412A" w:rsidRPr="00D06DB9" w:rsidRDefault="000B412A" w:rsidP="00A04E26">
            <w:pPr>
              <w:pStyle w:val="TableText"/>
              <w:rPr>
                <w:rFonts w:cstheme="minorHAnsi"/>
                <w:szCs w:val="18"/>
              </w:rPr>
            </w:pPr>
            <w:r w:rsidRPr="00A04E26">
              <w:rPr>
                <w:rFonts w:cstheme="minorHAnsi"/>
                <w:szCs w:val="18"/>
              </w:rPr>
              <w:t>(Asian basket clam)</w:t>
            </w:r>
          </w:p>
        </w:tc>
        <w:tc>
          <w:tcPr>
            <w:tcW w:w="1984" w:type="dxa"/>
            <w:shd w:val="clear" w:color="auto" w:fill="FFFFFF" w:themeFill="background1"/>
          </w:tcPr>
          <w:p w14:paraId="559D6DC8" w14:textId="4EAA45C5" w:rsidR="000B412A" w:rsidRPr="00D06DB9" w:rsidRDefault="005428CA" w:rsidP="00A04E26">
            <w:pPr>
              <w:pStyle w:val="TableText"/>
              <w:rPr>
                <w:rFonts w:cstheme="minorHAnsi"/>
                <w:szCs w:val="18"/>
              </w:rPr>
            </w:pPr>
            <w:r w:rsidRPr="00A04E26">
              <w:rPr>
                <w:rFonts w:cstheme="minorHAnsi"/>
                <w:szCs w:val="18"/>
              </w:rPr>
              <w:t>Not recorded</w:t>
            </w:r>
          </w:p>
        </w:tc>
        <w:tc>
          <w:tcPr>
            <w:tcW w:w="1559" w:type="dxa"/>
            <w:shd w:val="clear" w:color="auto" w:fill="FFFFFF" w:themeFill="background1"/>
          </w:tcPr>
          <w:p w14:paraId="13897564" w14:textId="77777777"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1B6927BD" w14:textId="2EB13676" w:rsidR="000B412A" w:rsidRPr="00D06DB9" w:rsidRDefault="000B412A" w:rsidP="00A04E26">
            <w:pPr>
              <w:pStyle w:val="TableText"/>
              <w:rPr>
                <w:rFonts w:cstheme="minorHAnsi"/>
                <w:szCs w:val="18"/>
              </w:rPr>
            </w:pPr>
            <w:r w:rsidRPr="00A04E26">
              <w:rPr>
                <w:rFonts w:cstheme="minorHAnsi"/>
                <w:szCs w:val="18"/>
              </w:rPr>
              <w:t>No</w:t>
            </w:r>
          </w:p>
        </w:tc>
        <w:tc>
          <w:tcPr>
            <w:tcW w:w="1134" w:type="dxa"/>
            <w:shd w:val="clear" w:color="auto" w:fill="FFFFFF" w:themeFill="background1"/>
          </w:tcPr>
          <w:p w14:paraId="2C265028" w14:textId="7976682C" w:rsidR="000B412A" w:rsidRPr="00D06DB9" w:rsidRDefault="000B412A" w:rsidP="00A04E26">
            <w:pPr>
              <w:pStyle w:val="TableText"/>
              <w:rPr>
                <w:rFonts w:cstheme="minorHAnsi"/>
                <w:szCs w:val="18"/>
              </w:rPr>
            </w:pPr>
            <w:r w:rsidRPr="00A04E26">
              <w:rPr>
                <w:rFonts w:cstheme="minorHAnsi"/>
                <w:szCs w:val="18"/>
              </w:rPr>
              <w:t>Yes</w:t>
            </w:r>
          </w:p>
        </w:tc>
        <w:tc>
          <w:tcPr>
            <w:tcW w:w="3827" w:type="dxa"/>
            <w:shd w:val="clear" w:color="auto" w:fill="FFFFFF" w:themeFill="background1"/>
          </w:tcPr>
          <w:p w14:paraId="54DDE7D8" w14:textId="105663A8" w:rsidR="000B412A" w:rsidRPr="00D06DB9" w:rsidRDefault="000B412A" w:rsidP="00A04E26">
            <w:pPr>
              <w:pStyle w:val="TableText"/>
              <w:rPr>
                <w:rFonts w:cstheme="minorHAnsi"/>
                <w:szCs w:val="18"/>
              </w:rPr>
            </w:pPr>
            <w:r w:rsidRPr="00A04E26">
              <w:rPr>
                <w:rFonts w:cstheme="minorHAnsi"/>
                <w:szCs w:val="18"/>
              </w:rPr>
              <w:t xml:space="preserve">Listed on the </w:t>
            </w:r>
            <w:proofErr w:type="spellStart"/>
            <w:r w:rsidRPr="00A04E26">
              <w:rPr>
                <w:rFonts w:cstheme="minorHAnsi"/>
                <w:szCs w:val="18"/>
              </w:rPr>
              <w:t>EEPL</w:t>
            </w:r>
            <w:r w:rsidRPr="00A04E26">
              <w:rPr>
                <w:rFonts w:cstheme="minorHAnsi"/>
                <w:b/>
                <w:bCs/>
                <w:szCs w:val="18"/>
                <w:vertAlign w:val="superscript"/>
              </w:rPr>
              <w:t>b</w:t>
            </w:r>
            <w:proofErr w:type="spellEnd"/>
            <w:r w:rsidRPr="00A04E26">
              <w:rPr>
                <w:rFonts w:cstheme="minorHAnsi"/>
                <w:b/>
                <w:bCs/>
                <w:szCs w:val="18"/>
              </w:rPr>
              <w:t xml:space="preserve">; </w:t>
            </w:r>
            <w:r w:rsidRPr="00A04E26">
              <w:rPr>
                <w:rFonts w:cstheme="minorHAnsi"/>
                <w:szCs w:val="18"/>
              </w:rPr>
              <w:t xml:space="preserve">listed on state/territory noxious species lists; listed on </w:t>
            </w:r>
            <w:proofErr w:type="spellStart"/>
            <w:r w:rsidRPr="00A04E26">
              <w:rPr>
                <w:rFonts w:cstheme="minorHAnsi"/>
                <w:szCs w:val="18"/>
              </w:rPr>
              <w:t>CCIMPE</w:t>
            </w:r>
            <w:r w:rsidR="00B86203" w:rsidRPr="00A04E26">
              <w:rPr>
                <w:rFonts w:cstheme="minorHAnsi"/>
                <w:b/>
                <w:bCs/>
                <w:szCs w:val="18"/>
                <w:vertAlign w:val="superscript"/>
              </w:rPr>
              <w:t>c</w:t>
            </w:r>
            <w:proofErr w:type="spellEnd"/>
            <w:r w:rsidRPr="00A04E26">
              <w:rPr>
                <w:rFonts w:cstheme="minorHAnsi"/>
                <w:szCs w:val="18"/>
                <w:vertAlign w:val="superscript"/>
              </w:rPr>
              <w:t xml:space="preserve"> </w:t>
            </w:r>
            <w:r w:rsidRPr="00A04E26">
              <w:rPr>
                <w:rFonts w:cstheme="minorHAnsi"/>
                <w:szCs w:val="18"/>
              </w:rPr>
              <w:t>trigger list</w:t>
            </w:r>
          </w:p>
        </w:tc>
        <w:tc>
          <w:tcPr>
            <w:tcW w:w="1418" w:type="dxa"/>
            <w:shd w:val="clear" w:color="auto" w:fill="FFFFFF" w:themeFill="background1"/>
          </w:tcPr>
          <w:p w14:paraId="60143716" w14:textId="497DF98A" w:rsidR="000B412A" w:rsidRPr="00D06DB9" w:rsidRDefault="000B412A" w:rsidP="00A04E26">
            <w:pPr>
              <w:pStyle w:val="TableText"/>
              <w:rPr>
                <w:rFonts w:cstheme="minorHAnsi"/>
                <w:szCs w:val="18"/>
              </w:rPr>
            </w:pPr>
            <w:hyperlink r:id="rId47" w:history="1">
              <w:r w:rsidRPr="00A04E26">
                <w:rPr>
                  <w:rStyle w:val="Hyperlink"/>
                  <w:rFonts w:cstheme="minorHAnsi"/>
                  <w:sz w:val="18"/>
                  <w:szCs w:val="18"/>
                </w:rPr>
                <w:t>NIMPIS profile</w:t>
              </w:r>
            </w:hyperlink>
          </w:p>
        </w:tc>
      </w:tr>
      <w:tr w:rsidR="001443B7" w:rsidRPr="005631FD" w14:paraId="7428E43C" w14:textId="77777777" w:rsidTr="001443B7">
        <w:tc>
          <w:tcPr>
            <w:tcW w:w="2694" w:type="dxa"/>
            <w:shd w:val="clear" w:color="auto" w:fill="FFFFFF" w:themeFill="background1"/>
          </w:tcPr>
          <w:p w14:paraId="292222BB" w14:textId="77777777" w:rsidR="000B412A" w:rsidRPr="00A04E26" w:rsidRDefault="000B412A" w:rsidP="00A04E26">
            <w:pPr>
              <w:pStyle w:val="TableText"/>
              <w:rPr>
                <w:rFonts w:cstheme="minorHAnsi"/>
                <w:i/>
                <w:iCs/>
                <w:szCs w:val="18"/>
              </w:rPr>
            </w:pPr>
            <w:r w:rsidRPr="00A04E26">
              <w:rPr>
                <w:rFonts w:cstheme="minorHAnsi"/>
                <w:i/>
                <w:iCs/>
                <w:szCs w:val="18"/>
              </w:rPr>
              <w:t xml:space="preserve">Varicorbula gibba </w:t>
            </w:r>
          </w:p>
          <w:p w14:paraId="3F43CC09" w14:textId="25B19808" w:rsidR="000B412A" w:rsidRPr="00D06DB9" w:rsidRDefault="000B412A" w:rsidP="00A04E26">
            <w:pPr>
              <w:pStyle w:val="TableText"/>
              <w:rPr>
                <w:rFonts w:cstheme="minorHAnsi"/>
                <w:szCs w:val="18"/>
              </w:rPr>
            </w:pPr>
            <w:r w:rsidRPr="00A04E26">
              <w:rPr>
                <w:rFonts w:cstheme="minorHAnsi"/>
                <w:szCs w:val="18"/>
              </w:rPr>
              <w:t>(European basket shell)</w:t>
            </w:r>
          </w:p>
        </w:tc>
        <w:tc>
          <w:tcPr>
            <w:tcW w:w="1984" w:type="dxa"/>
            <w:shd w:val="clear" w:color="auto" w:fill="FFFFFF" w:themeFill="background1"/>
          </w:tcPr>
          <w:p w14:paraId="26F759AD" w14:textId="754381C9" w:rsidR="000B412A" w:rsidRPr="00D06DB9" w:rsidRDefault="005428CA" w:rsidP="00A04E26">
            <w:pPr>
              <w:pStyle w:val="TableText"/>
              <w:rPr>
                <w:rFonts w:cstheme="minorHAnsi"/>
                <w:szCs w:val="18"/>
              </w:rPr>
            </w:pPr>
            <w:r w:rsidRPr="00A04E26">
              <w:rPr>
                <w:rFonts w:cstheme="minorHAnsi"/>
                <w:szCs w:val="18"/>
              </w:rPr>
              <w:t>Established (TAS, VIC)</w:t>
            </w:r>
          </w:p>
        </w:tc>
        <w:tc>
          <w:tcPr>
            <w:tcW w:w="1559" w:type="dxa"/>
            <w:shd w:val="clear" w:color="auto" w:fill="FFFFFF" w:themeFill="background1"/>
          </w:tcPr>
          <w:p w14:paraId="7A381B9C" w14:textId="77777777" w:rsidR="000B412A" w:rsidRPr="00D06DB9" w:rsidRDefault="000B412A" w:rsidP="00A04E26">
            <w:pPr>
              <w:pStyle w:val="TableText"/>
              <w:rPr>
                <w:rFonts w:cstheme="minorHAnsi"/>
                <w:szCs w:val="18"/>
              </w:rPr>
            </w:pPr>
            <w:r w:rsidRPr="00A04E26">
              <w:rPr>
                <w:rFonts w:cstheme="minorHAnsi"/>
                <w:szCs w:val="18"/>
              </w:rPr>
              <w:t>Non-native</w:t>
            </w:r>
          </w:p>
        </w:tc>
        <w:tc>
          <w:tcPr>
            <w:tcW w:w="1276" w:type="dxa"/>
            <w:shd w:val="clear" w:color="auto" w:fill="FFFFFF" w:themeFill="background1"/>
          </w:tcPr>
          <w:p w14:paraId="558820BD" w14:textId="69FE6EAA" w:rsidR="000B412A" w:rsidRPr="00D06DB9" w:rsidRDefault="000B412A" w:rsidP="00A04E26">
            <w:pPr>
              <w:pStyle w:val="TableText"/>
              <w:rPr>
                <w:rFonts w:cstheme="minorHAnsi"/>
                <w:szCs w:val="18"/>
              </w:rPr>
            </w:pPr>
            <w:r w:rsidRPr="00A04E26">
              <w:rPr>
                <w:rFonts w:cstheme="minorHAnsi"/>
                <w:szCs w:val="18"/>
              </w:rPr>
              <w:t>No</w:t>
            </w:r>
          </w:p>
        </w:tc>
        <w:tc>
          <w:tcPr>
            <w:tcW w:w="1134" w:type="dxa"/>
            <w:shd w:val="clear" w:color="auto" w:fill="FFFFFF" w:themeFill="background1"/>
          </w:tcPr>
          <w:p w14:paraId="625CD03E" w14:textId="55F843BF" w:rsidR="000B412A" w:rsidRPr="00D06DB9" w:rsidRDefault="000B412A" w:rsidP="00A04E26">
            <w:pPr>
              <w:pStyle w:val="TableText"/>
              <w:rPr>
                <w:rFonts w:cstheme="minorHAnsi"/>
                <w:szCs w:val="18"/>
              </w:rPr>
            </w:pPr>
            <w:r w:rsidRPr="00A04E26">
              <w:rPr>
                <w:rFonts w:cstheme="minorHAnsi"/>
                <w:szCs w:val="18"/>
              </w:rPr>
              <w:t>No</w:t>
            </w:r>
          </w:p>
        </w:tc>
        <w:tc>
          <w:tcPr>
            <w:tcW w:w="3827" w:type="dxa"/>
            <w:shd w:val="clear" w:color="auto" w:fill="FFFFFF" w:themeFill="background1"/>
          </w:tcPr>
          <w:p w14:paraId="1DADD5B5" w14:textId="4DCD70B5" w:rsidR="000B412A" w:rsidRPr="00D06DB9" w:rsidRDefault="000B412A" w:rsidP="00A04E26">
            <w:pPr>
              <w:pStyle w:val="TableText"/>
              <w:rPr>
                <w:rFonts w:cstheme="minorHAnsi"/>
                <w:szCs w:val="18"/>
              </w:rPr>
            </w:pPr>
            <w:r w:rsidRPr="00A04E26">
              <w:rPr>
                <w:rFonts w:cstheme="minorHAnsi"/>
                <w:szCs w:val="18"/>
              </w:rPr>
              <w:t xml:space="preserve">Listed on state/territory noxious species lists; listed on </w:t>
            </w:r>
            <w:proofErr w:type="spellStart"/>
            <w:r w:rsidRPr="00A04E26">
              <w:rPr>
                <w:rFonts w:cstheme="minorHAnsi"/>
                <w:szCs w:val="18"/>
              </w:rPr>
              <w:t>CCIMPE</w:t>
            </w:r>
            <w:r w:rsidR="00B86203" w:rsidRPr="00A04E26">
              <w:rPr>
                <w:rFonts w:cstheme="minorHAnsi"/>
                <w:b/>
                <w:bCs/>
                <w:szCs w:val="18"/>
                <w:vertAlign w:val="superscript"/>
              </w:rPr>
              <w:t>c</w:t>
            </w:r>
            <w:proofErr w:type="spellEnd"/>
            <w:r w:rsidRPr="00A04E26">
              <w:rPr>
                <w:rFonts w:cstheme="minorHAnsi"/>
                <w:szCs w:val="18"/>
                <w:vertAlign w:val="superscript"/>
              </w:rPr>
              <w:t xml:space="preserve"> </w:t>
            </w:r>
            <w:r w:rsidRPr="00A04E26">
              <w:rPr>
                <w:rFonts w:cstheme="minorHAnsi"/>
                <w:szCs w:val="18"/>
              </w:rPr>
              <w:t>trigger list</w:t>
            </w:r>
            <w:r w:rsidR="00B86203" w:rsidRPr="00A04E26">
              <w:rPr>
                <w:rFonts w:cstheme="minorHAnsi"/>
                <w:szCs w:val="18"/>
              </w:rPr>
              <w:t xml:space="preserve">; has a </w:t>
            </w:r>
            <w:hyperlink r:id="rId48" w:history="1">
              <w:r w:rsidR="00B86203" w:rsidRPr="00A04E26">
                <w:rPr>
                  <w:rStyle w:val="Hyperlink"/>
                  <w:rFonts w:cstheme="minorHAnsi"/>
                  <w:sz w:val="18"/>
                  <w:szCs w:val="18"/>
                </w:rPr>
                <w:t>National Control Plan (NCP)</w:t>
              </w:r>
            </w:hyperlink>
          </w:p>
        </w:tc>
        <w:tc>
          <w:tcPr>
            <w:tcW w:w="1418" w:type="dxa"/>
            <w:shd w:val="clear" w:color="auto" w:fill="FFFFFF" w:themeFill="background1"/>
          </w:tcPr>
          <w:p w14:paraId="30EC4BE9" w14:textId="3E854AF5" w:rsidR="000B412A" w:rsidRPr="00D06DB9" w:rsidRDefault="000B412A" w:rsidP="00A04E26">
            <w:pPr>
              <w:pStyle w:val="TableText"/>
              <w:rPr>
                <w:rFonts w:cstheme="minorHAnsi"/>
                <w:szCs w:val="18"/>
              </w:rPr>
            </w:pPr>
            <w:hyperlink r:id="rId49" w:history="1">
              <w:r w:rsidRPr="00A04E26">
                <w:rPr>
                  <w:rStyle w:val="Hyperlink"/>
                  <w:rFonts w:cstheme="minorHAnsi"/>
                  <w:sz w:val="18"/>
                  <w:szCs w:val="18"/>
                </w:rPr>
                <w:t>NIMPIS profile</w:t>
              </w:r>
            </w:hyperlink>
          </w:p>
        </w:tc>
      </w:tr>
    </w:tbl>
    <w:p w14:paraId="7C962D22" w14:textId="77777777" w:rsidR="000B412A" w:rsidRPr="00846769" w:rsidRDefault="000B412A" w:rsidP="002C56BD">
      <w:pPr>
        <w:pStyle w:val="ListBullet"/>
        <w:keepLines/>
        <w:numPr>
          <w:ilvl w:val="0"/>
          <w:numId w:val="0"/>
        </w:numPr>
        <w:spacing w:before="40" w:after="80" w:line="240" w:lineRule="auto"/>
        <w:ind w:left="426" w:hanging="426"/>
        <w:rPr>
          <w:sz w:val="18"/>
          <w:szCs w:val="18"/>
        </w:rPr>
      </w:pPr>
      <w:r w:rsidRPr="00846769">
        <w:rPr>
          <w:b/>
          <w:bCs/>
          <w:sz w:val="18"/>
          <w:szCs w:val="18"/>
        </w:rPr>
        <w:t xml:space="preserve">a </w:t>
      </w:r>
      <w:hyperlink r:id="rId50" w:history="1">
        <w:r w:rsidRPr="00846769">
          <w:rPr>
            <w:rStyle w:val="Hyperlink"/>
            <w:sz w:val="18"/>
            <w:szCs w:val="18"/>
          </w:rPr>
          <w:t>Australian Priority Marine Pest List (APMPL)</w:t>
        </w:r>
      </w:hyperlink>
    </w:p>
    <w:p w14:paraId="284E78F9" w14:textId="77777777" w:rsidR="000B412A" w:rsidRPr="00846769" w:rsidRDefault="000B412A" w:rsidP="002C56BD">
      <w:pPr>
        <w:pStyle w:val="ListBullet"/>
        <w:keepLines/>
        <w:numPr>
          <w:ilvl w:val="0"/>
          <w:numId w:val="0"/>
        </w:numPr>
        <w:spacing w:before="40" w:after="80" w:line="240" w:lineRule="auto"/>
        <w:ind w:left="426" w:hanging="426"/>
        <w:rPr>
          <w:sz w:val="18"/>
          <w:szCs w:val="18"/>
        </w:rPr>
      </w:pPr>
      <w:r w:rsidRPr="00846769">
        <w:rPr>
          <w:b/>
          <w:bCs/>
          <w:sz w:val="18"/>
          <w:szCs w:val="18"/>
        </w:rPr>
        <w:t>b</w:t>
      </w:r>
      <w:r w:rsidRPr="00846769">
        <w:rPr>
          <w:sz w:val="18"/>
          <w:szCs w:val="18"/>
        </w:rPr>
        <w:t xml:space="preserve"> </w:t>
      </w:r>
      <w:hyperlink r:id="rId51" w:history="1">
        <w:r w:rsidRPr="00846769">
          <w:rPr>
            <w:rStyle w:val="Hyperlink"/>
            <w:sz w:val="18"/>
            <w:szCs w:val="18"/>
          </w:rPr>
          <w:t>The National Priority List of Exotic Environmental Pests, Weeds and Diseases (EEPL)</w:t>
        </w:r>
      </w:hyperlink>
    </w:p>
    <w:p w14:paraId="09743E49" w14:textId="576D8BC6" w:rsidR="000B412A" w:rsidRPr="00846769" w:rsidRDefault="00B86203" w:rsidP="002C56BD">
      <w:pPr>
        <w:pStyle w:val="ListBullet"/>
        <w:keepLines/>
        <w:numPr>
          <w:ilvl w:val="0"/>
          <w:numId w:val="0"/>
        </w:numPr>
        <w:spacing w:before="40" w:after="80" w:line="240" w:lineRule="auto"/>
        <w:ind w:left="426" w:hanging="426"/>
        <w:rPr>
          <w:sz w:val="18"/>
          <w:szCs w:val="18"/>
        </w:rPr>
      </w:pPr>
      <w:r w:rsidRPr="00846769">
        <w:rPr>
          <w:b/>
          <w:bCs/>
          <w:sz w:val="18"/>
          <w:szCs w:val="18"/>
        </w:rPr>
        <w:t>c</w:t>
      </w:r>
      <w:r w:rsidR="000B412A" w:rsidRPr="00846769">
        <w:rPr>
          <w:sz w:val="18"/>
          <w:szCs w:val="18"/>
        </w:rPr>
        <w:t xml:space="preserve"> The Consultative Committee on Introduced Marine Pest Emergencies Trigger List (not publicly available)</w:t>
      </w:r>
    </w:p>
    <w:p w14:paraId="1674110F" w14:textId="77777777" w:rsidR="004E4E44" w:rsidRDefault="002C56BD" w:rsidP="002C56BD">
      <w:pPr>
        <w:pStyle w:val="ListBullet"/>
        <w:keepLines/>
        <w:numPr>
          <w:ilvl w:val="0"/>
          <w:numId w:val="0"/>
        </w:numPr>
        <w:spacing w:before="40" w:after="80" w:line="240" w:lineRule="auto"/>
        <w:rPr>
          <w:sz w:val="18"/>
          <w:szCs w:val="18"/>
        </w:rPr>
      </w:pPr>
      <w:r w:rsidRPr="00846769">
        <w:rPr>
          <w:b/>
          <w:bCs/>
          <w:sz w:val="18"/>
          <w:szCs w:val="18"/>
        </w:rPr>
        <w:t>d</w:t>
      </w:r>
      <w:r w:rsidRPr="00846769">
        <w:rPr>
          <w:i/>
          <w:iCs/>
          <w:sz w:val="18"/>
          <w:szCs w:val="18"/>
        </w:rPr>
        <w:t xml:space="preserve"> </w:t>
      </w:r>
      <w:r w:rsidR="000B412A" w:rsidRPr="00846769">
        <w:rPr>
          <w:i/>
          <w:iCs/>
          <w:sz w:val="18"/>
          <w:szCs w:val="18"/>
        </w:rPr>
        <w:t xml:space="preserve">Mya japonica </w:t>
      </w:r>
      <w:r w:rsidR="000B412A" w:rsidRPr="00846769">
        <w:rPr>
          <w:sz w:val="18"/>
          <w:szCs w:val="18"/>
        </w:rPr>
        <w:t xml:space="preserve">was recently confirmed to be separate species to </w:t>
      </w:r>
      <w:r w:rsidR="000B412A" w:rsidRPr="00846769">
        <w:rPr>
          <w:i/>
          <w:iCs/>
          <w:sz w:val="18"/>
          <w:szCs w:val="18"/>
        </w:rPr>
        <w:t>M. arenaria</w:t>
      </w:r>
      <w:r w:rsidRPr="00846769">
        <w:rPr>
          <w:sz w:val="18"/>
          <w:szCs w:val="18"/>
        </w:rPr>
        <w:t xml:space="preserve"> and is assessed the same way as </w:t>
      </w:r>
      <w:r w:rsidRPr="00846769">
        <w:rPr>
          <w:i/>
          <w:iCs/>
          <w:sz w:val="18"/>
          <w:szCs w:val="18"/>
        </w:rPr>
        <w:t xml:space="preserve">M. arenaria </w:t>
      </w:r>
      <w:r w:rsidRPr="00846769">
        <w:rPr>
          <w:sz w:val="18"/>
          <w:szCs w:val="18"/>
        </w:rPr>
        <w:t>in this table</w:t>
      </w:r>
    </w:p>
    <w:p w14:paraId="1F67C0FA" w14:textId="2B7FBF8F" w:rsidR="00865E63" w:rsidRPr="00846769" w:rsidRDefault="00865E63" w:rsidP="002C56BD">
      <w:pPr>
        <w:pStyle w:val="ListBullet"/>
        <w:keepLines/>
        <w:numPr>
          <w:ilvl w:val="0"/>
          <w:numId w:val="0"/>
        </w:numPr>
        <w:spacing w:before="40" w:after="80" w:line="240" w:lineRule="auto"/>
        <w:rPr>
          <w:sz w:val="18"/>
          <w:szCs w:val="18"/>
        </w:rPr>
      </w:pPr>
      <w:proofErr w:type="spellStart"/>
      <w:r w:rsidRPr="001B48F7">
        <w:rPr>
          <w:b/>
          <w:bCs/>
          <w:sz w:val="18"/>
          <w:szCs w:val="18"/>
        </w:rPr>
        <w:t>e</w:t>
      </w:r>
      <w:proofErr w:type="spellEnd"/>
      <w:r>
        <w:rPr>
          <w:sz w:val="18"/>
          <w:szCs w:val="18"/>
        </w:rPr>
        <w:t xml:space="preserve"> Established = a non-native bivalve which has been introduced to Australia and established a reproductive population; Recorded but not established = a non-native bivalve which has been recorded in Australia, either as a transient detection on a vessel or from a population which died out, but did not establish;</w:t>
      </w:r>
      <w:r w:rsidR="006B0AB1">
        <w:rPr>
          <w:sz w:val="18"/>
          <w:szCs w:val="18"/>
        </w:rPr>
        <w:t xml:space="preserve"> Recorded but uncertain = a non-native bivalve which has been recorded in Australia but its status is uncertain;</w:t>
      </w:r>
      <w:r>
        <w:rPr>
          <w:sz w:val="18"/>
          <w:szCs w:val="18"/>
        </w:rPr>
        <w:t xml:space="preserve"> Not recorded = a non-native bivalve which has not been recorded in Australian waters</w:t>
      </w:r>
    </w:p>
    <w:p w14:paraId="779B0F8F" w14:textId="41D05FD3" w:rsidR="004E4E44" w:rsidRPr="00846769" w:rsidRDefault="004E4E44" w:rsidP="002C56BD">
      <w:pPr>
        <w:pStyle w:val="ListBullet"/>
        <w:keepLines/>
        <w:numPr>
          <w:ilvl w:val="0"/>
          <w:numId w:val="0"/>
        </w:numPr>
        <w:spacing w:before="40" w:after="80" w:line="240" w:lineRule="auto"/>
        <w:rPr>
          <w:sz w:val="18"/>
          <w:szCs w:val="18"/>
        </w:rPr>
        <w:sectPr w:rsidR="004E4E44" w:rsidRPr="00846769" w:rsidSect="000B412A">
          <w:pgSz w:w="16838" w:h="11906" w:orient="landscape"/>
          <w:pgMar w:top="1440" w:right="1440" w:bottom="1440" w:left="1440" w:header="708" w:footer="708" w:gutter="0"/>
          <w:cols w:space="708"/>
          <w:docGrid w:linePitch="360"/>
        </w:sectPr>
      </w:pPr>
      <w:r w:rsidRPr="00846769">
        <w:rPr>
          <w:b/>
          <w:bCs/>
          <w:sz w:val="18"/>
          <w:szCs w:val="18"/>
        </w:rPr>
        <w:t>n/a</w:t>
      </w:r>
      <w:r w:rsidRPr="00846769">
        <w:rPr>
          <w:sz w:val="18"/>
          <w:szCs w:val="18"/>
        </w:rPr>
        <w:t xml:space="preserve"> - Not applicable</w:t>
      </w:r>
    </w:p>
    <w:p w14:paraId="3AE16FD3" w14:textId="04EC8D68" w:rsidR="006939E1" w:rsidRPr="00846769" w:rsidRDefault="00B5740F" w:rsidP="00BF317B">
      <w:pPr>
        <w:pStyle w:val="Heading3"/>
        <w:ind w:left="851" w:hanging="851"/>
      </w:pPr>
      <w:bookmarkStart w:id="44" w:name="_General_bivalve_biology"/>
      <w:bookmarkStart w:id="45" w:name="_Toc87599085"/>
      <w:bookmarkStart w:id="46" w:name="_Toc191998645"/>
      <w:bookmarkEnd w:id="37"/>
      <w:bookmarkEnd w:id="44"/>
      <w:r w:rsidRPr="00846769">
        <w:lastRenderedPageBreak/>
        <w:t>General bivalve biology</w:t>
      </w:r>
      <w:bookmarkEnd w:id="45"/>
      <w:bookmarkEnd w:id="46"/>
    </w:p>
    <w:p w14:paraId="47D3D2FA" w14:textId="5E954A40" w:rsidR="007A7809" w:rsidRPr="00846769" w:rsidRDefault="007A7809" w:rsidP="007A7809">
      <w:pPr>
        <w:pStyle w:val="Heading4"/>
      </w:pPr>
      <w:r w:rsidRPr="00846769">
        <w:t>Taxonomy</w:t>
      </w:r>
    </w:p>
    <w:p w14:paraId="47965A32" w14:textId="4FEEE789" w:rsidR="007A7809" w:rsidRPr="00846769" w:rsidDel="007A7809" w:rsidRDefault="007A7809" w:rsidP="007A7809">
      <w:r w:rsidRPr="00846769" w:rsidDel="007A7809">
        <w:t>The class Bivalvia belongs to the speciose phylum Mollusca. Bivalves are characterised by a soft body protected by a hard (calcium carbonate) shell divided into two</w:t>
      </w:r>
      <w:r w:rsidR="00523D23" w:rsidRPr="00846769">
        <w:t xml:space="preserve"> valves</w:t>
      </w:r>
      <w:r w:rsidRPr="00846769" w:rsidDel="007A7809">
        <w:t xml:space="preserve"> and joined by a hinge (</w:t>
      </w:r>
      <w:r w:rsidR="00523D23" w:rsidRPr="00846769">
        <w:fldChar w:fldCharType="begin"/>
      </w:r>
      <w:r w:rsidR="00523D23" w:rsidRPr="00846769">
        <w:instrText xml:space="preserve"> REF _Ref64366859 \h  \* MERGEFORMAT </w:instrText>
      </w:r>
      <w:r w:rsidR="00523D23" w:rsidRPr="00846769">
        <w:fldChar w:fldCharType="separate"/>
      </w:r>
      <w:r w:rsidR="00523D23" w:rsidRPr="00846769">
        <w:t>Figure</w:t>
      </w:r>
      <w:r w:rsidR="00C449A8">
        <w:t> </w:t>
      </w:r>
      <w:r w:rsidR="00523D23" w:rsidRPr="00846769">
        <w:t>1</w:t>
      </w:r>
      <w:r w:rsidR="00523D23" w:rsidRPr="00846769">
        <w:fldChar w:fldCharType="end"/>
      </w:r>
      <w:r w:rsidRPr="00846769" w:rsidDel="007A7809">
        <w:t>). The shell is secreted by the mantle which is held closed by adductor muscles with hinge teeth interlocking to prevent the shells from twisting</w:t>
      </w:r>
      <w:r w:rsidR="00523D23" w:rsidRPr="00846769">
        <w:t xml:space="preserve">. </w:t>
      </w:r>
      <w:r w:rsidRPr="00846769" w:rsidDel="007A7809">
        <w:t>Bivalve molluscs include common taxa such as clams, oysters, and mussels.</w:t>
      </w:r>
    </w:p>
    <w:p w14:paraId="7F66D8BB" w14:textId="1E96AEBC" w:rsidR="00EF3F22" w:rsidRPr="00846769" w:rsidRDefault="007A7809" w:rsidP="007A7809">
      <w:r w:rsidRPr="00846769" w:rsidDel="007A7809">
        <w:t>There are more than 100 families and more than 9,000 species of biva</w:t>
      </w:r>
      <w:r w:rsidRPr="005F7F32" w:rsidDel="007A7809">
        <w:t xml:space="preserve">lves </w:t>
      </w:r>
      <w:r w:rsidRPr="00C31A57" w:rsidDel="007A7809">
        <w:t>globally (Huber 2010).</w:t>
      </w:r>
      <w:r w:rsidRPr="00846769" w:rsidDel="007A7809">
        <w:t xml:space="preserve"> They inhabit a broad range of inland waterways, brackish</w:t>
      </w:r>
      <w:r w:rsidR="005E58DE" w:rsidRPr="00846769">
        <w:t>,</w:t>
      </w:r>
      <w:r w:rsidRPr="00846769" w:rsidDel="007A7809">
        <w:t xml:space="preserve"> and marine habitats from the deep sea to high tide level, including rock shores, sandy shores, mudflats</w:t>
      </w:r>
      <w:r w:rsidR="005E58DE" w:rsidRPr="00846769">
        <w:t>,</w:t>
      </w:r>
      <w:r w:rsidRPr="00846769" w:rsidDel="007A7809">
        <w:t xml:space="preserve"> and estuarine areas. </w:t>
      </w:r>
    </w:p>
    <w:p w14:paraId="6CA182BC" w14:textId="3B1BCD13" w:rsidR="00EF3F22" w:rsidRPr="00846769" w:rsidRDefault="00EF3F22" w:rsidP="00EF3F22">
      <w:pPr>
        <w:pStyle w:val="Caption"/>
      </w:pPr>
      <w:bookmarkStart w:id="47" w:name="_Ref64366859"/>
      <w:bookmarkStart w:id="48" w:name="_Ref64366849"/>
      <w:bookmarkStart w:id="49" w:name="_Toc191999514"/>
      <w:r w:rsidRPr="00846769">
        <w:t xml:space="preserve">Figure </w:t>
      </w:r>
      <w:r w:rsidR="00C53006" w:rsidRPr="00846769">
        <w:fldChar w:fldCharType="begin"/>
      </w:r>
      <w:r w:rsidR="00C53006" w:rsidRPr="00846769">
        <w:instrText xml:space="preserve"> SEQ Figure \* ARABIC </w:instrText>
      </w:r>
      <w:r w:rsidR="00C53006" w:rsidRPr="00846769">
        <w:fldChar w:fldCharType="separate"/>
      </w:r>
      <w:r w:rsidR="00192097" w:rsidRPr="00846769">
        <w:t>1</w:t>
      </w:r>
      <w:r w:rsidR="00C53006" w:rsidRPr="00846769">
        <w:fldChar w:fldCharType="end"/>
      </w:r>
      <w:bookmarkEnd w:id="47"/>
      <w:r w:rsidRPr="00846769">
        <w:t xml:space="preserve"> </w:t>
      </w:r>
      <w:r w:rsidR="005E58DE" w:rsidRPr="00846769">
        <w:t>Diagram</w:t>
      </w:r>
      <w:r w:rsidRPr="00846769">
        <w:t xml:space="preserve"> </w:t>
      </w:r>
      <w:r w:rsidR="005E58DE" w:rsidRPr="00846769">
        <w:t>showing</w:t>
      </w:r>
      <w:r w:rsidRPr="00846769">
        <w:t xml:space="preserve"> general bivalve shell anatomy</w:t>
      </w:r>
      <w:bookmarkEnd w:id="48"/>
      <w:bookmarkEnd w:id="49"/>
      <w:r w:rsidRPr="00846769">
        <w:t xml:space="preserve"> </w:t>
      </w:r>
    </w:p>
    <w:p w14:paraId="0B216A79" w14:textId="6054AA8A" w:rsidR="00EF3F22" w:rsidRPr="00846769" w:rsidRDefault="00EF3F22" w:rsidP="00EF3F22">
      <w:r w:rsidRPr="00846769">
        <w:rPr>
          <w:noProof/>
        </w:rPr>
        <w:drawing>
          <wp:inline distT="0" distB="0" distL="0" distR="0" wp14:anchorId="2B1F66F8" wp14:editId="26D7FE55">
            <wp:extent cx="5717456" cy="1777815"/>
            <wp:effectExtent l="0" t="0" r="0" b="0"/>
            <wp:docPr id="17" name="Picture 17" descr="Line drawings of three bivalves with labels showing the shell anato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ine drawings of three bivalves with labels showing the shell anatomy. "/>
                    <pic:cNvPicPr/>
                  </pic:nvPicPr>
                  <pic:blipFill>
                    <a:blip r:embed="rId52" cstate="email">
                      <a:extLst>
                        <a:ext uri="{28A0092B-C50C-407E-A947-70E740481C1C}">
                          <a14:useLocalDpi xmlns:a14="http://schemas.microsoft.com/office/drawing/2010/main" val="0"/>
                        </a:ext>
                      </a:extLst>
                    </a:blip>
                    <a:stretch>
                      <a:fillRect/>
                    </a:stretch>
                  </pic:blipFill>
                  <pic:spPr>
                    <a:xfrm>
                      <a:off x="0" y="0"/>
                      <a:ext cx="5717456" cy="1777815"/>
                    </a:xfrm>
                    <a:prstGeom prst="rect">
                      <a:avLst/>
                    </a:prstGeom>
                  </pic:spPr>
                </pic:pic>
              </a:graphicData>
            </a:graphic>
          </wp:inline>
        </w:drawing>
      </w:r>
    </w:p>
    <w:p w14:paraId="6E0F1D55" w14:textId="0145AE51" w:rsidR="007A7809" w:rsidRPr="00846769" w:rsidDel="007A7809" w:rsidRDefault="00EF3F22" w:rsidP="008B59AD">
      <w:pPr>
        <w:pStyle w:val="FigureTableNoteSource"/>
        <w:rPr>
          <w:b/>
          <w:bCs/>
        </w:rPr>
      </w:pPr>
      <w:r w:rsidRPr="00846769">
        <w:t>Source: Kimberley Seaward, NIWA</w:t>
      </w:r>
    </w:p>
    <w:p w14:paraId="3C2BDDED" w14:textId="21E16A19" w:rsidR="00A71BFB" w:rsidRPr="00846769" w:rsidRDefault="00B5740F" w:rsidP="000C173B">
      <w:pPr>
        <w:pStyle w:val="Heading4"/>
      </w:pPr>
      <w:r w:rsidRPr="00846769">
        <w:t xml:space="preserve">Feeding </w:t>
      </w:r>
    </w:p>
    <w:p w14:paraId="5B265F3A" w14:textId="25A7C19B" w:rsidR="00A71BFB" w:rsidRPr="00846769" w:rsidRDefault="00B5740F" w:rsidP="00B423CF">
      <w:r w:rsidRPr="00846769">
        <w:t>Most bivalves are sedentary as adults</w:t>
      </w:r>
      <w:r w:rsidR="00B423CF" w:rsidRPr="00846769">
        <w:t>, but some taxa are motile (</w:t>
      </w:r>
      <w:r w:rsidR="00F40D92">
        <w:t>e.g.</w:t>
      </w:r>
      <w:r w:rsidR="00B423CF" w:rsidRPr="00846769">
        <w:t xml:space="preserve"> scallops and clams)</w:t>
      </w:r>
      <w:r w:rsidRPr="00846769">
        <w:t xml:space="preserve">. </w:t>
      </w:r>
      <w:r w:rsidR="00B03FB1" w:rsidRPr="00846769">
        <w:t xml:space="preserve">Most </w:t>
      </w:r>
      <w:r w:rsidRPr="00846769">
        <w:t>bivalves are suspension feeders, passively feeding by trapping food particles</w:t>
      </w:r>
      <w:r w:rsidR="00B423CF" w:rsidRPr="00846769">
        <w:t xml:space="preserve"> from the surrounding water</w:t>
      </w:r>
      <w:r w:rsidRPr="00846769">
        <w:t xml:space="preserve"> in</w:t>
      </w:r>
      <w:r w:rsidR="00B423CF" w:rsidRPr="00846769">
        <w:t>to</w:t>
      </w:r>
      <w:r w:rsidRPr="00846769">
        <w:t xml:space="preserve"> their gills</w:t>
      </w:r>
      <w:r w:rsidR="00B03FB1" w:rsidRPr="00846769">
        <w:t>. Some other bivalves are deposit feeders (</w:t>
      </w:r>
      <w:r w:rsidR="0004422F">
        <w:t>e.g.</w:t>
      </w:r>
      <w:r w:rsidR="005428CA">
        <w:t xml:space="preserve"> </w:t>
      </w:r>
      <w:r w:rsidR="00523D23" w:rsidRPr="00846769">
        <w:t>family</w:t>
      </w:r>
      <w:r w:rsidR="00B03FB1" w:rsidRPr="00846769">
        <w:t xml:space="preserve"> Tellinidae</w:t>
      </w:r>
      <w:r w:rsidR="00523D23" w:rsidRPr="00846769">
        <w:t xml:space="preserve">) </w:t>
      </w:r>
      <w:r w:rsidR="00B03FB1" w:rsidRPr="00846769">
        <w:t>where they feed by ingesting some organic particles within sedimentary deposits</w:t>
      </w:r>
      <w:r w:rsidRPr="00846769">
        <w:t>. Food consists of microscopic plants, animals</w:t>
      </w:r>
      <w:r w:rsidR="00B423CF" w:rsidRPr="00846769">
        <w:t>,</w:t>
      </w:r>
      <w:r w:rsidRPr="00846769">
        <w:t xml:space="preserve"> and detritus. </w:t>
      </w:r>
    </w:p>
    <w:p w14:paraId="472547FF" w14:textId="1B403160" w:rsidR="0067694B" w:rsidRPr="00846769" w:rsidRDefault="0067694B" w:rsidP="0067694B">
      <w:pPr>
        <w:pStyle w:val="Heading4"/>
      </w:pPr>
      <w:r w:rsidRPr="00846769">
        <w:t>Reproduction</w:t>
      </w:r>
      <w:r w:rsidR="009C1E55" w:rsidRPr="00846769">
        <w:t>, g</w:t>
      </w:r>
      <w:r w:rsidRPr="00846769">
        <w:t>rowth</w:t>
      </w:r>
      <w:r w:rsidR="009C1E55" w:rsidRPr="00846769">
        <w:t>, and life cycle</w:t>
      </w:r>
    </w:p>
    <w:p w14:paraId="232E422E" w14:textId="084F4725" w:rsidR="003E0032" w:rsidRPr="00846769" w:rsidRDefault="0067694B" w:rsidP="0067694B">
      <w:r w:rsidRPr="00846769">
        <w:t xml:space="preserve">Bivalves can either have separate sexes (male and female gametes) or be hermaphrodites (simultaneously </w:t>
      </w:r>
      <w:r w:rsidR="006B0AB1">
        <w:t xml:space="preserve">or sequentially </w:t>
      </w:r>
      <w:r w:rsidRPr="00846769">
        <w:t xml:space="preserve">possessing both male and female gametes). </w:t>
      </w:r>
      <w:r w:rsidR="00B03FB1" w:rsidRPr="00846769">
        <w:t>The c</w:t>
      </w:r>
      <w:r w:rsidRPr="00846769">
        <w:t xml:space="preserve">ues for changing sex in bivalves </w:t>
      </w:r>
      <w:r w:rsidR="00B03FB1" w:rsidRPr="00846769">
        <w:t>are</w:t>
      </w:r>
      <w:r w:rsidRPr="00846769">
        <w:t xml:space="preserve"> not well understood but </w:t>
      </w:r>
      <w:r w:rsidR="00B03FB1" w:rsidRPr="00846769">
        <w:t>they</w:t>
      </w:r>
      <w:r w:rsidRPr="00846769">
        <w:t xml:space="preserve"> can coincide with environmental conditions, such as food limitation in the case of </w:t>
      </w:r>
      <w:r w:rsidRPr="00846769">
        <w:rPr>
          <w:i/>
          <w:iCs/>
        </w:rPr>
        <w:t xml:space="preserve">Mytella strigata </w:t>
      </w:r>
      <w:r w:rsidRPr="00846769">
        <w:t xml:space="preserve">or age in the case of </w:t>
      </w:r>
      <w:r w:rsidRPr="00846769">
        <w:rPr>
          <w:i/>
          <w:iCs/>
        </w:rPr>
        <w:t xml:space="preserve">Ostrea </w:t>
      </w:r>
      <w:r w:rsidRPr="00846769">
        <w:t xml:space="preserve">spp. </w:t>
      </w:r>
      <w:r w:rsidRPr="00846769">
        <w:rPr>
          <w:i/>
          <w:iCs/>
        </w:rPr>
        <w:t xml:space="preserve">Mytilopsis sallei </w:t>
      </w:r>
      <w:r w:rsidRPr="00846769">
        <w:t xml:space="preserve">can change </w:t>
      </w:r>
      <w:r w:rsidRPr="00C31A57">
        <w:t>sex throughout its life so at any time a proportion of the population can be hermaphrodites (</w:t>
      </w:r>
      <w:proofErr w:type="spellStart"/>
      <w:r w:rsidRPr="00C31A57">
        <w:t>Karande</w:t>
      </w:r>
      <w:proofErr w:type="spellEnd"/>
      <w:r w:rsidRPr="00C31A57">
        <w:t xml:space="preserve"> &amp; Menon 1975).</w:t>
      </w:r>
      <w:r w:rsidRPr="00846769">
        <w:t xml:space="preserve"> </w:t>
      </w:r>
    </w:p>
    <w:p w14:paraId="7C47E98F" w14:textId="1B354A37" w:rsidR="0067694B" w:rsidRPr="00C31A57" w:rsidRDefault="0067694B" w:rsidP="0067694B">
      <w:r w:rsidRPr="00846769">
        <w:t xml:space="preserve">Generally, bivalves are broadcast spawners, releasing sperm and eggs into </w:t>
      </w:r>
      <w:r w:rsidR="005428CA">
        <w:t xml:space="preserve">the </w:t>
      </w:r>
      <w:r w:rsidRPr="00846769">
        <w:t>water column where external fertilisation takes place. The fertilised egg first develops into trochophore larvae then into veliger larvae. Larvae disperse as plankton, either passively via ocean currents or by active swimming, and can remain in plankton from days to week</w:t>
      </w:r>
      <w:r w:rsidR="00C07B46" w:rsidRPr="00846769">
        <w:t>s</w:t>
      </w:r>
      <w:r w:rsidRPr="00846769">
        <w:t>. The veliger larvae settle on the substrata, metamorphose into juveniles</w:t>
      </w:r>
      <w:r w:rsidR="003E0032" w:rsidRPr="00846769">
        <w:t>,</w:t>
      </w:r>
      <w:r w:rsidRPr="00846769">
        <w:t xml:space="preserve"> and then grow into adults (</w:t>
      </w:r>
      <w:r w:rsidR="00523D23" w:rsidRPr="00846769">
        <w:fldChar w:fldCharType="begin"/>
      </w:r>
      <w:r w:rsidR="00523D23" w:rsidRPr="00846769">
        <w:instrText xml:space="preserve"> REF _Ref171680426 \h  \* MERGEFORMAT </w:instrText>
      </w:r>
      <w:r w:rsidR="00523D23" w:rsidRPr="00846769">
        <w:fldChar w:fldCharType="separate"/>
      </w:r>
      <w:r w:rsidR="00523D23" w:rsidRPr="00846769">
        <w:t>Figure 2</w:t>
      </w:r>
      <w:r w:rsidR="00523D23" w:rsidRPr="00846769">
        <w:fldChar w:fldCharType="end"/>
      </w:r>
      <w:r w:rsidRPr="00846769">
        <w:t xml:space="preserve">). Some species, such as flat oysters (genus </w:t>
      </w:r>
      <w:r w:rsidRPr="00846769">
        <w:rPr>
          <w:i/>
          <w:iCs/>
        </w:rPr>
        <w:t>Ostrea</w:t>
      </w:r>
      <w:r w:rsidRPr="00846769">
        <w:t xml:space="preserve">) have evolved brooding behaviour, where they draw in water containing </w:t>
      </w:r>
      <w:r w:rsidRPr="00846769">
        <w:lastRenderedPageBreak/>
        <w:t>sperm</w:t>
      </w:r>
      <w:r w:rsidR="006B0AB1">
        <w:t xml:space="preserve">; </w:t>
      </w:r>
      <w:r w:rsidRPr="00846769">
        <w:t xml:space="preserve">fertilisation occurs </w:t>
      </w:r>
      <w:proofErr w:type="gramStart"/>
      <w:r w:rsidRPr="00846769">
        <w:t>internally</w:t>
      </w:r>
      <w:proofErr w:type="gramEnd"/>
      <w:r w:rsidRPr="00846769">
        <w:t xml:space="preserve"> and the larvae are retained until they are ready to settle. </w:t>
      </w:r>
      <w:r w:rsidR="00C04EB6">
        <w:t>Non-</w:t>
      </w:r>
      <w:r w:rsidR="00C04EB6" w:rsidRPr="00C31A57">
        <w:t xml:space="preserve">native </w:t>
      </w:r>
      <w:r w:rsidR="00F40D92" w:rsidRPr="00C31A57">
        <w:rPr>
          <w:i/>
          <w:iCs/>
        </w:rPr>
        <w:t xml:space="preserve">Ostrea </w:t>
      </w:r>
      <w:r w:rsidR="00C04EB6" w:rsidRPr="00C31A57">
        <w:t xml:space="preserve">spp. </w:t>
      </w:r>
      <w:r w:rsidR="00F40D92" w:rsidRPr="00C31A57">
        <w:t xml:space="preserve">are </w:t>
      </w:r>
      <w:r w:rsidR="00C04EB6" w:rsidRPr="00C31A57">
        <w:t xml:space="preserve">not regarded as an invasion risk for </w:t>
      </w:r>
      <w:r w:rsidR="00F40D92" w:rsidRPr="00C31A57">
        <w:t>Australia.</w:t>
      </w:r>
    </w:p>
    <w:p w14:paraId="6DD810AD" w14:textId="78296106" w:rsidR="0067694B" w:rsidRPr="00846769" w:rsidRDefault="003E0032" w:rsidP="0067694B">
      <w:r w:rsidRPr="00C31A57">
        <w:t>Reproduction is an important factor that influences establishment and spread of an introduced species (</w:t>
      </w:r>
      <w:proofErr w:type="spellStart"/>
      <w:r w:rsidRPr="00C31A57">
        <w:t>Geburzi</w:t>
      </w:r>
      <w:proofErr w:type="spellEnd"/>
      <w:r w:rsidRPr="00C31A57">
        <w:t xml:space="preserve"> &amp; McCarthy 2018). </w:t>
      </w:r>
      <w:r w:rsidR="00846F4E" w:rsidRPr="00C31A57">
        <w:t>Some reproductive traits that may increase invasion success include fecundity, the size at onset of sexual maturity, reproductive/mating strategy, the number, timing, and duration of spawning events, growth rates</w:t>
      </w:r>
      <w:r w:rsidR="00523D23" w:rsidRPr="00C31A57">
        <w:t>,</w:t>
      </w:r>
      <w:r w:rsidR="00846F4E" w:rsidRPr="00C31A57">
        <w:t xml:space="preserve"> and larval duration (</w:t>
      </w:r>
      <w:proofErr w:type="spellStart"/>
      <w:r w:rsidR="00846F4E" w:rsidRPr="00C31A57">
        <w:t>Geburzi</w:t>
      </w:r>
      <w:proofErr w:type="spellEnd"/>
      <w:r w:rsidR="00846F4E" w:rsidRPr="00C31A57">
        <w:t xml:space="preserve"> &amp; McCarthy 2018). </w:t>
      </w:r>
      <w:r w:rsidR="004C11BB" w:rsidRPr="00C31A57">
        <w:t>Some invasive b</w:t>
      </w:r>
      <w:r w:rsidR="0067694B" w:rsidRPr="00C31A57">
        <w:t>ivalves are highly fecund</w:t>
      </w:r>
      <w:r w:rsidR="0067694B" w:rsidRPr="00846769">
        <w:t>, with female</w:t>
      </w:r>
      <w:r w:rsidR="004C11BB" w:rsidRPr="00846769">
        <w:t xml:space="preserve">s </w:t>
      </w:r>
      <w:r w:rsidR="0067694B" w:rsidRPr="00846769">
        <w:t>capable of releasing tens of thousands of eggs</w:t>
      </w:r>
      <w:r w:rsidR="00716277" w:rsidRPr="00846769">
        <w:t xml:space="preserve"> in a single brood</w:t>
      </w:r>
      <w:r w:rsidR="0067694B" w:rsidRPr="00846769">
        <w:t xml:space="preserve">. Spawning can occur simultaneously within a population (known as mass spawning) or over a prolonged period with animals releasing sperm and ova continuously for weeks to months. Mass spawning is usually synchronised with changes in the external environment such as water temperature. </w:t>
      </w:r>
      <w:r w:rsidR="00846F4E" w:rsidRPr="00846769">
        <w:t xml:space="preserve">For example, </w:t>
      </w:r>
      <w:r w:rsidR="0067694B" w:rsidRPr="00846769">
        <w:rPr>
          <w:i/>
          <w:iCs/>
        </w:rPr>
        <w:t xml:space="preserve">Magallana gigas </w:t>
      </w:r>
      <w:r w:rsidR="0067694B" w:rsidRPr="00846769">
        <w:t>predominantly spawns when water temperature is over 20</w:t>
      </w:r>
      <w:r w:rsidR="0067694B" w:rsidRPr="00846769">
        <w:rPr>
          <w:rFonts w:cstheme="minorHAnsi"/>
        </w:rPr>
        <w:t>°</w:t>
      </w:r>
      <w:r w:rsidR="0067694B" w:rsidRPr="00846769">
        <w:t>C and rarely when water temperature is under 15</w:t>
      </w:r>
      <w:r w:rsidR="0067694B" w:rsidRPr="00846769">
        <w:rPr>
          <w:rFonts w:cstheme="minorHAnsi"/>
        </w:rPr>
        <w:t>°</w:t>
      </w:r>
      <w:r w:rsidR="0067694B" w:rsidRPr="00846769">
        <w:t xml:space="preserve">C. </w:t>
      </w:r>
    </w:p>
    <w:p w14:paraId="1504B543" w14:textId="77D3A2DB" w:rsidR="0067694B" w:rsidRPr="00846769" w:rsidRDefault="0067694B" w:rsidP="0067694B">
      <w:r w:rsidRPr="00846769">
        <w:t xml:space="preserve">The length of time larvae spend in plankton </w:t>
      </w:r>
      <w:r w:rsidR="006B0AB1" w:rsidRPr="00846769">
        <w:t>varies between species</w:t>
      </w:r>
      <w:r w:rsidR="006B0AB1">
        <w:t xml:space="preserve"> and is also influenced by water temperature and feed supply</w:t>
      </w:r>
      <w:r w:rsidRPr="00846769">
        <w:t xml:space="preserve">. </w:t>
      </w:r>
      <w:r w:rsidRPr="00846769">
        <w:rPr>
          <w:i/>
          <w:iCs/>
        </w:rPr>
        <w:t xml:space="preserve">Magallana gigas </w:t>
      </w:r>
      <w:r w:rsidRPr="00846769">
        <w:t xml:space="preserve">has a </w:t>
      </w:r>
      <w:r w:rsidR="006B0AB1">
        <w:t xml:space="preserve">relatively </w:t>
      </w:r>
      <w:r w:rsidRPr="00846769">
        <w:t xml:space="preserve">long larval period of around three weeks, </w:t>
      </w:r>
      <w:r w:rsidR="008C03CA" w:rsidRPr="00846769">
        <w:rPr>
          <w:i/>
          <w:iCs/>
        </w:rPr>
        <w:t>P</w:t>
      </w:r>
      <w:r w:rsidR="00681C53" w:rsidRPr="00846769">
        <w:rPr>
          <w:i/>
          <w:iCs/>
        </w:rPr>
        <w:t>.</w:t>
      </w:r>
      <w:r w:rsidR="008C03CA" w:rsidRPr="00846769">
        <w:rPr>
          <w:i/>
          <w:iCs/>
        </w:rPr>
        <w:t xml:space="preserve"> </w:t>
      </w:r>
      <w:r w:rsidRPr="00846769">
        <w:rPr>
          <w:i/>
          <w:iCs/>
        </w:rPr>
        <w:t xml:space="preserve">amurensis </w:t>
      </w:r>
      <w:r w:rsidRPr="00846769">
        <w:t xml:space="preserve">is around 17 days, whereas </w:t>
      </w:r>
      <w:r w:rsidRPr="00846769">
        <w:rPr>
          <w:i/>
          <w:iCs/>
        </w:rPr>
        <w:t xml:space="preserve">M. sallei </w:t>
      </w:r>
      <w:r w:rsidRPr="00846769">
        <w:t>has a comparatively shorter larval phase of around one week. The length of time larvae spend as plankton can impact their ability to spread by some pathways, such as ballast water</w:t>
      </w:r>
      <w:r w:rsidR="00846F4E" w:rsidRPr="00846769">
        <w:t xml:space="preserve"> or ocean currents</w:t>
      </w:r>
      <w:r w:rsidRPr="00846769">
        <w:t xml:space="preserve">. For instance, </w:t>
      </w:r>
      <w:r w:rsidRPr="00846769">
        <w:rPr>
          <w:i/>
          <w:iCs/>
        </w:rPr>
        <w:t xml:space="preserve">P. amurensis </w:t>
      </w:r>
      <w:r w:rsidRPr="00846769">
        <w:t xml:space="preserve">is more likely to spread via ballast water over longer distances than </w:t>
      </w:r>
      <w:r w:rsidRPr="00846769">
        <w:rPr>
          <w:i/>
          <w:iCs/>
        </w:rPr>
        <w:t xml:space="preserve">M. sallei </w:t>
      </w:r>
      <w:r w:rsidRPr="00846769">
        <w:t>because of its longer larval period.</w:t>
      </w:r>
    </w:p>
    <w:p w14:paraId="6A30D3FA" w14:textId="49404BFD" w:rsidR="00910623" w:rsidRPr="00846769" w:rsidRDefault="00910623" w:rsidP="00543FAD">
      <w:pPr>
        <w:pStyle w:val="Caption"/>
      </w:pPr>
      <w:bookmarkStart w:id="50" w:name="_Ref171680426"/>
      <w:bookmarkStart w:id="51" w:name="_Toc191999515"/>
      <w:r w:rsidRPr="00846769">
        <w:t xml:space="preserve">Figure </w:t>
      </w:r>
      <w:r w:rsidR="00C53006" w:rsidRPr="00846769">
        <w:fldChar w:fldCharType="begin"/>
      </w:r>
      <w:r w:rsidR="00C53006" w:rsidRPr="00846769">
        <w:instrText xml:space="preserve"> SEQ Figure \* ARABIC </w:instrText>
      </w:r>
      <w:r w:rsidR="00C53006" w:rsidRPr="00846769">
        <w:fldChar w:fldCharType="separate"/>
      </w:r>
      <w:r w:rsidR="00192097" w:rsidRPr="00846769">
        <w:t>2</w:t>
      </w:r>
      <w:r w:rsidR="00C53006" w:rsidRPr="00846769">
        <w:fldChar w:fldCharType="end"/>
      </w:r>
      <w:bookmarkEnd w:id="50"/>
      <w:r w:rsidRPr="00846769">
        <w:t xml:space="preserve"> </w:t>
      </w:r>
      <w:r w:rsidR="00846F4E" w:rsidRPr="00846769">
        <w:t>General l</w:t>
      </w:r>
      <w:r w:rsidRPr="00846769">
        <w:t>ifecycle of marine bivalves</w:t>
      </w:r>
      <w:bookmarkEnd w:id="51"/>
    </w:p>
    <w:p w14:paraId="5E470579" w14:textId="40EB3548" w:rsidR="0067694B" w:rsidRPr="00846769" w:rsidRDefault="0067694B" w:rsidP="0067694B">
      <w:r w:rsidRPr="00846769">
        <w:rPr>
          <w:noProof/>
        </w:rPr>
        <w:drawing>
          <wp:inline distT="0" distB="0" distL="0" distR="0" wp14:anchorId="40028A2F" wp14:editId="27489710">
            <wp:extent cx="5645888" cy="4125618"/>
            <wp:effectExtent l="0" t="0" r="0" b="8255"/>
            <wp:docPr id="1" name="Picture 1" descr="Diagram of line drawings showing the general life cycle of marine bivalves from fertilised egg, to larvae, to juvenile adult, and full ad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line drawings showing the general life cycle of marine bivalves from fertilised egg, to larvae, to juvenile adult, and full adult. "/>
                    <pic:cNvPicPr/>
                  </pic:nvPicPr>
                  <pic:blipFill>
                    <a:blip r:embed="rId53" cstate="email">
                      <a:extLst>
                        <a:ext uri="{28A0092B-C50C-407E-A947-70E740481C1C}">
                          <a14:useLocalDpi xmlns:a14="http://schemas.microsoft.com/office/drawing/2010/main" val="0"/>
                        </a:ext>
                      </a:extLst>
                    </a:blip>
                    <a:stretch>
                      <a:fillRect/>
                    </a:stretch>
                  </pic:blipFill>
                  <pic:spPr>
                    <a:xfrm>
                      <a:off x="0" y="0"/>
                      <a:ext cx="5650606" cy="4129066"/>
                    </a:xfrm>
                    <a:prstGeom prst="rect">
                      <a:avLst/>
                    </a:prstGeom>
                  </pic:spPr>
                </pic:pic>
              </a:graphicData>
            </a:graphic>
          </wp:inline>
        </w:drawing>
      </w:r>
    </w:p>
    <w:p w14:paraId="0F3A2ADD" w14:textId="1E2E14CD" w:rsidR="0067694B" w:rsidRPr="00846769" w:rsidRDefault="0067694B" w:rsidP="00910623">
      <w:pPr>
        <w:pStyle w:val="FigureTableNoteSource"/>
      </w:pPr>
      <w:r w:rsidRPr="00846769">
        <w:t>Source: Kimberley Seaward, NIWA</w:t>
      </w:r>
    </w:p>
    <w:p w14:paraId="2694AE79" w14:textId="5C2FFECA" w:rsidR="00A71BFB" w:rsidRPr="00846769" w:rsidRDefault="00B5740F" w:rsidP="000C173B">
      <w:pPr>
        <w:pStyle w:val="Heading4"/>
      </w:pPr>
      <w:r w:rsidRPr="00846769">
        <w:lastRenderedPageBreak/>
        <w:t>Inf</w:t>
      </w:r>
      <w:r w:rsidR="307098EB" w:rsidRPr="00846769">
        <w:t>a</w:t>
      </w:r>
      <w:r w:rsidRPr="00846769">
        <w:t>unal bivalves</w:t>
      </w:r>
    </w:p>
    <w:p w14:paraId="1C5B552C" w14:textId="5478F2AF" w:rsidR="00874A09" w:rsidRPr="00846769" w:rsidRDefault="00B5740F" w:rsidP="00BF317B">
      <w:r w:rsidRPr="00846769">
        <w:t>Bivalves live in a range of marine</w:t>
      </w:r>
      <w:r w:rsidR="00AC51FB" w:rsidRPr="00846769">
        <w:t>, brackish</w:t>
      </w:r>
      <w:r w:rsidR="005C3EEE" w:rsidRPr="00846769">
        <w:t>,</w:t>
      </w:r>
      <w:r w:rsidRPr="00846769">
        <w:t xml:space="preserve"> </w:t>
      </w:r>
      <w:r w:rsidR="00B03FB1" w:rsidRPr="00846769">
        <w:t xml:space="preserve">and freshwater </w:t>
      </w:r>
      <w:r w:rsidRPr="00846769">
        <w:t>environments. As adults they may spend their life buried in marine sediments (infaunal) or on the surface of the seafloor or hard substrata</w:t>
      </w:r>
      <w:r w:rsidR="00924036" w:rsidRPr="00846769">
        <w:t xml:space="preserve"> </w:t>
      </w:r>
      <w:r w:rsidRPr="00846769">
        <w:t xml:space="preserve">(epifaunal). Most species of marine bivalves are infaunal, living </w:t>
      </w:r>
      <w:r w:rsidR="00C04EB6">
        <w:t>full</w:t>
      </w:r>
      <w:r w:rsidR="00F44434">
        <w:t>y</w:t>
      </w:r>
      <w:r w:rsidR="00C04EB6">
        <w:t xml:space="preserve"> or partially </w:t>
      </w:r>
      <w:r w:rsidRPr="00846769">
        <w:t>buried in</w:t>
      </w:r>
      <w:r w:rsidR="006B0AB1">
        <w:t>,</w:t>
      </w:r>
      <w:r w:rsidRPr="00846769">
        <w:t xml:space="preserve"> or on the surface of</w:t>
      </w:r>
      <w:r w:rsidR="006B0AB1">
        <w:t>,</w:t>
      </w:r>
      <w:r w:rsidRPr="00846769">
        <w:t xml:space="preserve"> soft marine substrata such as sand, silt, mud, or gravel. Many infaunal species</w:t>
      </w:r>
      <w:r w:rsidR="00FA570D" w:rsidRPr="00846769">
        <w:t xml:space="preserve"> are parts</w:t>
      </w:r>
      <w:r w:rsidRPr="00846769">
        <w:t xml:space="preserve"> of intertidal or subtidal communities </w:t>
      </w:r>
      <w:r w:rsidR="009774BF" w:rsidRPr="00846769">
        <w:t>within</w:t>
      </w:r>
      <w:r w:rsidR="008C03CA" w:rsidRPr="00846769">
        <w:t xml:space="preserve"> </w:t>
      </w:r>
      <w:r w:rsidRPr="00846769">
        <w:t xml:space="preserve">estuaries and sheltered bays. There are </w:t>
      </w:r>
      <w:r w:rsidR="009774BF" w:rsidRPr="00846769">
        <w:t xml:space="preserve">many </w:t>
      </w:r>
      <w:r w:rsidRPr="00846769">
        <w:t>infaunal marine bivalves that live in deeper coastal and ocean sediments</w:t>
      </w:r>
      <w:r w:rsidR="00874A09" w:rsidRPr="00846769">
        <w:t xml:space="preserve"> </w:t>
      </w:r>
      <w:r w:rsidR="00D52928" w:rsidRPr="00846769">
        <w:t xml:space="preserve">exceeding 100 m depth or more </w:t>
      </w:r>
      <w:r w:rsidR="00874A09" w:rsidRPr="00846769">
        <w:t>(</w:t>
      </w:r>
      <w:r w:rsidR="00F40D92">
        <w:t>e.g.</w:t>
      </w:r>
      <w:r w:rsidR="00874A09" w:rsidRPr="00846769">
        <w:t xml:space="preserve"> </w:t>
      </w:r>
      <w:proofErr w:type="spellStart"/>
      <w:r w:rsidR="00874A09" w:rsidRPr="00846769">
        <w:rPr>
          <w:rFonts w:cs="Times New Roman"/>
          <w:color w:val="000000"/>
        </w:rPr>
        <w:t>Cuspidariidae</w:t>
      </w:r>
      <w:proofErr w:type="spellEnd"/>
      <w:r w:rsidR="00874A09" w:rsidRPr="00846769">
        <w:rPr>
          <w:rFonts w:cs="Times New Roman"/>
          <w:color w:val="000000"/>
        </w:rPr>
        <w:t xml:space="preserve">, </w:t>
      </w:r>
      <w:proofErr w:type="spellStart"/>
      <w:r w:rsidR="00874A09" w:rsidRPr="00846769">
        <w:rPr>
          <w:rFonts w:cs="Times New Roman"/>
          <w:color w:val="000000"/>
        </w:rPr>
        <w:t>Poromyidae</w:t>
      </w:r>
      <w:proofErr w:type="spellEnd"/>
      <w:r w:rsidR="00874A09" w:rsidRPr="00846769">
        <w:rPr>
          <w:rFonts w:cs="Times New Roman"/>
          <w:color w:val="000000"/>
        </w:rPr>
        <w:t xml:space="preserve">, Bentholyonsiidae, </w:t>
      </w:r>
      <w:proofErr w:type="spellStart"/>
      <w:r w:rsidR="00874A09" w:rsidRPr="00846769">
        <w:rPr>
          <w:rFonts w:cs="Times New Roman"/>
          <w:color w:val="000000"/>
        </w:rPr>
        <w:t>Euciroidae</w:t>
      </w:r>
      <w:proofErr w:type="spellEnd"/>
      <w:r w:rsidR="00874A09" w:rsidRPr="00846769">
        <w:rPr>
          <w:rFonts w:cs="Times New Roman"/>
          <w:color w:val="000000"/>
        </w:rPr>
        <w:t xml:space="preserve">, </w:t>
      </w:r>
      <w:proofErr w:type="spellStart"/>
      <w:r w:rsidR="00874A09" w:rsidRPr="00846769">
        <w:rPr>
          <w:rFonts w:cs="Times New Roman"/>
          <w:color w:val="000000"/>
        </w:rPr>
        <w:t>Lyonsiellidae</w:t>
      </w:r>
      <w:proofErr w:type="spellEnd"/>
      <w:r w:rsidR="00874A09" w:rsidRPr="00846769">
        <w:rPr>
          <w:rFonts w:cs="Times New Roman"/>
          <w:color w:val="000000"/>
        </w:rPr>
        <w:t xml:space="preserve"> and </w:t>
      </w:r>
      <w:proofErr w:type="spellStart"/>
      <w:r w:rsidR="00874A09" w:rsidRPr="00846769">
        <w:rPr>
          <w:rFonts w:cs="Times New Roman"/>
          <w:color w:val="000000"/>
        </w:rPr>
        <w:t>Verticordiidae</w:t>
      </w:r>
      <w:proofErr w:type="spellEnd"/>
      <w:r w:rsidR="00874A09" w:rsidRPr="00846769">
        <w:rPr>
          <w:rFonts w:cs="Times New Roman"/>
          <w:color w:val="000000"/>
        </w:rPr>
        <w:t>)</w:t>
      </w:r>
      <w:r w:rsidRPr="00846769">
        <w:t xml:space="preserve">. </w:t>
      </w:r>
      <w:r w:rsidR="00874A09" w:rsidRPr="00846769">
        <w:t xml:space="preserve">However, most invasive </w:t>
      </w:r>
      <w:r w:rsidR="004467D2" w:rsidRPr="00846769">
        <w:t xml:space="preserve">marine </w:t>
      </w:r>
      <w:r w:rsidR="00874A09" w:rsidRPr="00846769">
        <w:t xml:space="preserve">bivalve species tend to be intertidal or shallow-water species (&lt;50 m depth). </w:t>
      </w:r>
      <w:r w:rsidRPr="00846769">
        <w:t xml:space="preserve"> </w:t>
      </w:r>
    </w:p>
    <w:p w14:paraId="57CDAC9C" w14:textId="68F85D09" w:rsidR="00874A09" w:rsidRPr="00846769" w:rsidRDefault="005C3EEE" w:rsidP="00BF317B">
      <w:r w:rsidRPr="00846769">
        <w:t>Examples of invasive infaunal species</w:t>
      </w:r>
      <w:r w:rsidR="00B5740F" w:rsidRPr="00846769">
        <w:t xml:space="preserve"> include clams, such as </w:t>
      </w:r>
      <w:r w:rsidR="00B5740F" w:rsidRPr="00846769">
        <w:rPr>
          <w:i/>
          <w:iCs/>
        </w:rPr>
        <w:t>M</w:t>
      </w:r>
      <w:r w:rsidR="00D501E8" w:rsidRPr="00846769">
        <w:rPr>
          <w:i/>
          <w:iCs/>
        </w:rPr>
        <w:t>ya</w:t>
      </w:r>
      <w:r w:rsidR="00B5740F" w:rsidRPr="00846769">
        <w:rPr>
          <w:i/>
          <w:iCs/>
        </w:rPr>
        <w:t xml:space="preserve"> </w:t>
      </w:r>
      <w:r w:rsidR="00BE5A6F" w:rsidRPr="00846769">
        <w:rPr>
          <w:i/>
          <w:iCs/>
        </w:rPr>
        <w:t>japonica</w:t>
      </w:r>
      <w:r w:rsidR="00B5740F" w:rsidRPr="00846769">
        <w:rPr>
          <w:i/>
          <w:iCs/>
        </w:rPr>
        <w:t xml:space="preserve">, </w:t>
      </w:r>
      <w:r w:rsidR="00C04EB6">
        <w:rPr>
          <w:rStyle w:val="Emphasis"/>
        </w:rPr>
        <w:t xml:space="preserve">P. </w:t>
      </w:r>
      <w:r w:rsidR="00B5740F" w:rsidRPr="00846769">
        <w:rPr>
          <w:i/>
          <w:iCs/>
        </w:rPr>
        <w:t xml:space="preserve">amurensis </w:t>
      </w:r>
      <w:r w:rsidR="00B5740F" w:rsidRPr="00846769">
        <w:t xml:space="preserve">and </w:t>
      </w:r>
      <w:r w:rsidR="00D501E8" w:rsidRPr="00846769">
        <w:rPr>
          <w:rFonts w:cstheme="minorHAnsi"/>
          <w:i/>
          <w:iCs/>
        </w:rPr>
        <w:t>Varicorbula</w:t>
      </w:r>
      <w:r w:rsidR="00D501E8" w:rsidRPr="00846769">
        <w:rPr>
          <w:i/>
          <w:iCs/>
        </w:rPr>
        <w:t> </w:t>
      </w:r>
      <w:r w:rsidR="00B5740F" w:rsidRPr="00846769">
        <w:rPr>
          <w:i/>
          <w:iCs/>
        </w:rPr>
        <w:t>gibba.</w:t>
      </w:r>
      <w:r w:rsidR="00B5740F" w:rsidRPr="00846769">
        <w:t xml:space="preserve"> Burying in the sediment is a method that protects the bivalves from predation, desiccation, and unfavourable environments. Infaunal species bury into the sediment using a muscular foot, </w:t>
      </w:r>
      <w:r w:rsidR="009774BF" w:rsidRPr="00846769">
        <w:t xml:space="preserve">often </w:t>
      </w:r>
      <w:r w:rsidR="00B5740F" w:rsidRPr="00846769">
        <w:t>positioning themselves vertically so only their siphons are exposed above the sediment</w:t>
      </w:r>
      <w:r w:rsidR="009774BF" w:rsidRPr="00846769">
        <w:t>, while some families (</w:t>
      </w:r>
      <w:r w:rsidR="0004422F">
        <w:t>e.g.</w:t>
      </w:r>
      <w:r w:rsidR="005428CA">
        <w:t xml:space="preserve"> family</w:t>
      </w:r>
      <w:r w:rsidR="009774BF" w:rsidRPr="00846769">
        <w:t xml:space="preserve"> Tellinidae) position themselves obliquely in the sediment</w:t>
      </w:r>
      <w:r w:rsidR="00B5740F" w:rsidRPr="00846769">
        <w:t xml:space="preserve">. Water sucked into the inhalant siphon carries food and oxygen into the body and waste material is excreted via the exhalent siphon. Some clam species, such as </w:t>
      </w:r>
      <w:r w:rsidR="00B5740F" w:rsidRPr="00846769">
        <w:rPr>
          <w:i/>
          <w:iCs/>
        </w:rPr>
        <w:t>P. amurensis</w:t>
      </w:r>
      <w:r w:rsidRPr="00846769">
        <w:rPr>
          <w:i/>
          <w:iCs/>
        </w:rPr>
        <w:t>,</w:t>
      </w:r>
      <w:r w:rsidR="00B5740F" w:rsidRPr="00846769">
        <w:rPr>
          <w:i/>
          <w:iCs/>
        </w:rPr>
        <w:t xml:space="preserve"> </w:t>
      </w:r>
      <w:r w:rsidR="00B5740F" w:rsidRPr="00846769">
        <w:t>can expose up to half of their body above the sediment surface, whereas some</w:t>
      </w:r>
      <w:r w:rsidR="002D3C14" w:rsidRPr="00846769">
        <w:t xml:space="preserve"> species,</w:t>
      </w:r>
      <w:r w:rsidR="00B5740F" w:rsidRPr="00846769">
        <w:t xml:space="preserve"> like </w:t>
      </w:r>
      <w:r w:rsidR="00B5740F" w:rsidRPr="00846769">
        <w:rPr>
          <w:i/>
          <w:iCs/>
        </w:rPr>
        <w:t xml:space="preserve">M. </w:t>
      </w:r>
      <w:r w:rsidR="00BE5A6F" w:rsidRPr="00846769">
        <w:rPr>
          <w:i/>
          <w:iCs/>
        </w:rPr>
        <w:t>japonica</w:t>
      </w:r>
      <w:r w:rsidR="002D3C14" w:rsidRPr="00846769">
        <w:rPr>
          <w:i/>
          <w:iCs/>
        </w:rPr>
        <w:t>,</w:t>
      </w:r>
      <w:r w:rsidR="00BE5A6F" w:rsidRPr="00846769">
        <w:rPr>
          <w:i/>
          <w:iCs/>
        </w:rPr>
        <w:t xml:space="preserve"> </w:t>
      </w:r>
      <w:r w:rsidR="00B5740F" w:rsidRPr="00846769">
        <w:t xml:space="preserve">can </w:t>
      </w:r>
      <w:proofErr w:type="spellStart"/>
      <w:r w:rsidR="00B5740F" w:rsidRPr="00846769">
        <w:t>burrow</w:t>
      </w:r>
      <w:proofErr w:type="spellEnd"/>
      <w:r w:rsidR="00B5740F" w:rsidRPr="00846769">
        <w:t xml:space="preserve"> up to 15 cm deep. </w:t>
      </w:r>
    </w:p>
    <w:p w14:paraId="2FEC551C" w14:textId="3670162A" w:rsidR="00A71BFB" w:rsidRPr="00846769" w:rsidRDefault="00B5740F" w:rsidP="000C173B">
      <w:pPr>
        <w:pStyle w:val="Heading4"/>
      </w:pPr>
      <w:r w:rsidRPr="00846769">
        <w:t>Epifaunal bivalves</w:t>
      </w:r>
    </w:p>
    <w:p w14:paraId="35E55A3C" w14:textId="5A5FACC8" w:rsidR="00241963" w:rsidRPr="00846769" w:rsidRDefault="00B5740F" w:rsidP="0067694B">
      <w:r w:rsidRPr="00846769">
        <w:t>Epifaunal bivalves are different to infaunal bivalves</w:t>
      </w:r>
      <w:r w:rsidR="000C77F7" w:rsidRPr="00846769">
        <w:t xml:space="preserve"> </w:t>
      </w:r>
      <w:r w:rsidR="00DD705F" w:rsidRPr="00846769">
        <w:t xml:space="preserve">in that they live on the surface of a substrate, such as hard surfaces, other organisms, or the seafloor. They may be attached or range freely over the surface. </w:t>
      </w:r>
      <w:r w:rsidR="00070A99" w:rsidRPr="00846769">
        <w:t xml:space="preserve">Byssus threads are hair- or bristle-like threads </w:t>
      </w:r>
      <w:r w:rsidR="00241963" w:rsidRPr="00846769">
        <w:t>which</w:t>
      </w:r>
      <w:r w:rsidR="00070A99" w:rsidRPr="00846769">
        <w:t xml:space="preserve"> are secreted by the muscular foot of juvenile and adult </w:t>
      </w:r>
      <w:r w:rsidR="00241963" w:rsidRPr="00846769">
        <w:t>mussels</w:t>
      </w:r>
      <w:r w:rsidR="005C3EEE" w:rsidRPr="00846769">
        <w:t xml:space="preserve"> to</w:t>
      </w:r>
      <w:r w:rsidR="00241963" w:rsidRPr="00846769">
        <w:t xml:space="preserve"> attach to</w:t>
      </w:r>
      <w:r w:rsidR="005C3EEE" w:rsidRPr="00846769">
        <w:t xml:space="preserve"> surfaces</w:t>
      </w:r>
      <w:r w:rsidR="00070A99" w:rsidRPr="00846769">
        <w:t xml:space="preserve">. </w:t>
      </w:r>
      <w:r w:rsidRPr="00846769">
        <w:t xml:space="preserve">Examples of </w:t>
      </w:r>
      <w:r w:rsidR="005C3EEE" w:rsidRPr="00846769">
        <w:t xml:space="preserve">invasive </w:t>
      </w:r>
      <w:r w:rsidR="000D1EA7" w:rsidRPr="00846769">
        <w:t>epifaunal bivalves</w:t>
      </w:r>
      <w:r w:rsidR="00241963" w:rsidRPr="00846769">
        <w:t xml:space="preserve"> which secrete byssus threads</w:t>
      </w:r>
      <w:r w:rsidR="000D1EA7" w:rsidRPr="00846769">
        <w:t xml:space="preserve"> </w:t>
      </w:r>
      <w:r w:rsidR="005C3EEE" w:rsidRPr="00846769">
        <w:t>include mussels (</w:t>
      </w:r>
      <w:r w:rsidR="0004422F">
        <w:t>i.e.</w:t>
      </w:r>
      <w:r w:rsidR="00D501E8" w:rsidRPr="00846769">
        <w:t xml:space="preserve"> </w:t>
      </w:r>
      <w:r w:rsidRPr="00846769">
        <w:rPr>
          <w:i/>
          <w:iCs/>
        </w:rPr>
        <w:t xml:space="preserve">Perna </w:t>
      </w:r>
      <w:r w:rsidRPr="00846769">
        <w:t>spp.</w:t>
      </w:r>
      <w:r w:rsidR="00BE5A6F" w:rsidRPr="00846769" w:rsidDel="00BE5A6F">
        <w:t xml:space="preserve"> </w:t>
      </w:r>
      <w:r w:rsidRPr="00846769">
        <w:t xml:space="preserve">and </w:t>
      </w:r>
      <w:r w:rsidR="00C04EB6" w:rsidRPr="00846769">
        <w:rPr>
          <w:i/>
          <w:iCs/>
        </w:rPr>
        <w:t>M</w:t>
      </w:r>
      <w:r w:rsidR="00C04EB6">
        <w:rPr>
          <w:i/>
          <w:iCs/>
        </w:rPr>
        <w:t xml:space="preserve">. </w:t>
      </w:r>
      <w:r w:rsidRPr="00846769">
        <w:rPr>
          <w:i/>
          <w:iCs/>
        </w:rPr>
        <w:t>strigata</w:t>
      </w:r>
      <w:r w:rsidR="005C3EEE" w:rsidRPr="00846769">
        <w:t>)</w:t>
      </w:r>
      <w:r w:rsidR="005C3EEE" w:rsidRPr="00846769">
        <w:rPr>
          <w:i/>
          <w:iCs/>
        </w:rPr>
        <w:t xml:space="preserve"> </w:t>
      </w:r>
      <w:r w:rsidR="00241963" w:rsidRPr="00846769">
        <w:t xml:space="preserve">and </w:t>
      </w:r>
      <w:proofErr w:type="gramStart"/>
      <w:r w:rsidR="005C3EEE" w:rsidRPr="00846769">
        <w:t>false-mussels</w:t>
      </w:r>
      <w:proofErr w:type="gramEnd"/>
      <w:r w:rsidR="005C3EEE" w:rsidRPr="00846769">
        <w:t xml:space="preserve"> (</w:t>
      </w:r>
      <w:r w:rsidR="0004422F">
        <w:t>e.g.</w:t>
      </w:r>
      <w:r w:rsidR="005C3EEE" w:rsidRPr="00846769">
        <w:t xml:space="preserve"> </w:t>
      </w:r>
      <w:r w:rsidR="006B0AB1" w:rsidRPr="00846769">
        <w:rPr>
          <w:i/>
          <w:iCs/>
        </w:rPr>
        <w:t>M</w:t>
      </w:r>
      <w:r w:rsidR="006B0AB1">
        <w:rPr>
          <w:i/>
          <w:iCs/>
        </w:rPr>
        <w:t>. </w:t>
      </w:r>
      <w:r w:rsidR="00BE5A6F" w:rsidRPr="00A04E26">
        <w:rPr>
          <w:i/>
          <w:iCs/>
        </w:rPr>
        <w:t>sallei</w:t>
      </w:r>
      <w:r w:rsidR="005C3EEE" w:rsidRPr="00846769">
        <w:t>)</w:t>
      </w:r>
      <w:r w:rsidR="00241963" w:rsidRPr="00846769">
        <w:t xml:space="preserve">. </w:t>
      </w:r>
      <w:r w:rsidRPr="00846769">
        <w:rPr>
          <w:i/>
          <w:iCs/>
        </w:rPr>
        <w:t>Mytella</w:t>
      </w:r>
      <w:r w:rsidR="006B0AB1">
        <w:rPr>
          <w:i/>
          <w:iCs/>
        </w:rPr>
        <w:t> </w:t>
      </w:r>
      <w:r w:rsidRPr="00846769">
        <w:rPr>
          <w:i/>
          <w:iCs/>
        </w:rPr>
        <w:t>strigata</w:t>
      </w:r>
      <w:r w:rsidR="00C04EB6">
        <w:rPr>
          <w:i/>
          <w:iCs/>
        </w:rPr>
        <w:t>, Arcuatula</w:t>
      </w:r>
      <w:r w:rsidR="006B0AB1">
        <w:rPr>
          <w:i/>
          <w:iCs/>
        </w:rPr>
        <w:t> </w:t>
      </w:r>
      <w:r w:rsidR="00C04EB6">
        <w:rPr>
          <w:i/>
          <w:iCs/>
        </w:rPr>
        <w:t>senhousia,</w:t>
      </w:r>
      <w:r w:rsidR="005428CA">
        <w:rPr>
          <w:i/>
          <w:iCs/>
        </w:rPr>
        <w:t xml:space="preserve"> </w:t>
      </w:r>
      <w:r w:rsidR="005428CA">
        <w:t xml:space="preserve">and </w:t>
      </w:r>
      <w:r w:rsidR="005428CA">
        <w:rPr>
          <w:i/>
          <w:iCs/>
        </w:rPr>
        <w:t>M.</w:t>
      </w:r>
      <w:r w:rsidR="006B0AB1">
        <w:rPr>
          <w:i/>
          <w:iCs/>
        </w:rPr>
        <w:t> </w:t>
      </w:r>
      <w:r w:rsidR="005428CA">
        <w:rPr>
          <w:i/>
          <w:iCs/>
        </w:rPr>
        <w:t>sallei</w:t>
      </w:r>
      <w:r w:rsidRPr="00846769">
        <w:rPr>
          <w:i/>
          <w:iCs/>
        </w:rPr>
        <w:t xml:space="preserve"> </w:t>
      </w:r>
      <w:r w:rsidR="005428CA">
        <w:t>are</w:t>
      </w:r>
      <w:r w:rsidRPr="00846769">
        <w:t xml:space="preserve"> epifaunal bivalve</w:t>
      </w:r>
      <w:r w:rsidR="005428CA">
        <w:t>s</w:t>
      </w:r>
      <w:r w:rsidR="00FA570D" w:rsidRPr="00846769">
        <w:t xml:space="preserve"> </w:t>
      </w:r>
      <w:r w:rsidR="005428CA">
        <w:t>which</w:t>
      </w:r>
      <w:r w:rsidR="005428CA" w:rsidRPr="00846769">
        <w:t xml:space="preserve"> </w:t>
      </w:r>
      <w:r w:rsidRPr="00846769">
        <w:t xml:space="preserve">can live both on and within soft </w:t>
      </w:r>
      <w:r w:rsidR="005428CA">
        <w:t>sediment</w:t>
      </w:r>
      <w:r w:rsidRPr="00846769">
        <w:t xml:space="preserve">. </w:t>
      </w:r>
    </w:p>
    <w:p w14:paraId="20941A15" w14:textId="44B1393C" w:rsidR="00846F4E" w:rsidRPr="00846769" w:rsidRDefault="00B5740F" w:rsidP="0067694B">
      <w:r w:rsidRPr="00846769">
        <w:t xml:space="preserve">Oysters are also epifaunal </w:t>
      </w:r>
      <w:r w:rsidR="00241963" w:rsidRPr="00846769">
        <w:t>bivalves</w:t>
      </w:r>
      <w:r w:rsidRPr="00846769">
        <w:t>, but instead of using byssal threads to attach themselves, they cement themselves in place via one of their shell</w:t>
      </w:r>
      <w:r w:rsidR="00792D59" w:rsidRPr="00846769">
        <w:t xml:space="preserve"> valves</w:t>
      </w:r>
      <w:r w:rsidRPr="00846769">
        <w:t>. Invasive oyster species include</w:t>
      </w:r>
      <w:r w:rsidR="00241963" w:rsidRPr="00846769">
        <w:t xml:space="preserve"> some members of the </w:t>
      </w:r>
      <w:r w:rsidR="00241963" w:rsidRPr="00846769">
        <w:rPr>
          <w:i/>
          <w:iCs/>
        </w:rPr>
        <w:t xml:space="preserve">Magallana </w:t>
      </w:r>
      <w:r w:rsidR="00241963" w:rsidRPr="00846769">
        <w:t>genus, with some species being widely cultivated (</w:t>
      </w:r>
      <w:r w:rsidR="0004422F">
        <w:t>i.e.</w:t>
      </w:r>
      <w:r w:rsidRPr="00846769">
        <w:t xml:space="preserve"> </w:t>
      </w:r>
      <w:r w:rsidR="002B26DF" w:rsidRPr="00846769">
        <w:rPr>
          <w:i/>
          <w:iCs/>
        </w:rPr>
        <w:t>M</w:t>
      </w:r>
      <w:r w:rsidR="002B26DF">
        <w:rPr>
          <w:i/>
          <w:iCs/>
        </w:rPr>
        <w:t>.</w:t>
      </w:r>
      <w:r w:rsidR="002B26DF" w:rsidRPr="00846769">
        <w:rPr>
          <w:i/>
          <w:iCs/>
        </w:rPr>
        <w:t xml:space="preserve"> </w:t>
      </w:r>
      <w:r w:rsidR="008C03CA" w:rsidRPr="00846769">
        <w:rPr>
          <w:i/>
          <w:iCs/>
        </w:rPr>
        <w:t>gigas</w:t>
      </w:r>
      <w:r w:rsidR="003B3CF9" w:rsidRPr="00846769">
        <w:rPr>
          <w:i/>
          <w:iCs/>
        </w:rPr>
        <w:t xml:space="preserve"> </w:t>
      </w:r>
      <w:r w:rsidR="003B3CF9" w:rsidRPr="00846769">
        <w:t xml:space="preserve">and </w:t>
      </w:r>
      <w:r w:rsidR="003B3CF9" w:rsidRPr="00846769">
        <w:rPr>
          <w:i/>
          <w:iCs/>
        </w:rPr>
        <w:t>M.</w:t>
      </w:r>
      <w:r w:rsidR="00C449A8">
        <w:rPr>
          <w:i/>
          <w:iCs/>
        </w:rPr>
        <w:t> </w:t>
      </w:r>
      <w:r w:rsidR="003B3CF9" w:rsidRPr="00846769">
        <w:rPr>
          <w:i/>
          <w:iCs/>
        </w:rPr>
        <w:t>ariakensis</w:t>
      </w:r>
      <w:r w:rsidR="00241963" w:rsidRPr="00846769">
        <w:t>)</w:t>
      </w:r>
      <w:r w:rsidRPr="00846769">
        <w:t xml:space="preserve">. Bivalves that attach themselves to </w:t>
      </w:r>
      <w:r w:rsidR="00BB117F" w:rsidRPr="00846769">
        <w:t xml:space="preserve">hard substrata </w:t>
      </w:r>
      <w:r w:rsidRPr="00846769">
        <w:t xml:space="preserve">are also referred to as </w:t>
      </w:r>
      <w:r w:rsidR="00241963" w:rsidRPr="00846769">
        <w:t>‘</w:t>
      </w:r>
      <w:r w:rsidRPr="00846769">
        <w:t>fouling</w:t>
      </w:r>
      <w:r w:rsidR="00241963" w:rsidRPr="00846769">
        <w:t>’</w:t>
      </w:r>
      <w:r w:rsidRPr="00846769">
        <w:t xml:space="preserve"> species because they can </w:t>
      </w:r>
      <w:r w:rsidR="003640C8" w:rsidRPr="00846769">
        <w:t>grow on</w:t>
      </w:r>
      <w:r w:rsidRPr="00846769">
        <w:t xml:space="preserve"> </w:t>
      </w:r>
      <w:r w:rsidR="00241963" w:rsidRPr="00846769">
        <w:t xml:space="preserve">both </w:t>
      </w:r>
      <w:r w:rsidRPr="00846769">
        <w:t xml:space="preserve">natural and manmade </w:t>
      </w:r>
      <w:r w:rsidR="00BB117F" w:rsidRPr="00846769">
        <w:t>substrata</w:t>
      </w:r>
      <w:r w:rsidR="003640C8" w:rsidRPr="00846769">
        <w:t xml:space="preserve"> and occasionally in high numbers</w:t>
      </w:r>
      <w:r w:rsidRPr="00846769">
        <w:t xml:space="preserve">. </w:t>
      </w:r>
      <w:r w:rsidR="00241963" w:rsidRPr="00846769">
        <w:t xml:space="preserve">For example, </w:t>
      </w:r>
      <w:r w:rsidRPr="00846769">
        <w:rPr>
          <w:i/>
          <w:iCs/>
        </w:rPr>
        <w:t>M</w:t>
      </w:r>
      <w:r w:rsidR="00241963" w:rsidRPr="00846769">
        <w:rPr>
          <w:i/>
          <w:iCs/>
        </w:rPr>
        <w:t>.</w:t>
      </w:r>
      <w:r w:rsidRPr="00846769">
        <w:rPr>
          <w:i/>
          <w:iCs/>
        </w:rPr>
        <w:t xml:space="preserve"> </w:t>
      </w:r>
      <w:r w:rsidR="00D501E8" w:rsidRPr="00846769">
        <w:rPr>
          <w:i/>
          <w:iCs/>
        </w:rPr>
        <w:t xml:space="preserve">sallei </w:t>
      </w:r>
      <w:r w:rsidRPr="00846769">
        <w:t xml:space="preserve">can be found in densities exceeding 23,000 per </w:t>
      </w:r>
      <w:r w:rsidRPr="00C31A57">
        <w:t>m</w:t>
      </w:r>
      <w:r w:rsidRPr="00C31A57">
        <w:rPr>
          <w:vertAlign w:val="superscript"/>
        </w:rPr>
        <w:t>2</w:t>
      </w:r>
      <w:r w:rsidRPr="00C31A57">
        <w:t xml:space="preserve"> (Bax et al. 2002).</w:t>
      </w:r>
      <w:r w:rsidRPr="00846769">
        <w:t xml:space="preserve"> </w:t>
      </w:r>
      <w:r w:rsidR="00241963" w:rsidRPr="00846769">
        <w:t xml:space="preserve">Both native and invasive bivalves can foul structures such as vessel hulls and niche areas, water supply pipes, engine cooling pipes, wharves, pontoons, pylons, buoys, and aquaculture equipment. </w:t>
      </w:r>
      <w:r w:rsidR="00846F4E" w:rsidRPr="00846769">
        <w:t xml:space="preserve">Invasive </w:t>
      </w:r>
      <w:r w:rsidR="00792D59" w:rsidRPr="00846769">
        <w:t xml:space="preserve">marine </w:t>
      </w:r>
      <w:r w:rsidR="00846F4E" w:rsidRPr="00846769">
        <w:t>bivalves can also foul natural structures like rocky shores and reefs and compete</w:t>
      </w:r>
      <w:r w:rsidR="002B26DF">
        <w:t xml:space="preserve"> with</w:t>
      </w:r>
      <w:r w:rsidR="00846F4E" w:rsidRPr="00846769">
        <w:t xml:space="preserve"> native sessile species for space.</w:t>
      </w:r>
    </w:p>
    <w:p w14:paraId="042E51A0" w14:textId="738D8053" w:rsidR="0067694B" w:rsidRPr="00846769" w:rsidRDefault="0067694B" w:rsidP="0067694B">
      <w:pPr>
        <w:pStyle w:val="Heading4"/>
      </w:pPr>
      <w:r w:rsidRPr="00846769">
        <w:t>Environmental tolerances</w:t>
      </w:r>
      <w:r w:rsidR="00D93C53" w:rsidRPr="00846769">
        <w:t xml:space="preserve"> and habitat</w:t>
      </w:r>
      <w:r w:rsidRPr="00846769">
        <w:t xml:space="preserve"> </w:t>
      </w:r>
    </w:p>
    <w:p w14:paraId="4A3128FA" w14:textId="24A7DD56" w:rsidR="00F00830" w:rsidRPr="00846769" w:rsidRDefault="0067694B" w:rsidP="0067694B">
      <w:r w:rsidRPr="00846769">
        <w:t xml:space="preserve">Bivalves inhabit a broad range of </w:t>
      </w:r>
      <w:r w:rsidR="00B05344" w:rsidRPr="00846769">
        <w:t xml:space="preserve">freshwater, </w:t>
      </w:r>
      <w:r w:rsidRPr="00846769">
        <w:t>brackish</w:t>
      </w:r>
      <w:r w:rsidR="00B05344" w:rsidRPr="00846769">
        <w:t>,</w:t>
      </w:r>
      <w:r w:rsidRPr="00846769">
        <w:t xml:space="preserve"> and marine habitats from the deep sea </w:t>
      </w:r>
      <w:r w:rsidR="004C38D8">
        <w:t xml:space="preserve">through </w:t>
      </w:r>
      <w:r w:rsidRPr="00846769">
        <w:t xml:space="preserve">to </w:t>
      </w:r>
      <w:r w:rsidR="004C38D8">
        <w:t>the high tide level</w:t>
      </w:r>
      <w:r w:rsidRPr="00846769">
        <w:t>, including rock shores, sandy shores, mudflats</w:t>
      </w:r>
      <w:r w:rsidR="00F00830" w:rsidRPr="00846769">
        <w:t>,</w:t>
      </w:r>
      <w:r w:rsidRPr="00846769">
        <w:t xml:space="preserve"> and estuarine areas. The closed, </w:t>
      </w:r>
      <w:r w:rsidR="00BB33F0" w:rsidRPr="00846769">
        <w:t xml:space="preserve">double </w:t>
      </w:r>
      <w:r w:rsidRPr="00846769">
        <w:t>shell allows bivalves to withstand emersion</w:t>
      </w:r>
      <w:r w:rsidR="00B05344" w:rsidRPr="00846769">
        <w:t>, desiccation (air-drying),</w:t>
      </w:r>
      <w:r w:rsidRPr="00846769">
        <w:t xml:space="preserve"> and unfavourable conditions</w:t>
      </w:r>
      <w:r w:rsidR="00B05344" w:rsidRPr="00846769">
        <w:t xml:space="preserve"> for periods of time. This can have management implications. For example, </w:t>
      </w:r>
      <w:r w:rsidR="00B05344" w:rsidRPr="00846769">
        <w:lastRenderedPageBreak/>
        <w:t>killing invasive bivalves via desiccation can take up to seven days</w:t>
      </w:r>
      <w:r w:rsidR="003B3CF9" w:rsidRPr="00846769">
        <w:t xml:space="preserve"> or even longer</w:t>
      </w:r>
      <w:r w:rsidR="00B05344" w:rsidRPr="00846769">
        <w:t xml:space="preserve"> in some species and the timing of this control method would need consideration</w:t>
      </w:r>
      <w:r w:rsidR="00874A09" w:rsidRPr="00846769">
        <w:t xml:space="preserve">. </w:t>
      </w:r>
      <w:r w:rsidRPr="00846769">
        <w:t xml:space="preserve"> </w:t>
      </w:r>
    </w:p>
    <w:p w14:paraId="5F3E2894" w14:textId="27BE5BF8" w:rsidR="00D93C53" w:rsidRPr="00846769" w:rsidRDefault="00D93C53" w:rsidP="00D93C53">
      <w:pPr>
        <w:rPr>
          <w:rFonts w:cstheme="minorHAnsi"/>
        </w:rPr>
      </w:pPr>
      <w:r w:rsidRPr="00846769">
        <w:rPr>
          <w:rFonts w:cstheme="minorHAnsi"/>
        </w:rPr>
        <w:t xml:space="preserve">Knowledge of habitat requirements of an invasive marine bivalve may assist in targeting surveillance within these habitats. For example, clams that are infaunal will usually inhabit soft benthic environments such as mudflats and sandy shores, rather than hard rocky intertidal substrates, whereas mussels and other epifaunal bivalves typically prefer settling on hard structures, such as wharves, pontoons, and vessel hulls. </w:t>
      </w:r>
    </w:p>
    <w:p w14:paraId="7FFE0FF5" w14:textId="022883B4" w:rsidR="0067694B" w:rsidRPr="00846769" w:rsidRDefault="0067694B" w:rsidP="0067694B">
      <w:r w:rsidRPr="00846769">
        <w:t xml:space="preserve">Bivalves that inhabit intertidal estuarine areas are particularly well adapted to a range of salinity conditions. For </w:t>
      </w:r>
      <w:r w:rsidRPr="00DD01E4">
        <w:t xml:space="preserve">example, adult </w:t>
      </w:r>
      <w:r w:rsidRPr="00DD01E4">
        <w:rPr>
          <w:i/>
          <w:iCs/>
        </w:rPr>
        <w:t>P</w:t>
      </w:r>
      <w:r w:rsidR="00B05344" w:rsidRPr="00DD01E4">
        <w:rPr>
          <w:i/>
          <w:iCs/>
        </w:rPr>
        <w:t>.</w:t>
      </w:r>
      <w:r w:rsidRPr="00DD01E4">
        <w:rPr>
          <w:i/>
          <w:iCs/>
        </w:rPr>
        <w:t xml:space="preserve"> amurensis </w:t>
      </w:r>
      <w:r w:rsidRPr="00DD01E4">
        <w:t>can tolerate salinities from 0.1 to 33 ppt</w:t>
      </w:r>
      <w:r w:rsidR="00F00830" w:rsidRPr="00DD01E4">
        <w:t>, however larval and juvenile stages have a narrower salinity t</w:t>
      </w:r>
      <w:r w:rsidR="00F00830" w:rsidRPr="00C31A57">
        <w:t xml:space="preserve">olerance between 10 and 33 </w:t>
      </w:r>
      <w:r w:rsidR="00C449A8" w:rsidRPr="00C31A57">
        <w:t xml:space="preserve">ppt </w:t>
      </w:r>
      <w:r w:rsidRPr="00C31A57">
        <w:t>(Nicolini &amp; Penry 2000). Bivalves can also thrive in degraded environments</w:t>
      </w:r>
      <w:r w:rsidRPr="00846769">
        <w:t xml:space="preserve">. </w:t>
      </w:r>
      <w:r w:rsidRPr="00846769">
        <w:rPr>
          <w:i/>
          <w:iCs/>
        </w:rPr>
        <w:t xml:space="preserve">Varicorbula gibba </w:t>
      </w:r>
      <w:r w:rsidRPr="00846769">
        <w:t xml:space="preserve">is considered an indicator of environmental degradation caused by pollution, low dissolved oxygen, or increased turbidity because of its ability to </w:t>
      </w:r>
      <w:r w:rsidR="00224770" w:rsidRPr="00846769">
        <w:t xml:space="preserve">survive in </w:t>
      </w:r>
      <w:r w:rsidRPr="00846769">
        <w:t xml:space="preserve">such poor conditions. The ability to tolerate low oxygen and low food environments is characteristic of many invasive bivalves. </w:t>
      </w:r>
      <w:r w:rsidRPr="00846769">
        <w:rPr>
          <w:i/>
          <w:iCs/>
        </w:rPr>
        <w:t xml:space="preserve">Mytilopsis sallei </w:t>
      </w:r>
      <w:r w:rsidRPr="00846769">
        <w:t xml:space="preserve">and </w:t>
      </w:r>
      <w:r w:rsidRPr="00846769">
        <w:rPr>
          <w:i/>
          <w:iCs/>
        </w:rPr>
        <w:t>P.</w:t>
      </w:r>
      <w:r w:rsidR="00C449A8">
        <w:rPr>
          <w:i/>
          <w:iCs/>
        </w:rPr>
        <w:t> </w:t>
      </w:r>
      <w:r w:rsidRPr="00846769">
        <w:rPr>
          <w:i/>
          <w:iCs/>
        </w:rPr>
        <w:t xml:space="preserve">amurensis </w:t>
      </w:r>
      <w:r w:rsidRPr="00846769">
        <w:t>have high tolerances to low oxygen</w:t>
      </w:r>
      <w:r w:rsidR="008B22A6" w:rsidRPr="00846769">
        <w:t xml:space="preserve"> and can live in</w:t>
      </w:r>
      <w:r w:rsidRPr="00846769">
        <w:t xml:space="preserve"> polluted </w:t>
      </w:r>
      <w:r w:rsidRPr="00C31A57">
        <w:t xml:space="preserve">or eutrophic areas. </w:t>
      </w:r>
      <w:r w:rsidRPr="00C31A57">
        <w:rPr>
          <w:i/>
          <w:iCs/>
        </w:rPr>
        <w:t>Mya</w:t>
      </w:r>
      <w:r w:rsidR="00C449A8">
        <w:rPr>
          <w:i/>
          <w:iCs/>
        </w:rPr>
        <w:t> </w:t>
      </w:r>
      <w:r w:rsidRPr="00C31A57">
        <w:rPr>
          <w:i/>
          <w:iCs/>
        </w:rPr>
        <w:t xml:space="preserve">arenaria </w:t>
      </w:r>
      <w:r w:rsidRPr="00C31A57">
        <w:t xml:space="preserve">can survive in an oxygen-free environment for up to 8 days (Cohen 2011) and </w:t>
      </w:r>
      <w:r w:rsidRPr="00C31A57">
        <w:rPr>
          <w:i/>
          <w:iCs/>
        </w:rPr>
        <w:t>M</w:t>
      </w:r>
      <w:r w:rsidR="00B05344" w:rsidRPr="00C31A57">
        <w:rPr>
          <w:i/>
          <w:iCs/>
        </w:rPr>
        <w:t xml:space="preserve">. </w:t>
      </w:r>
      <w:r w:rsidRPr="00C31A57">
        <w:rPr>
          <w:i/>
          <w:iCs/>
        </w:rPr>
        <w:t xml:space="preserve">gigas </w:t>
      </w:r>
      <w:r w:rsidRPr="00C31A57">
        <w:t>can tolerate being out of water for &gt;3 weeks (</w:t>
      </w:r>
      <w:proofErr w:type="spellStart"/>
      <w:r w:rsidRPr="00C31A57">
        <w:t>Atalah</w:t>
      </w:r>
      <w:proofErr w:type="spellEnd"/>
      <w:r w:rsidRPr="00C31A57">
        <w:t xml:space="preserve"> et al. 2016). </w:t>
      </w:r>
      <w:r w:rsidRPr="00C31A57">
        <w:rPr>
          <w:i/>
          <w:iCs/>
        </w:rPr>
        <w:t xml:space="preserve">Perna viridis </w:t>
      </w:r>
      <w:r w:rsidRPr="00C31A57">
        <w:t>is found in hypersaline lagoons (&gt;58 ppt) in Venezuela (Segnini de Bravo et al. 199</w:t>
      </w:r>
      <w:r w:rsidR="00DD01E4" w:rsidRPr="00C31A57">
        <w:t>8</w:t>
      </w:r>
      <w:r w:rsidRPr="00C31A57">
        <w:t xml:space="preserve">). Bivalve larvae are generally more environmentally sensitive than adults but can still have wide </w:t>
      </w:r>
      <w:r w:rsidR="008C03CA" w:rsidRPr="00C31A57">
        <w:t>environmental</w:t>
      </w:r>
      <w:r w:rsidR="008C03CA" w:rsidRPr="00846769">
        <w:t xml:space="preserve"> </w:t>
      </w:r>
      <w:r w:rsidR="00842EEC" w:rsidRPr="00846769">
        <w:t>tolerances</w:t>
      </w:r>
      <w:r w:rsidR="008C03CA" w:rsidRPr="00846769">
        <w:t xml:space="preserve"> </w:t>
      </w:r>
      <w:r w:rsidR="00842EEC" w:rsidRPr="00846769">
        <w:t>(</w:t>
      </w:r>
      <w:r w:rsidR="0004422F">
        <w:t>e.g.</w:t>
      </w:r>
      <w:r w:rsidR="00C21EA0" w:rsidRPr="00846769">
        <w:t xml:space="preserve"> </w:t>
      </w:r>
      <w:r w:rsidR="008C03CA" w:rsidRPr="00846769">
        <w:rPr>
          <w:i/>
          <w:iCs/>
        </w:rPr>
        <w:t>P.</w:t>
      </w:r>
      <w:r w:rsidR="00C449A8">
        <w:rPr>
          <w:i/>
          <w:iCs/>
        </w:rPr>
        <w:t> </w:t>
      </w:r>
      <w:r w:rsidR="008C03CA" w:rsidRPr="00846769">
        <w:rPr>
          <w:i/>
          <w:iCs/>
        </w:rPr>
        <w:t>amurensis</w:t>
      </w:r>
      <w:r w:rsidR="00842EEC" w:rsidRPr="00846769">
        <w:t>)</w:t>
      </w:r>
      <w:r w:rsidR="008C03CA" w:rsidRPr="00846769">
        <w:t>.</w:t>
      </w:r>
    </w:p>
    <w:p w14:paraId="6820E4CA" w14:textId="0B83ECBF" w:rsidR="00871D96" w:rsidRPr="00846769" w:rsidRDefault="006E03D1" w:rsidP="00871D96">
      <w:pPr>
        <w:pStyle w:val="Heading3"/>
        <w:ind w:left="851" w:hanging="851"/>
      </w:pPr>
      <w:bookmarkStart w:id="52" w:name="_Toc87599087"/>
      <w:bookmarkStart w:id="53" w:name="_Toc191998646"/>
      <w:bookmarkStart w:id="54" w:name="_Hlk68852064"/>
      <w:r w:rsidRPr="00846769">
        <w:t>Bivalve d</w:t>
      </w:r>
      <w:r w:rsidR="00871D96" w:rsidRPr="00846769">
        <w:t>iseases</w:t>
      </w:r>
      <w:bookmarkEnd w:id="52"/>
      <w:bookmarkEnd w:id="53"/>
    </w:p>
    <w:p w14:paraId="070C1BA0" w14:textId="4F5C3C86" w:rsidR="00F40D92" w:rsidRDefault="00B5740F" w:rsidP="00705596">
      <w:r w:rsidRPr="00846769">
        <w:t>Invasive marine bivalves can introduce pathogens</w:t>
      </w:r>
      <w:r w:rsidR="000F1F59" w:rsidRPr="00846769">
        <w:t xml:space="preserve"> (viruses, bacteria, or parasites)</w:t>
      </w:r>
      <w:r w:rsidRPr="00846769">
        <w:t xml:space="preserve"> that can cause severe disease, compromising commercial seafood production</w:t>
      </w:r>
      <w:r w:rsidR="004566D0" w:rsidRPr="00846769">
        <w:t xml:space="preserve">, </w:t>
      </w:r>
      <w:r w:rsidRPr="00846769">
        <w:t>impacting natural ecosystems</w:t>
      </w:r>
      <w:r w:rsidR="004566D0" w:rsidRPr="00846769">
        <w:t>, or potentially effect human health</w:t>
      </w:r>
      <w:r w:rsidRPr="00846769">
        <w:t xml:space="preserve">. </w:t>
      </w:r>
    </w:p>
    <w:p w14:paraId="05B60C9A" w14:textId="44EB1E81" w:rsidR="0012470E" w:rsidRPr="00846769" w:rsidRDefault="00F40D92" w:rsidP="00705596">
      <w:r>
        <w:t xml:space="preserve">Bivalves are susceptible to, or can act as carriers of, a range of </w:t>
      </w:r>
      <w:r w:rsidRPr="00846769">
        <w:t xml:space="preserve">molluscan </w:t>
      </w:r>
      <w:r>
        <w:t xml:space="preserve">diseases considered significant to Australia. </w:t>
      </w:r>
      <w:hyperlink r:id="rId54" w:anchor="molluscs" w:history="1">
        <w:r w:rsidRPr="00846769">
          <w:rPr>
            <w:rStyle w:val="Hyperlink"/>
            <w:lang w:eastAsia="ja-JP"/>
          </w:rPr>
          <w:t>Australia’s National List of Reportable Diseases of Aquatic Animals</w:t>
        </w:r>
      </w:hyperlink>
      <w:r w:rsidRPr="00846769">
        <w:rPr>
          <w:lang w:eastAsia="ja-JP"/>
        </w:rPr>
        <w:t xml:space="preserve"> identifies exotic and endemic bivalve diseases that may be spread by both native and invasive bivalves. </w:t>
      </w:r>
      <w:r w:rsidRPr="00846769">
        <w:rPr>
          <w:u w:color="0070C0"/>
          <w:lang w:eastAsia="ja-JP"/>
        </w:rPr>
        <w:t xml:space="preserve">The </w:t>
      </w:r>
      <w:hyperlink r:id="rId55" w:history="1">
        <w:r w:rsidRPr="00846769">
          <w:rPr>
            <w:rStyle w:val="Hyperlink"/>
            <w:lang w:eastAsia="ja-JP"/>
          </w:rPr>
          <w:t>Aquatic Animal Diseases Significant to Australia: Identification Field Guide 5</w:t>
        </w:r>
        <w:r w:rsidRPr="00846769">
          <w:rPr>
            <w:rStyle w:val="Hyperlink"/>
            <w:vertAlign w:val="superscript"/>
            <w:lang w:eastAsia="ja-JP"/>
          </w:rPr>
          <w:t>th</w:t>
        </w:r>
        <w:r w:rsidRPr="00846769">
          <w:rPr>
            <w:rStyle w:val="Hyperlink"/>
            <w:lang w:eastAsia="ja-JP"/>
          </w:rPr>
          <w:t xml:space="preserve"> Edition</w:t>
        </w:r>
      </w:hyperlink>
      <w:r w:rsidRPr="00846769">
        <w:rPr>
          <w:lang w:eastAsia="ja-JP"/>
        </w:rPr>
        <w:t xml:space="preserve"> provides further information on bivalve diseases considered significant to Australia.</w:t>
      </w:r>
      <w:r>
        <w:rPr>
          <w:lang w:eastAsia="ja-JP"/>
        </w:rPr>
        <w:t xml:space="preserve"> </w:t>
      </w:r>
      <w:r w:rsidR="00C07145" w:rsidRPr="00846769">
        <w:t>Australia has three high priority diseases that are capable of being introduced or spread with marine bivalves</w:t>
      </w:r>
      <w:r w:rsidR="0027499C">
        <w:t xml:space="preserve">: </w:t>
      </w:r>
      <w:r w:rsidR="0027499C" w:rsidRPr="00846769">
        <w:t xml:space="preserve">Pacific oyster mortality syndrome (POMS) caused by </w:t>
      </w:r>
      <w:proofErr w:type="spellStart"/>
      <w:r w:rsidR="0027499C" w:rsidRPr="00846769">
        <w:t>ostreid</w:t>
      </w:r>
      <w:proofErr w:type="spellEnd"/>
      <w:r w:rsidR="0027499C" w:rsidRPr="00846769">
        <w:t xml:space="preserve"> herpesvirus type 1 microvariant (OsHV-1 </w:t>
      </w:r>
      <w:r w:rsidR="0027499C" w:rsidRPr="00846769">
        <w:rPr>
          <w:rFonts w:cstheme="minorHAnsi"/>
        </w:rPr>
        <w:t>µ</w:t>
      </w:r>
      <w:r w:rsidR="0027499C" w:rsidRPr="00846769">
        <w:t>var)</w:t>
      </w:r>
      <w:r w:rsidR="0027499C">
        <w:t xml:space="preserve">, </w:t>
      </w:r>
      <w:proofErr w:type="spellStart"/>
      <w:r w:rsidR="0027499C" w:rsidRPr="00846769">
        <w:t>bonamiosis</w:t>
      </w:r>
      <w:proofErr w:type="spellEnd"/>
      <w:r w:rsidR="0027499C" w:rsidRPr="00846769">
        <w:t xml:space="preserve"> caused by </w:t>
      </w:r>
      <w:proofErr w:type="spellStart"/>
      <w:r w:rsidR="0027499C" w:rsidRPr="00846769">
        <w:t>haplosporidian</w:t>
      </w:r>
      <w:proofErr w:type="spellEnd"/>
      <w:r w:rsidR="0027499C" w:rsidRPr="00846769">
        <w:t xml:space="preserve"> parasites (</w:t>
      </w:r>
      <w:proofErr w:type="spellStart"/>
      <w:r w:rsidR="0027499C" w:rsidRPr="00846769">
        <w:rPr>
          <w:i/>
          <w:iCs/>
        </w:rPr>
        <w:t>Bonamia</w:t>
      </w:r>
      <w:proofErr w:type="spellEnd"/>
      <w:r w:rsidR="0027499C" w:rsidRPr="00846769">
        <w:rPr>
          <w:i/>
          <w:iCs/>
        </w:rPr>
        <w:t xml:space="preserve"> </w:t>
      </w:r>
      <w:r w:rsidR="0027499C" w:rsidRPr="00846769">
        <w:t xml:space="preserve">spp.), </w:t>
      </w:r>
      <w:r w:rsidR="0027499C">
        <w:t xml:space="preserve">and </w:t>
      </w:r>
      <w:r w:rsidR="0027499C" w:rsidRPr="00846769">
        <w:t>marteil</w:t>
      </w:r>
      <w:r w:rsidR="0027499C">
        <w:t>i</w:t>
      </w:r>
      <w:r w:rsidR="0027499C" w:rsidRPr="00846769">
        <w:t xml:space="preserve">osis caused by </w:t>
      </w:r>
      <w:proofErr w:type="spellStart"/>
      <w:r w:rsidR="0027499C" w:rsidRPr="00846769">
        <w:t>paramyxean</w:t>
      </w:r>
      <w:proofErr w:type="spellEnd"/>
      <w:r w:rsidR="0027499C" w:rsidRPr="00846769">
        <w:t xml:space="preserve"> parasites (</w:t>
      </w:r>
      <w:proofErr w:type="spellStart"/>
      <w:r w:rsidR="0027499C" w:rsidRPr="00846769">
        <w:rPr>
          <w:i/>
          <w:iCs/>
        </w:rPr>
        <w:t>Marteilia</w:t>
      </w:r>
      <w:proofErr w:type="spellEnd"/>
      <w:r w:rsidR="0027499C" w:rsidRPr="00846769">
        <w:rPr>
          <w:i/>
          <w:iCs/>
        </w:rPr>
        <w:t xml:space="preserve"> </w:t>
      </w:r>
      <w:r w:rsidR="0027499C" w:rsidRPr="00846769">
        <w:t>spp.)</w:t>
      </w:r>
      <w:r w:rsidR="0027499C">
        <w:t>.</w:t>
      </w:r>
    </w:p>
    <w:p w14:paraId="3B921518" w14:textId="41C36613" w:rsidR="00451FD1" w:rsidRPr="00846769" w:rsidRDefault="003D37C8" w:rsidP="00705596">
      <w:r>
        <w:t>The three high priority bivalve diseases are detailed below;</w:t>
      </w:r>
      <w:r w:rsidR="00451FD1" w:rsidRPr="00846769">
        <w:t xml:space="preserve"> </w:t>
      </w:r>
      <w:r w:rsidR="00EF4DAC" w:rsidRPr="00846769">
        <w:t>however,</w:t>
      </w:r>
      <w:r w:rsidR="00451FD1" w:rsidRPr="00846769">
        <w:t xml:space="preserve"> it should be noted that </w:t>
      </w:r>
      <w:r w:rsidR="00EF4DAC" w:rsidRPr="00846769">
        <w:t xml:space="preserve">not all exotic or endemic bivalve diseases are captured in this section. It is also important to recognise that </w:t>
      </w:r>
      <w:r w:rsidR="00451FD1" w:rsidRPr="00846769">
        <w:t xml:space="preserve">many native bivalves can also carry or spread disease. </w:t>
      </w:r>
      <w:r w:rsidR="00894079" w:rsidRPr="00846769">
        <w:t xml:space="preserve">Disease needs to be considered following an incursion of an invasive marine bivalve. This includes </w:t>
      </w:r>
      <w:r w:rsidR="00687113" w:rsidRPr="00846769">
        <w:t>exotic</w:t>
      </w:r>
      <w:r w:rsidR="00894079" w:rsidRPr="00846769">
        <w:t xml:space="preserve"> pathogens that could be introduced with the marine bivalve as well as any decontamination, disposal, or destruction procedures</w:t>
      </w:r>
      <w:r w:rsidR="004566D0" w:rsidRPr="00846769">
        <w:t xml:space="preserve"> (see </w:t>
      </w:r>
      <w:hyperlink w:anchor="_Decontamination,_destruction,_and" w:history="1">
        <w:r w:rsidR="004566D0" w:rsidRPr="00846769">
          <w:rPr>
            <w:rStyle w:val="Hyperlink"/>
          </w:rPr>
          <w:t>Section 6</w:t>
        </w:r>
      </w:hyperlink>
      <w:r w:rsidR="004566D0" w:rsidRPr="00846769">
        <w:t>)</w:t>
      </w:r>
      <w:r w:rsidR="00894079" w:rsidRPr="00846769">
        <w:t xml:space="preserve">. </w:t>
      </w:r>
      <w:hyperlink r:id="rId56" w:history="1">
        <w:r w:rsidR="00894079" w:rsidRPr="00846769">
          <w:rPr>
            <w:rStyle w:val="Hyperlink"/>
          </w:rPr>
          <w:t>AQUAVETPLANS</w:t>
        </w:r>
      </w:hyperlink>
      <w:r w:rsidR="00894079" w:rsidRPr="00846769">
        <w:t xml:space="preserve"> and the </w:t>
      </w:r>
      <w:hyperlink r:id="rId57" w:anchor="parasitic-diseases-of-molluscs" w:history="1">
        <w:r w:rsidR="00894079" w:rsidRPr="00846769">
          <w:rPr>
            <w:rStyle w:val="Hyperlink"/>
          </w:rPr>
          <w:t>Aquatic Animal Disease Field Guide</w:t>
        </w:r>
      </w:hyperlink>
      <w:r w:rsidR="00894079" w:rsidRPr="00846769">
        <w:t xml:space="preserve"> contain more detailed information on these diseases and are a primary resource during a marine bivalve pest </w:t>
      </w:r>
      <w:r w:rsidR="00F40D92">
        <w:t>or</w:t>
      </w:r>
      <w:r w:rsidR="00894079" w:rsidRPr="00846769">
        <w:t xml:space="preserve"> disease incursion. </w:t>
      </w:r>
      <w:r w:rsidR="00451FD1" w:rsidRPr="00846769">
        <w:t xml:space="preserve">It is </w:t>
      </w:r>
      <w:r w:rsidR="00451FD1" w:rsidRPr="00846769">
        <w:lastRenderedPageBreak/>
        <w:t>recommended that this manual is used in conjunction with available manuals and information on</w:t>
      </w:r>
      <w:r w:rsidR="00894079" w:rsidRPr="00846769">
        <w:t xml:space="preserve"> exotic</w:t>
      </w:r>
      <w:r w:rsidR="00451FD1" w:rsidRPr="00846769">
        <w:t xml:space="preserve"> bivalve diseases where possible. </w:t>
      </w:r>
    </w:p>
    <w:p w14:paraId="6C2F09D0" w14:textId="14F5A4E9" w:rsidR="000F1F59" w:rsidRPr="00846769" w:rsidRDefault="00451FD1" w:rsidP="00451FD1">
      <w:pPr>
        <w:pStyle w:val="Heading4"/>
      </w:pPr>
      <w:proofErr w:type="spellStart"/>
      <w:r w:rsidRPr="00846769">
        <w:t>Ostreid</w:t>
      </w:r>
      <w:proofErr w:type="spellEnd"/>
      <w:r w:rsidRPr="00846769">
        <w:t xml:space="preserve"> herpesvirus-1 microvariant (OsHV-1 </w:t>
      </w:r>
      <w:r w:rsidRPr="00846769">
        <w:rPr>
          <w:rFonts w:cs="Calibri"/>
        </w:rPr>
        <w:t>µ</w:t>
      </w:r>
      <w:r w:rsidRPr="00846769">
        <w:t>var)</w:t>
      </w:r>
    </w:p>
    <w:p w14:paraId="1F0C5A84" w14:textId="302D49DD" w:rsidR="00894079" w:rsidRPr="00846769" w:rsidRDefault="00451FD1" w:rsidP="00705596">
      <w:r w:rsidRPr="00846769">
        <w:t xml:space="preserve">Infection with </w:t>
      </w:r>
      <w:proofErr w:type="spellStart"/>
      <w:r w:rsidRPr="00846769">
        <w:t>ostreid</w:t>
      </w:r>
      <w:proofErr w:type="spellEnd"/>
      <w:r w:rsidRPr="00846769">
        <w:t xml:space="preserve"> herpesvirus-1 microvariant (OsHV-1 µvar</w:t>
      </w:r>
      <w:r w:rsidRPr="00846769">
        <w:rPr>
          <w:rStyle w:val="Emphasis"/>
        </w:rPr>
        <w:t xml:space="preserve">) </w:t>
      </w:r>
      <w:r w:rsidRPr="00846769">
        <w:t>causes POMS</w:t>
      </w:r>
      <w:r w:rsidR="00F40D92">
        <w:t xml:space="preserve"> </w:t>
      </w:r>
      <w:r w:rsidRPr="00846769">
        <w:t xml:space="preserve">and acute mortality in </w:t>
      </w:r>
      <w:r w:rsidRPr="00846769">
        <w:rPr>
          <w:i/>
          <w:iCs/>
        </w:rPr>
        <w:t>M</w:t>
      </w:r>
      <w:r w:rsidR="004566D0" w:rsidRPr="00846769">
        <w:rPr>
          <w:i/>
          <w:iCs/>
        </w:rPr>
        <w:t>.</w:t>
      </w:r>
      <w:r w:rsidR="00894079" w:rsidRPr="00846769">
        <w:t xml:space="preserve"> </w:t>
      </w:r>
      <w:r w:rsidR="00894079" w:rsidRPr="00846769">
        <w:rPr>
          <w:i/>
          <w:iCs/>
        </w:rPr>
        <w:t>gigas</w:t>
      </w:r>
      <w:r w:rsidRPr="00846769">
        <w:t xml:space="preserve"> and </w:t>
      </w:r>
      <w:r w:rsidR="003D37C8">
        <w:rPr>
          <w:i/>
          <w:iCs/>
        </w:rPr>
        <w:t>M.</w:t>
      </w:r>
      <w:r w:rsidR="003D37C8" w:rsidRPr="00846769">
        <w:t xml:space="preserve"> </w:t>
      </w:r>
      <w:r w:rsidR="00894079" w:rsidRPr="00846769">
        <w:rPr>
          <w:i/>
          <w:iCs/>
        </w:rPr>
        <w:t>angulata</w:t>
      </w:r>
      <w:r w:rsidRPr="00846769">
        <w:t xml:space="preserve">. </w:t>
      </w:r>
      <w:r w:rsidR="00894079" w:rsidRPr="00846769">
        <w:t xml:space="preserve">An Australian </w:t>
      </w:r>
      <w:hyperlink r:id="rId58" w:history="1">
        <w:r w:rsidR="00894079" w:rsidRPr="00846769">
          <w:rPr>
            <w:rStyle w:val="Hyperlink"/>
          </w:rPr>
          <w:t>AQUAVETPLAN manual</w:t>
        </w:r>
      </w:hyperlink>
      <w:r w:rsidR="00894079" w:rsidRPr="00846769">
        <w:t xml:space="preserve"> exists for OsHV-1 µvar</w:t>
      </w:r>
      <w:r w:rsidR="00894079" w:rsidRPr="00846769">
        <w:rPr>
          <w:rStyle w:val="Emphasis"/>
        </w:rPr>
        <w:t xml:space="preserve"> </w:t>
      </w:r>
      <w:r w:rsidR="00894079" w:rsidRPr="00846769">
        <w:t>that includes information on the pat</w:t>
      </w:r>
      <w:r w:rsidR="00894079" w:rsidRPr="00C31A57">
        <w:t xml:space="preserve">hobiology, epidemiology, diagnostic methods, and methods to control and eradicate </w:t>
      </w:r>
      <w:r w:rsidR="004566D0" w:rsidRPr="00C31A57">
        <w:t>this</w:t>
      </w:r>
      <w:r w:rsidR="00894079" w:rsidRPr="00C31A57">
        <w:t xml:space="preserve"> pathogen in Australia</w:t>
      </w:r>
      <w:r w:rsidR="00933093" w:rsidRPr="00C31A57">
        <w:t xml:space="preserve"> (DAFF 2015)</w:t>
      </w:r>
      <w:r w:rsidR="00894079" w:rsidRPr="00C31A57">
        <w:t>.</w:t>
      </w:r>
    </w:p>
    <w:p w14:paraId="20D95851" w14:textId="4F113EB6" w:rsidR="00687113" w:rsidRPr="00846769" w:rsidRDefault="000F1F59" w:rsidP="00705596">
      <w:r w:rsidRPr="00846769">
        <w:t xml:space="preserve">OsHV-1 µvar has previously been detected in wild </w:t>
      </w:r>
      <w:r w:rsidRPr="00846769">
        <w:rPr>
          <w:i/>
          <w:iCs/>
        </w:rPr>
        <w:t>M</w:t>
      </w:r>
      <w:r w:rsidR="004566D0" w:rsidRPr="00846769">
        <w:rPr>
          <w:i/>
          <w:iCs/>
        </w:rPr>
        <w:t>.</w:t>
      </w:r>
      <w:r w:rsidRPr="00846769">
        <w:rPr>
          <w:i/>
          <w:iCs/>
        </w:rPr>
        <w:t xml:space="preserve"> gigas</w:t>
      </w:r>
      <w:r w:rsidRPr="00846769">
        <w:t xml:space="preserve"> in parts of New South Wales, South Australia, and Tasmania. </w:t>
      </w:r>
      <w:r w:rsidR="00451FD1" w:rsidRPr="00846769">
        <w:t xml:space="preserve">In </w:t>
      </w:r>
      <w:r w:rsidR="00894079" w:rsidRPr="00846769">
        <w:t>2010</w:t>
      </w:r>
      <w:r w:rsidR="00451FD1" w:rsidRPr="00846769">
        <w:t>,</w:t>
      </w:r>
      <w:r w:rsidR="00451FD1" w:rsidRPr="00846769">
        <w:rPr>
          <w:i/>
          <w:iCs/>
        </w:rPr>
        <w:t xml:space="preserve"> </w:t>
      </w:r>
      <w:r w:rsidR="00894079" w:rsidRPr="00846769">
        <w:t>the first POMS outbreak in Australia was detected in</w:t>
      </w:r>
      <w:r w:rsidR="00451FD1" w:rsidRPr="00846769">
        <w:t xml:space="preserve"> the Georges River, </w:t>
      </w:r>
      <w:r w:rsidR="00894079" w:rsidRPr="00846769">
        <w:t>New South Wales</w:t>
      </w:r>
      <w:r w:rsidR="00451FD1" w:rsidRPr="00846769">
        <w:t>, with fu</w:t>
      </w:r>
      <w:r w:rsidR="00451FD1" w:rsidRPr="00C31A57">
        <w:t xml:space="preserve">rther surveillance detecting it in </w:t>
      </w:r>
      <w:r w:rsidR="00F40D92" w:rsidRPr="00C31A57">
        <w:t xml:space="preserve">the </w:t>
      </w:r>
      <w:r w:rsidR="00451FD1" w:rsidRPr="00C31A57">
        <w:t>Parramatta River, Port Jackson and, in 2013, the Hawkesbury River (Jenkins et al. 2013). In 2011, Tasmania and South Australia were declared free of POMS via surveillance</w:t>
      </w:r>
      <w:r w:rsidR="0027499C">
        <w:t xml:space="preserve">, but the virus </w:t>
      </w:r>
      <w:r w:rsidR="00451FD1" w:rsidRPr="00C31A57">
        <w:t>was detected in Tasmania</w:t>
      </w:r>
      <w:r w:rsidR="0027499C">
        <w:t xml:space="preserve"> in 2016</w:t>
      </w:r>
      <w:r w:rsidR="00451FD1" w:rsidRPr="00C31A57">
        <w:t xml:space="preserve"> (de Kantzow et al. 2017) and in South Australia in the Port River in 2018.</w:t>
      </w:r>
      <w:r w:rsidR="00451FD1" w:rsidRPr="00846769">
        <w:t xml:space="preserve"> </w:t>
      </w:r>
    </w:p>
    <w:p w14:paraId="2C79084F" w14:textId="016C46FD" w:rsidR="00451FD1" w:rsidRPr="00846769" w:rsidRDefault="00687113" w:rsidP="00705596">
      <w:r w:rsidRPr="00846769">
        <w:t xml:space="preserve">In Australia, POMS is primarily a concern for introduced </w:t>
      </w:r>
      <w:r w:rsidR="00451FD1" w:rsidRPr="00846769">
        <w:rPr>
          <w:i/>
          <w:iCs/>
        </w:rPr>
        <w:t>M</w:t>
      </w:r>
      <w:r w:rsidRPr="00846769">
        <w:rPr>
          <w:i/>
          <w:iCs/>
        </w:rPr>
        <w:t>.</w:t>
      </w:r>
      <w:r w:rsidR="00451FD1" w:rsidRPr="00846769">
        <w:rPr>
          <w:i/>
          <w:iCs/>
        </w:rPr>
        <w:t xml:space="preserve"> gigas</w:t>
      </w:r>
      <w:r w:rsidRPr="00846769">
        <w:rPr>
          <w:i/>
          <w:iCs/>
        </w:rPr>
        <w:t xml:space="preserve">, </w:t>
      </w:r>
      <w:r w:rsidRPr="00846769">
        <w:t>which</w:t>
      </w:r>
      <w:r w:rsidR="00451FD1" w:rsidRPr="00846769">
        <w:t xml:space="preserve"> comprise more than 99% of aquaculture production of edible oysters in South Australia and Tasmania.</w:t>
      </w:r>
      <w:r w:rsidR="00894079" w:rsidRPr="00846769">
        <w:t xml:space="preserve"> </w:t>
      </w:r>
      <w:r w:rsidR="00451FD1" w:rsidRPr="00846769">
        <w:t>POMS is characterised by a rapid onset of high mortality, up to 100% in infected populations. This can lead to significant production loss</w:t>
      </w:r>
      <w:r w:rsidR="00F40D92">
        <w:t>es</w:t>
      </w:r>
      <w:r w:rsidR="00451FD1" w:rsidRPr="00846769">
        <w:t xml:space="preserve"> for oyster farmers, employment, and business viability. </w:t>
      </w:r>
      <w:r w:rsidRPr="00846769">
        <w:t xml:space="preserve">Wild populations of </w:t>
      </w:r>
      <w:r w:rsidRPr="00846769">
        <w:rPr>
          <w:i/>
          <w:iCs/>
        </w:rPr>
        <w:t>M</w:t>
      </w:r>
      <w:r w:rsidR="00FF70DD">
        <w:rPr>
          <w:i/>
          <w:iCs/>
        </w:rPr>
        <w:t>. </w:t>
      </w:r>
      <w:r w:rsidRPr="00846769">
        <w:rPr>
          <w:i/>
          <w:iCs/>
        </w:rPr>
        <w:t xml:space="preserve">gigas </w:t>
      </w:r>
      <w:r w:rsidRPr="00846769">
        <w:t>may act as reservoirs of the disease and present risks to cultivated oyster</w:t>
      </w:r>
      <w:r w:rsidR="00F40D92">
        <w:t>s</w:t>
      </w:r>
      <w:r w:rsidR="003D37C8">
        <w:t xml:space="preserve"> and farms</w:t>
      </w:r>
      <w:r w:rsidRPr="00846769">
        <w:t xml:space="preserve">. It is important to note that this pathogen does not appear to </w:t>
      </w:r>
      <w:r w:rsidR="00F44434" w:rsidRPr="00846769">
        <w:t>infect native</w:t>
      </w:r>
      <w:r w:rsidR="00F44434">
        <w:t xml:space="preserve"> oysters in Australia</w:t>
      </w:r>
      <w:r w:rsidR="00F44434" w:rsidRPr="00846769">
        <w:t xml:space="preserve"> </w:t>
      </w:r>
      <w:r w:rsidR="00F44434">
        <w:t xml:space="preserve">(e.g. </w:t>
      </w:r>
      <w:r w:rsidR="00F44434">
        <w:rPr>
          <w:i/>
          <w:iCs/>
        </w:rPr>
        <w:t>Saccostrea</w:t>
      </w:r>
      <w:r w:rsidR="00F44434">
        <w:t xml:space="preserve"> or </w:t>
      </w:r>
      <w:r w:rsidR="00F44434" w:rsidRPr="00846769">
        <w:rPr>
          <w:i/>
          <w:iCs/>
        </w:rPr>
        <w:t xml:space="preserve">Ostrea </w:t>
      </w:r>
      <w:r w:rsidR="00F44434" w:rsidRPr="00846769">
        <w:t>spp.</w:t>
      </w:r>
      <w:r w:rsidR="00F44434">
        <w:t>)</w:t>
      </w:r>
      <w:r w:rsidR="00F44434" w:rsidRPr="00846769">
        <w:t xml:space="preserve">, </w:t>
      </w:r>
      <w:r w:rsidR="00F44434">
        <w:t xml:space="preserve">or other </w:t>
      </w:r>
      <w:r w:rsidR="00F44434">
        <w:rPr>
          <w:i/>
          <w:iCs/>
        </w:rPr>
        <w:t>Magallana</w:t>
      </w:r>
      <w:r w:rsidR="00F44434" w:rsidRPr="00846769">
        <w:rPr>
          <w:i/>
          <w:iCs/>
        </w:rPr>
        <w:t xml:space="preserve"> </w:t>
      </w:r>
      <w:r w:rsidRPr="00846769">
        <w:t xml:space="preserve">spp. </w:t>
      </w:r>
    </w:p>
    <w:p w14:paraId="341865B8" w14:textId="1FF91515" w:rsidR="00894079" w:rsidRPr="00846769" w:rsidRDefault="00894079" w:rsidP="00894079">
      <w:pPr>
        <w:pStyle w:val="Heading4"/>
      </w:pPr>
      <w:proofErr w:type="spellStart"/>
      <w:r w:rsidRPr="00846769">
        <w:rPr>
          <w:i/>
          <w:iCs/>
        </w:rPr>
        <w:t>Bonamia</w:t>
      </w:r>
      <w:proofErr w:type="spellEnd"/>
      <w:r w:rsidRPr="00846769">
        <w:rPr>
          <w:i/>
          <w:iCs/>
        </w:rPr>
        <w:t xml:space="preserve"> </w:t>
      </w:r>
      <w:r w:rsidRPr="00846769">
        <w:t>spp.</w:t>
      </w:r>
      <w:r w:rsidR="005E3936" w:rsidRPr="00846769">
        <w:t xml:space="preserve"> parasites</w:t>
      </w:r>
    </w:p>
    <w:p w14:paraId="7822347A" w14:textId="4E394510" w:rsidR="00B53D27" w:rsidRPr="00846769" w:rsidRDefault="00B53D27" w:rsidP="00B53D27">
      <w:pPr>
        <w:rPr>
          <w:i/>
          <w:iCs/>
        </w:rPr>
      </w:pPr>
      <w:proofErr w:type="spellStart"/>
      <w:r w:rsidRPr="00846769">
        <w:rPr>
          <w:i/>
          <w:iCs/>
        </w:rPr>
        <w:t>Bonamia</w:t>
      </w:r>
      <w:proofErr w:type="spellEnd"/>
      <w:r w:rsidRPr="00846769">
        <w:rPr>
          <w:i/>
          <w:iCs/>
        </w:rPr>
        <w:t xml:space="preserve"> </w:t>
      </w:r>
      <w:r w:rsidRPr="00846769">
        <w:t>spp.</w:t>
      </w:r>
      <w:r w:rsidRPr="00846769">
        <w:rPr>
          <w:i/>
          <w:iCs/>
        </w:rPr>
        <w:t xml:space="preserve"> </w:t>
      </w:r>
      <w:r w:rsidRPr="00846769">
        <w:t xml:space="preserve">are </w:t>
      </w:r>
      <w:proofErr w:type="spellStart"/>
      <w:r w:rsidRPr="00846769">
        <w:t>haplosporidians</w:t>
      </w:r>
      <w:proofErr w:type="spellEnd"/>
      <w:r w:rsidRPr="00846769">
        <w:t>, which are parasite</w:t>
      </w:r>
      <w:r w:rsidR="00D90B43" w:rsidRPr="00846769">
        <w:t>s</w:t>
      </w:r>
      <w:r w:rsidRPr="00846769">
        <w:t xml:space="preserve"> of oysters and the causative agent of the disease </w:t>
      </w:r>
      <w:proofErr w:type="spellStart"/>
      <w:r w:rsidRPr="00846769">
        <w:t>bonamiasis</w:t>
      </w:r>
      <w:proofErr w:type="spellEnd"/>
      <w:r w:rsidRPr="00846769">
        <w:t xml:space="preserve">. </w:t>
      </w:r>
      <w:proofErr w:type="spellStart"/>
      <w:r w:rsidRPr="00846769">
        <w:rPr>
          <w:i/>
          <w:iCs/>
        </w:rPr>
        <w:t>Bonamia</w:t>
      </w:r>
      <w:proofErr w:type="spellEnd"/>
      <w:r w:rsidRPr="00846769">
        <w:rPr>
          <w:i/>
          <w:iCs/>
        </w:rPr>
        <w:t xml:space="preserve"> </w:t>
      </w:r>
      <w:r w:rsidRPr="00846769">
        <w:t xml:space="preserve">parasites and parasites of the genus </w:t>
      </w:r>
      <w:proofErr w:type="spellStart"/>
      <w:r w:rsidRPr="00846769">
        <w:rPr>
          <w:i/>
          <w:iCs/>
        </w:rPr>
        <w:t>Mikrocytos</w:t>
      </w:r>
      <w:proofErr w:type="spellEnd"/>
      <w:r w:rsidRPr="00846769">
        <w:rPr>
          <w:i/>
          <w:iCs/>
        </w:rPr>
        <w:t xml:space="preserve"> </w:t>
      </w:r>
      <w:r w:rsidRPr="00846769">
        <w:t xml:space="preserve">are termed microcells because of their small size, typically 1 to 3 µm. </w:t>
      </w:r>
      <w:r w:rsidR="00D30A84" w:rsidRPr="00846769">
        <w:t xml:space="preserve">An </w:t>
      </w:r>
      <w:hyperlink r:id="rId59" w:history="1">
        <w:r w:rsidR="00D30A84" w:rsidRPr="00846769">
          <w:rPr>
            <w:rStyle w:val="Hyperlink"/>
          </w:rPr>
          <w:t xml:space="preserve">Australian and New Zealand Standard Diagnostic Procedure (ANZSDP) exists for </w:t>
        </w:r>
        <w:proofErr w:type="spellStart"/>
        <w:r w:rsidR="00D30A84" w:rsidRPr="00846769">
          <w:rPr>
            <w:rStyle w:val="Hyperlink"/>
          </w:rPr>
          <w:t>bonamiasis</w:t>
        </w:r>
        <w:proofErr w:type="spellEnd"/>
      </w:hyperlink>
      <w:r w:rsidR="00D30A84" w:rsidRPr="00846769">
        <w:t xml:space="preserve"> including information on the pathobiology, epidemiology, and diagnostic methods of the parasite</w:t>
      </w:r>
      <w:r w:rsidR="000F1409" w:rsidRPr="00846769">
        <w:t xml:space="preserve"> in Australia</w:t>
      </w:r>
      <w:r w:rsidR="00D30A84" w:rsidRPr="00846769">
        <w:t xml:space="preserve">. </w:t>
      </w:r>
      <w:r w:rsidR="00D30A84" w:rsidRPr="00846769">
        <w:rPr>
          <w:i/>
          <w:iCs/>
        </w:rPr>
        <w:t xml:space="preserve"> </w:t>
      </w:r>
    </w:p>
    <w:p w14:paraId="37B633FA" w14:textId="59E66AFF" w:rsidR="00B53D27" w:rsidRPr="00C31A57" w:rsidRDefault="00D90B43" w:rsidP="00B53D27">
      <w:proofErr w:type="spellStart"/>
      <w:r w:rsidRPr="00846769">
        <w:rPr>
          <w:i/>
          <w:iCs/>
        </w:rPr>
        <w:t>Bonamia</w:t>
      </w:r>
      <w:proofErr w:type="spellEnd"/>
      <w:r w:rsidRPr="00846769">
        <w:rPr>
          <w:i/>
          <w:iCs/>
        </w:rPr>
        <w:t xml:space="preserve"> </w:t>
      </w:r>
      <w:proofErr w:type="spellStart"/>
      <w:r w:rsidRPr="00846769">
        <w:rPr>
          <w:i/>
          <w:iCs/>
        </w:rPr>
        <w:t>ostreae</w:t>
      </w:r>
      <w:proofErr w:type="spellEnd"/>
      <w:r w:rsidRPr="00846769">
        <w:rPr>
          <w:i/>
          <w:iCs/>
        </w:rPr>
        <w:t xml:space="preserve"> </w:t>
      </w:r>
      <w:r w:rsidRPr="00846769">
        <w:t xml:space="preserve">is listed as a disease notifiable to the World Organisation of Animal Health (WOAH, founded as OIE) and is </w:t>
      </w:r>
      <w:r w:rsidR="00EF4DAC" w:rsidRPr="00846769">
        <w:t>also listed</w:t>
      </w:r>
      <w:r w:rsidRPr="00846769">
        <w:t xml:space="preserve"> on </w:t>
      </w:r>
      <w:hyperlink r:id="rId60" w:anchor="molluscs" w:history="1">
        <w:r w:rsidRPr="00846769">
          <w:rPr>
            <w:rStyle w:val="Hyperlink"/>
          </w:rPr>
          <w:t>Australia’s National List of Reportable Diseases of Aquatic Animals</w:t>
        </w:r>
      </w:hyperlink>
      <w:r w:rsidRPr="00846769">
        <w:t xml:space="preserve"> and on the </w:t>
      </w:r>
      <w:hyperlink r:id="rId61" w:anchor="aquatic-animal-diseases" w:history="1">
        <w:r w:rsidRPr="00846769">
          <w:rPr>
            <w:rStyle w:val="Hyperlink"/>
          </w:rPr>
          <w:t>Exotic Environmental Pest List (EEPL).</w:t>
        </w:r>
      </w:hyperlink>
      <w:r w:rsidRPr="00846769">
        <w:t xml:space="preserve"> </w:t>
      </w:r>
      <w:proofErr w:type="spellStart"/>
      <w:r w:rsidR="00B53D27" w:rsidRPr="00846769">
        <w:rPr>
          <w:i/>
          <w:iCs/>
        </w:rPr>
        <w:t>Bonamia</w:t>
      </w:r>
      <w:proofErr w:type="spellEnd"/>
      <w:r w:rsidR="00B53D27" w:rsidRPr="00846769">
        <w:rPr>
          <w:i/>
          <w:iCs/>
        </w:rPr>
        <w:t xml:space="preserve"> </w:t>
      </w:r>
      <w:proofErr w:type="spellStart"/>
      <w:r w:rsidR="00B53D27" w:rsidRPr="00846769">
        <w:rPr>
          <w:i/>
          <w:iCs/>
        </w:rPr>
        <w:t>ostreae</w:t>
      </w:r>
      <w:proofErr w:type="spellEnd"/>
      <w:r w:rsidR="00B53D27" w:rsidRPr="00846769">
        <w:t xml:space="preserve"> </w:t>
      </w:r>
      <w:r w:rsidRPr="00846769">
        <w:t xml:space="preserve">is exotic to Australia and </w:t>
      </w:r>
      <w:r w:rsidR="00B53D27" w:rsidRPr="00846769">
        <w:t xml:space="preserve">has the potential to cause severe disease in susceptible species which include the native Australian flat oyster </w:t>
      </w:r>
      <w:r w:rsidR="00B53D27" w:rsidRPr="00846769">
        <w:rPr>
          <w:i/>
          <w:iCs/>
        </w:rPr>
        <w:t xml:space="preserve">Ostrea </w:t>
      </w:r>
      <w:proofErr w:type="spellStart"/>
      <w:r w:rsidR="00B53D27" w:rsidRPr="00C31A57">
        <w:rPr>
          <w:i/>
          <w:iCs/>
        </w:rPr>
        <w:t>angasi</w:t>
      </w:r>
      <w:proofErr w:type="spellEnd"/>
      <w:r w:rsidR="00B53D27" w:rsidRPr="00C31A57">
        <w:rPr>
          <w:i/>
          <w:iCs/>
        </w:rPr>
        <w:t xml:space="preserve"> </w:t>
      </w:r>
      <w:r w:rsidR="00B53D27" w:rsidRPr="00C31A57">
        <w:t>(Buss et al. 2020; Engelsma et al. 2014)</w:t>
      </w:r>
      <w:r w:rsidRPr="00C31A57">
        <w:rPr>
          <w:i/>
          <w:iCs/>
        </w:rPr>
        <w:t xml:space="preserve">. </w:t>
      </w:r>
      <w:r w:rsidRPr="00C31A57">
        <w:t xml:space="preserve">It </w:t>
      </w:r>
      <w:r w:rsidR="000F1409" w:rsidRPr="00C31A57">
        <w:t xml:space="preserve">has </w:t>
      </w:r>
      <w:r w:rsidRPr="00C31A57">
        <w:t xml:space="preserve">never been recorded in Australia but was recorded in New Zealand in farmed </w:t>
      </w:r>
      <w:r w:rsidRPr="00C31A57">
        <w:rPr>
          <w:i/>
          <w:iCs/>
        </w:rPr>
        <w:t xml:space="preserve">O. chilensis </w:t>
      </w:r>
      <w:r w:rsidRPr="00C31A57">
        <w:t xml:space="preserve">for the first time in 2015 (Lane et al. 2016) and is present throughout flat oyster populations of Europe, western and eastern parts of North America, and Morocco (Engelsma et al. 2014). The detection of </w:t>
      </w:r>
      <w:r w:rsidR="00F40D92" w:rsidRPr="00C31A57">
        <w:rPr>
          <w:i/>
          <w:iCs/>
        </w:rPr>
        <w:t xml:space="preserve">M. </w:t>
      </w:r>
      <w:r w:rsidRPr="00C31A57">
        <w:rPr>
          <w:i/>
          <w:iCs/>
        </w:rPr>
        <w:t>ariakensis</w:t>
      </w:r>
      <w:r w:rsidR="000F1409" w:rsidRPr="00C31A57">
        <w:t xml:space="preserve"> oysters</w:t>
      </w:r>
      <w:r w:rsidRPr="00C31A57">
        <w:rPr>
          <w:i/>
          <w:iCs/>
        </w:rPr>
        <w:t xml:space="preserve"> </w:t>
      </w:r>
      <w:r w:rsidRPr="00C31A57">
        <w:t xml:space="preserve">in Queensland in 2023 raises concerns about </w:t>
      </w:r>
      <w:r w:rsidR="00F40D92" w:rsidRPr="00C31A57">
        <w:t xml:space="preserve">the </w:t>
      </w:r>
      <w:r w:rsidRPr="00C31A57">
        <w:t xml:space="preserve">potential introduction of </w:t>
      </w:r>
      <w:r w:rsidRPr="00C31A57">
        <w:rPr>
          <w:i/>
          <w:iCs/>
        </w:rPr>
        <w:t xml:space="preserve">B. </w:t>
      </w:r>
      <w:proofErr w:type="spellStart"/>
      <w:r w:rsidRPr="00C31A57">
        <w:rPr>
          <w:i/>
          <w:iCs/>
        </w:rPr>
        <w:t>ostreae</w:t>
      </w:r>
      <w:proofErr w:type="spellEnd"/>
      <w:r w:rsidRPr="00C31A57">
        <w:rPr>
          <w:i/>
          <w:iCs/>
        </w:rPr>
        <w:t xml:space="preserve"> </w:t>
      </w:r>
      <w:r w:rsidRPr="00C31A57">
        <w:t xml:space="preserve">to Australia, as microcells are occasionally detected in </w:t>
      </w:r>
      <w:r w:rsidRPr="00C31A57">
        <w:rPr>
          <w:i/>
          <w:iCs/>
        </w:rPr>
        <w:t xml:space="preserve">M. ariakensis </w:t>
      </w:r>
      <w:r w:rsidRPr="00C31A57">
        <w:t>overseas.</w:t>
      </w:r>
    </w:p>
    <w:p w14:paraId="374BCF87" w14:textId="46781268" w:rsidR="00B53D27" w:rsidRPr="00846769" w:rsidRDefault="00D90B43" w:rsidP="00705596">
      <w:pPr>
        <w:rPr>
          <w:i/>
          <w:iCs/>
        </w:rPr>
      </w:pPr>
      <w:proofErr w:type="spellStart"/>
      <w:r w:rsidRPr="00C31A57">
        <w:rPr>
          <w:i/>
          <w:iCs/>
        </w:rPr>
        <w:t>Bonamia</w:t>
      </w:r>
      <w:proofErr w:type="spellEnd"/>
      <w:r w:rsidRPr="00C31A57">
        <w:rPr>
          <w:i/>
          <w:iCs/>
        </w:rPr>
        <w:t xml:space="preserve"> </w:t>
      </w:r>
      <w:proofErr w:type="spellStart"/>
      <w:r w:rsidRPr="00C31A57">
        <w:rPr>
          <w:i/>
          <w:iCs/>
        </w:rPr>
        <w:t>exitiosa</w:t>
      </w:r>
      <w:proofErr w:type="spellEnd"/>
      <w:r w:rsidRPr="00C31A57">
        <w:rPr>
          <w:i/>
          <w:iCs/>
        </w:rPr>
        <w:t xml:space="preserve"> </w:t>
      </w:r>
      <w:r w:rsidRPr="00C31A57">
        <w:t xml:space="preserve">is related to </w:t>
      </w:r>
      <w:r w:rsidRPr="00C31A57">
        <w:rPr>
          <w:i/>
          <w:iCs/>
        </w:rPr>
        <w:t xml:space="preserve">B. </w:t>
      </w:r>
      <w:proofErr w:type="spellStart"/>
      <w:r w:rsidRPr="00C31A57">
        <w:rPr>
          <w:i/>
          <w:iCs/>
        </w:rPr>
        <w:t>ostreae</w:t>
      </w:r>
      <w:proofErr w:type="spellEnd"/>
      <w:r w:rsidRPr="00C31A57">
        <w:rPr>
          <w:i/>
          <w:iCs/>
        </w:rPr>
        <w:t xml:space="preserve"> </w:t>
      </w:r>
      <w:r w:rsidR="00D30A84" w:rsidRPr="00C31A57">
        <w:t>and is primarily a parasite of native flat oysters (</w:t>
      </w:r>
      <w:r w:rsidR="00D30A84" w:rsidRPr="00C31A57">
        <w:rPr>
          <w:i/>
          <w:iCs/>
        </w:rPr>
        <w:t xml:space="preserve">Ostrea </w:t>
      </w:r>
      <w:r w:rsidR="00D30A84" w:rsidRPr="00C31A57">
        <w:t>spp.) or rock oysters (</w:t>
      </w:r>
      <w:r w:rsidR="0027499C">
        <w:rPr>
          <w:i/>
          <w:iCs/>
        </w:rPr>
        <w:t xml:space="preserve">Magallana </w:t>
      </w:r>
      <w:r w:rsidR="00D30A84" w:rsidRPr="00C31A57">
        <w:t xml:space="preserve">spp.) in Australia and can also cause </w:t>
      </w:r>
      <w:proofErr w:type="spellStart"/>
      <w:r w:rsidR="00D30A84" w:rsidRPr="00C31A57">
        <w:t>bonamiasis</w:t>
      </w:r>
      <w:proofErr w:type="spellEnd"/>
      <w:r w:rsidR="00D30A84" w:rsidRPr="00C31A57">
        <w:t xml:space="preserve"> (Buss et al. 2020).</w:t>
      </w:r>
      <w:r w:rsidR="00D30A84" w:rsidRPr="00846769">
        <w:t xml:space="preserve"> </w:t>
      </w:r>
      <w:r w:rsidR="00F44434">
        <w:t>M</w:t>
      </w:r>
      <w:r w:rsidR="00D30A84" w:rsidRPr="00846769">
        <w:t>icrocells have</w:t>
      </w:r>
      <w:r w:rsidR="003D37C8">
        <w:t xml:space="preserve"> also</w:t>
      </w:r>
      <w:r w:rsidR="00D30A84" w:rsidRPr="00846769">
        <w:t xml:space="preserve"> been detected in wild </w:t>
      </w:r>
      <w:r w:rsidR="00D30A84" w:rsidRPr="00846769">
        <w:rPr>
          <w:i/>
          <w:iCs/>
        </w:rPr>
        <w:t xml:space="preserve">M. gigas. </w:t>
      </w:r>
      <w:proofErr w:type="spellStart"/>
      <w:r w:rsidR="00D30A84" w:rsidRPr="00846769">
        <w:rPr>
          <w:i/>
          <w:iCs/>
        </w:rPr>
        <w:t>Bonamia</w:t>
      </w:r>
      <w:proofErr w:type="spellEnd"/>
      <w:r w:rsidR="00D30A84" w:rsidRPr="00846769">
        <w:rPr>
          <w:i/>
          <w:iCs/>
        </w:rPr>
        <w:t xml:space="preserve"> </w:t>
      </w:r>
      <w:proofErr w:type="spellStart"/>
      <w:r w:rsidR="00D30A84" w:rsidRPr="00846769">
        <w:rPr>
          <w:i/>
          <w:iCs/>
        </w:rPr>
        <w:t>exitiosa</w:t>
      </w:r>
      <w:proofErr w:type="spellEnd"/>
      <w:r w:rsidR="00D30A84" w:rsidRPr="00846769">
        <w:rPr>
          <w:i/>
          <w:iCs/>
        </w:rPr>
        <w:t xml:space="preserve"> </w:t>
      </w:r>
      <w:r w:rsidR="00D30A84" w:rsidRPr="00846769">
        <w:t xml:space="preserve">is also a WOAH-notifiable disease and is listed on Australia’s National List of Reportable Diseases of Aquatic Animals. This parasite has been recorded in flat oysters in Victoria and New South Wales, as well as in a very low </w:t>
      </w:r>
      <w:r w:rsidR="00D30A84" w:rsidRPr="00846769">
        <w:lastRenderedPageBreak/>
        <w:t xml:space="preserve">percentage of Sydney rock oysters in New South Wales. It is likely that </w:t>
      </w:r>
      <w:proofErr w:type="spellStart"/>
      <w:r w:rsidR="00D30A84" w:rsidRPr="00846769">
        <w:rPr>
          <w:i/>
          <w:iCs/>
        </w:rPr>
        <w:t>Bonamia</w:t>
      </w:r>
      <w:proofErr w:type="spellEnd"/>
      <w:r w:rsidR="00D30A84" w:rsidRPr="00846769">
        <w:rPr>
          <w:i/>
          <w:iCs/>
        </w:rPr>
        <w:t xml:space="preserve"> </w:t>
      </w:r>
      <w:r w:rsidR="00D30A84" w:rsidRPr="00846769">
        <w:t xml:space="preserve">spp. previously recorded in flat oysters in Tasmania, South Australia, and Western Australia are also </w:t>
      </w:r>
      <w:r w:rsidR="00D30A84" w:rsidRPr="00846769">
        <w:rPr>
          <w:i/>
          <w:iCs/>
        </w:rPr>
        <w:t xml:space="preserve">B. </w:t>
      </w:r>
      <w:proofErr w:type="spellStart"/>
      <w:r w:rsidR="00D30A84" w:rsidRPr="00846769">
        <w:rPr>
          <w:i/>
          <w:iCs/>
        </w:rPr>
        <w:t>exitiosa</w:t>
      </w:r>
      <w:proofErr w:type="spellEnd"/>
      <w:r w:rsidR="00D30A84" w:rsidRPr="00846769">
        <w:rPr>
          <w:i/>
          <w:iCs/>
        </w:rPr>
        <w:t xml:space="preserve">. </w:t>
      </w:r>
    </w:p>
    <w:p w14:paraId="76308A2D" w14:textId="7D67EC31" w:rsidR="00687113" w:rsidRPr="00846769" w:rsidRDefault="00687113" w:rsidP="00687113">
      <w:pPr>
        <w:pStyle w:val="Heading4"/>
      </w:pPr>
      <w:proofErr w:type="spellStart"/>
      <w:r w:rsidRPr="00846769">
        <w:rPr>
          <w:i/>
          <w:iCs/>
        </w:rPr>
        <w:t>Marteilia</w:t>
      </w:r>
      <w:proofErr w:type="spellEnd"/>
      <w:r w:rsidRPr="00846769">
        <w:rPr>
          <w:i/>
          <w:iCs/>
        </w:rPr>
        <w:t xml:space="preserve"> </w:t>
      </w:r>
      <w:r w:rsidRPr="00846769">
        <w:t>spp.</w:t>
      </w:r>
      <w:r w:rsidR="005E3936" w:rsidRPr="00846769">
        <w:t xml:space="preserve"> parasites</w:t>
      </w:r>
    </w:p>
    <w:p w14:paraId="782443EC" w14:textId="19FACAD4" w:rsidR="00EF4DAC" w:rsidRPr="00C31A57" w:rsidRDefault="00D97B39" w:rsidP="00EF4DAC">
      <w:proofErr w:type="spellStart"/>
      <w:r w:rsidRPr="00846769">
        <w:rPr>
          <w:i/>
          <w:iCs/>
        </w:rPr>
        <w:t>Marteilia</w:t>
      </w:r>
      <w:proofErr w:type="spellEnd"/>
      <w:r w:rsidRPr="00846769">
        <w:rPr>
          <w:i/>
          <w:iCs/>
        </w:rPr>
        <w:t xml:space="preserve"> </w:t>
      </w:r>
      <w:r w:rsidRPr="00846769">
        <w:t>spp.</w:t>
      </w:r>
      <w:r w:rsidRPr="00846769">
        <w:rPr>
          <w:i/>
          <w:iCs/>
        </w:rPr>
        <w:t xml:space="preserve"> </w:t>
      </w:r>
      <w:r w:rsidRPr="00846769">
        <w:t xml:space="preserve">are </w:t>
      </w:r>
      <w:proofErr w:type="spellStart"/>
      <w:r w:rsidR="00BE6B0F" w:rsidRPr="00846769">
        <w:t>paramyxean</w:t>
      </w:r>
      <w:proofErr w:type="spellEnd"/>
      <w:r w:rsidRPr="00846769">
        <w:t xml:space="preserve"> parasites of oysters and the causative agent of the disease mart</w:t>
      </w:r>
      <w:r w:rsidR="006C28D2">
        <w:t>e</w:t>
      </w:r>
      <w:r w:rsidRPr="00846769">
        <w:t>iliosis.</w:t>
      </w:r>
      <w:r w:rsidR="00EF4DAC" w:rsidRPr="00846769">
        <w:t xml:space="preserve"> </w:t>
      </w:r>
      <w:proofErr w:type="spellStart"/>
      <w:r w:rsidR="00EF4DAC" w:rsidRPr="00846769">
        <w:rPr>
          <w:i/>
          <w:iCs/>
        </w:rPr>
        <w:t>Marteilia</w:t>
      </w:r>
      <w:proofErr w:type="spellEnd"/>
      <w:r w:rsidR="00EF4DAC" w:rsidRPr="00846769">
        <w:rPr>
          <w:i/>
          <w:iCs/>
        </w:rPr>
        <w:t xml:space="preserve"> </w:t>
      </w:r>
      <w:proofErr w:type="spellStart"/>
      <w:r w:rsidR="00EF4DAC" w:rsidRPr="00846769">
        <w:rPr>
          <w:i/>
          <w:iCs/>
        </w:rPr>
        <w:t>refringens</w:t>
      </w:r>
      <w:proofErr w:type="spellEnd"/>
      <w:r w:rsidR="00EF4DAC" w:rsidRPr="00846769">
        <w:rPr>
          <w:i/>
          <w:iCs/>
        </w:rPr>
        <w:t xml:space="preserve"> </w:t>
      </w:r>
      <w:r w:rsidR="00EF4DAC" w:rsidRPr="00846769">
        <w:t xml:space="preserve">is an exotic parasite of bivalve molluscs, principally </w:t>
      </w:r>
      <w:proofErr w:type="spellStart"/>
      <w:r w:rsidR="00EF4DAC" w:rsidRPr="00846769">
        <w:t>ostreid</w:t>
      </w:r>
      <w:proofErr w:type="spellEnd"/>
      <w:r w:rsidR="00EF4DAC" w:rsidRPr="00846769">
        <w:t xml:space="preserve"> oysters and </w:t>
      </w:r>
      <w:proofErr w:type="spellStart"/>
      <w:r w:rsidR="00EF4DAC" w:rsidRPr="00846769">
        <w:t>mytilid</w:t>
      </w:r>
      <w:proofErr w:type="spellEnd"/>
      <w:r w:rsidR="00EF4DAC" w:rsidRPr="00846769">
        <w:t xml:space="preserve"> mussels, and causes Aber disease. It is listed as a WOAH-notifiable disease, and is also listed on </w:t>
      </w:r>
      <w:hyperlink r:id="rId62" w:anchor="molluscs" w:history="1">
        <w:r w:rsidR="00EF4DAC" w:rsidRPr="00846769">
          <w:rPr>
            <w:rStyle w:val="Hyperlink"/>
          </w:rPr>
          <w:t>Australia’s National List of Reportable Diseases of Aquatic Animals</w:t>
        </w:r>
      </w:hyperlink>
      <w:r w:rsidR="00EF4DAC" w:rsidRPr="00846769">
        <w:t xml:space="preserve"> and on the </w:t>
      </w:r>
      <w:hyperlink r:id="rId63" w:anchor="aquatic-animal-diseases" w:history="1">
        <w:r w:rsidR="00EF4DAC" w:rsidRPr="00846769">
          <w:rPr>
            <w:rStyle w:val="Hyperlink"/>
          </w:rPr>
          <w:t>Exotic Environmental Pest List (EEPL).</w:t>
        </w:r>
      </w:hyperlink>
      <w:r w:rsidR="00EF4DAC" w:rsidRPr="00846769">
        <w:t xml:space="preserve"> </w:t>
      </w:r>
      <w:proofErr w:type="spellStart"/>
      <w:r w:rsidR="00EF4DAC" w:rsidRPr="00846769">
        <w:rPr>
          <w:i/>
          <w:iCs/>
        </w:rPr>
        <w:t>Marteilia</w:t>
      </w:r>
      <w:proofErr w:type="spellEnd"/>
      <w:r w:rsidR="00EF4DAC" w:rsidRPr="00846769">
        <w:rPr>
          <w:i/>
          <w:iCs/>
        </w:rPr>
        <w:t xml:space="preserve"> </w:t>
      </w:r>
      <w:proofErr w:type="spellStart"/>
      <w:r w:rsidR="00EF4DAC" w:rsidRPr="00846769">
        <w:rPr>
          <w:i/>
          <w:iCs/>
        </w:rPr>
        <w:t>refringens</w:t>
      </w:r>
      <w:proofErr w:type="spellEnd"/>
      <w:r w:rsidR="00EF4DAC" w:rsidRPr="00846769">
        <w:rPr>
          <w:i/>
          <w:iCs/>
        </w:rPr>
        <w:t xml:space="preserve"> </w:t>
      </w:r>
      <w:r w:rsidR="00EF4DAC" w:rsidRPr="00846769">
        <w:t xml:space="preserve">is not present in Australia. It is recorded from several countries in the northern hemisphere, including Atlantic Europe such as France and the United </w:t>
      </w:r>
      <w:r w:rsidR="00EF4DAC" w:rsidRPr="00F47511">
        <w:t>Kingdom</w:t>
      </w:r>
      <w:r w:rsidR="000F1409" w:rsidRPr="00F47511">
        <w:t xml:space="preserve">, </w:t>
      </w:r>
      <w:r w:rsidR="00EF4DAC" w:rsidRPr="00F47511">
        <w:t xml:space="preserve">and Mediterranean Europe including Croatia, </w:t>
      </w:r>
      <w:r w:rsidR="00EF4DAC" w:rsidRPr="00C31A57">
        <w:t xml:space="preserve">Italy, Spain, and Greece (WOAH 2022). </w:t>
      </w:r>
      <w:proofErr w:type="spellStart"/>
      <w:r w:rsidR="00EF4DAC" w:rsidRPr="00C31A57">
        <w:rPr>
          <w:i/>
          <w:iCs/>
        </w:rPr>
        <w:t>Marteilia</w:t>
      </w:r>
      <w:proofErr w:type="spellEnd"/>
      <w:r w:rsidR="00EF4DAC" w:rsidRPr="00C31A57">
        <w:rPr>
          <w:i/>
          <w:iCs/>
        </w:rPr>
        <w:t xml:space="preserve"> </w:t>
      </w:r>
      <w:proofErr w:type="spellStart"/>
      <w:r w:rsidR="00EF4DAC" w:rsidRPr="00C31A57">
        <w:rPr>
          <w:i/>
          <w:iCs/>
        </w:rPr>
        <w:t>refringens</w:t>
      </w:r>
      <w:proofErr w:type="spellEnd"/>
      <w:r w:rsidR="00EF4DAC" w:rsidRPr="00C31A57">
        <w:rPr>
          <w:i/>
          <w:iCs/>
        </w:rPr>
        <w:t xml:space="preserve"> </w:t>
      </w:r>
      <w:r w:rsidR="00EF4DAC" w:rsidRPr="00C31A57">
        <w:t xml:space="preserve">infects the digestive system of hosts, where it undergoes sporulation, </w:t>
      </w:r>
      <w:proofErr w:type="gramStart"/>
      <w:r w:rsidR="00EF4DAC" w:rsidRPr="00C31A57">
        <w:t>similar to</w:t>
      </w:r>
      <w:proofErr w:type="gramEnd"/>
      <w:r w:rsidR="00EF4DAC" w:rsidRPr="00C31A57">
        <w:t xml:space="preserve"> </w:t>
      </w:r>
      <w:r w:rsidR="00EF4DAC" w:rsidRPr="00C31A57">
        <w:rPr>
          <w:i/>
          <w:iCs/>
        </w:rPr>
        <w:t xml:space="preserve">M. </w:t>
      </w:r>
      <w:proofErr w:type="spellStart"/>
      <w:r w:rsidR="00EF4DAC" w:rsidRPr="00C31A57">
        <w:rPr>
          <w:i/>
          <w:iCs/>
        </w:rPr>
        <w:t>sydneyi</w:t>
      </w:r>
      <w:proofErr w:type="spellEnd"/>
      <w:r w:rsidR="00EF4DAC" w:rsidRPr="00C31A57">
        <w:rPr>
          <w:i/>
          <w:iCs/>
        </w:rPr>
        <w:t xml:space="preserve"> </w:t>
      </w:r>
      <w:r w:rsidR="00EF4DAC" w:rsidRPr="00C31A57">
        <w:t xml:space="preserve">which is present in Australia. Other marine invertebrates are likely involved in the parasite’s lifecycle. For example, the copepod, </w:t>
      </w:r>
      <w:proofErr w:type="spellStart"/>
      <w:r w:rsidR="00EF4DAC" w:rsidRPr="00C31A57">
        <w:rPr>
          <w:i/>
          <w:iCs/>
        </w:rPr>
        <w:t>Paracartia</w:t>
      </w:r>
      <w:proofErr w:type="spellEnd"/>
      <w:r w:rsidR="00EF4DAC" w:rsidRPr="00C31A57">
        <w:rPr>
          <w:i/>
          <w:iCs/>
        </w:rPr>
        <w:t xml:space="preserve"> </w:t>
      </w:r>
      <w:proofErr w:type="spellStart"/>
      <w:r w:rsidR="00EF4DAC" w:rsidRPr="00C31A57">
        <w:rPr>
          <w:i/>
          <w:iCs/>
        </w:rPr>
        <w:t>grani</w:t>
      </w:r>
      <w:proofErr w:type="spellEnd"/>
      <w:r w:rsidR="00EF4DAC" w:rsidRPr="00C31A57">
        <w:rPr>
          <w:i/>
          <w:iCs/>
        </w:rPr>
        <w:t xml:space="preserve">, </w:t>
      </w:r>
      <w:r w:rsidR="00EF4DAC" w:rsidRPr="00C31A57">
        <w:t xml:space="preserve">is suspected to be involved in the transmission of </w:t>
      </w:r>
      <w:r w:rsidR="00EF4DAC" w:rsidRPr="00C31A57">
        <w:rPr>
          <w:i/>
          <w:iCs/>
        </w:rPr>
        <w:t xml:space="preserve">M. </w:t>
      </w:r>
      <w:proofErr w:type="spellStart"/>
      <w:r w:rsidR="00EF4DAC" w:rsidRPr="00C31A57">
        <w:rPr>
          <w:i/>
          <w:iCs/>
        </w:rPr>
        <w:t>refringens</w:t>
      </w:r>
      <w:proofErr w:type="spellEnd"/>
      <w:r w:rsidR="00EF4DAC" w:rsidRPr="00C31A57">
        <w:rPr>
          <w:i/>
          <w:iCs/>
        </w:rPr>
        <w:t xml:space="preserve"> </w:t>
      </w:r>
      <w:r w:rsidR="00EF4DAC" w:rsidRPr="00C31A57">
        <w:t>(</w:t>
      </w:r>
      <w:proofErr w:type="spellStart"/>
      <w:r w:rsidR="00EF4DAC" w:rsidRPr="00C31A57">
        <w:t>Audemard</w:t>
      </w:r>
      <w:proofErr w:type="spellEnd"/>
      <w:r w:rsidR="00EF4DAC" w:rsidRPr="00C31A57">
        <w:t xml:space="preserve"> et al. 2004).</w:t>
      </w:r>
    </w:p>
    <w:p w14:paraId="3C977BC4" w14:textId="1847AF5F" w:rsidR="005E3936" w:rsidRPr="00846769" w:rsidRDefault="00B5740F" w:rsidP="00705596">
      <w:proofErr w:type="spellStart"/>
      <w:r w:rsidRPr="00C31A57">
        <w:rPr>
          <w:i/>
          <w:iCs/>
        </w:rPr>
        <w:t>Marteilia</w:t>
      </w:r>
      <w:proofErr w:type="spellEnd"/>
      <w:r w:rsidRPr="00C31A57">
        <w:rPr>
          <w:i/>
          <w:iCs/>
        </w:rPr>
        <w:t xml:space="preserve"> </w:t>
      </w:r>
      <w:proofErr w:type="spellStart"/>
      <w:r w:rsidRPr="00C31A57">
        <w:rPr>
          <w:i/>
          <w:iCs/>
        </w:rPr>
        <w:t>sydneyi</w:t>
      </w:r>
      <w:proofErr w:type="spellEnd"/>
      <w:r w:rsidRPr="00C31A57">
        <w:rPr>
          <w:i/>
          <w:iCs/>
        </w:rPr>
        <w:t xml:space="preserve"> </w:t>
      </w:r>
      <w:r w:rsidR="009104BA" w:rsidRPr="00C31A57">
        <w:t xml:space="preserve">is endemic to Australia and causes QX disease. It </w:t>
      </w:r>
      <w:r w:rsidRPr="00C31A57">
        <w:t xml:space="preserve">infects the native </w:t>
      </w:r>
      <w:r w:rsidR="009104BA" w:rsidRPr="00C31A57">
        <w:t>r</w:t>
      </w:r>
      <w:r w:rsidRPr="00C31A57">
        <w:t>ock oyste</w:t>
      </w:r>
      <w:r w:rsidR="009104BA" w:rsidRPr="00C31A57">
        <w:t>rs</w:t>
      </w:r>
      <w:r w:rsidRPr="00C31A57">
        <w:t xml:space="preserve"> </w:t>
      </w:r>
      <w:r w:rsidR="009104BA" w:rsidRPr="00C31A57">
        <w:t>(</w:t>
      </w:r>
      <w:r w:rsidRPr="00C31A57">
        <w:rPr>
          <w:i/>
          <w:iCs/>
        </w:rPr>
        <w:t>Saccostrea glomerata</w:t>
      </w:r>
      <w:r w:rsidR="009104BA" w:rsidRPr="00C31A57">
        <w:rPr>
          <w:i/>
          <w:iCs/>
        </w:rPr>
        <w:t xml:space="preserve"> </w:t>
      </w:r>
      <w:r w:rsidR="009104BA" w:rsidRPr="00C31A57">
        <w:t xml:space="preserve">and </w:t>
      </w:r>
      <w:r w:rsidR="009104BA" w:rsidRPr="00C31A57">
        <w:rPr>
          <w:i/>
          <w:iCs/>
        </w:rPr>
        <w:t>S. cucullata</w:t>
      </w:r>
      <w:r w:rsidR="009104BA" w:rsidRPr="00C31A57">
        <w:t>)</w:t>
      </w:r>
      <w:r w:rsidRPr="00C31A57">
        <w:rPr>
          <w:i/>
          <w:iCs/>
        </w:rPr>
        <w:t xml:space="preserve"> </w:t>
      </w:r>
      <w:r w:rsidR="00861734" w:rsidRPr="00C31A57">
        <w:t xml:space="preserve">and has previously been found </w:t>
      </w:r>
      <w:r w:rsidRPr="00C31A57">
        <w:t>in New South Wales, Queensland</w:t>
      </w:r>
      <w:r w:rsidR="009104BA" w:rsidRPr="00C31A57">
        <w:t>,</w:t>
      </w:r>
      <w:r w:rsidRPr="00C31A57">
        <w:t xml:space="preserve"> and Western Australia</w:t>
      </w:r>
      <w:r w:rsidR="007C3DB3" w:rsidRPr="00C31A57">
        <w:t xml:space="preserve"> (Adlard &amp; Nolan 2015)</w:t>
      </w:r>
      <w:r w:rsidRPr="00C31A57">
        <w:t>.</w:t>
      </w:r>
      <w:r w:rsidRPr="00846769">
        <w:t xml:space="preserve"> </w:t>
      </w:r>
    </w:p>
    <w:p w14:paraId="7019474B" w14:textId="3F459871" w:rsidR="00D30A84" w:rsidRPr="00846769" w:rsidRDefault="00D30A84" w:rsidP="00D30A84">
      <w:pPr>
        <w:pStyle w:val="Heading4"/>
      </w:pPr>
      <w:r w:rsidRPr="00846769">
        <w:t>Bivalve</w:t>
      </w:r>
      <w:r w:rsidR="00687113" w:rsidRPr="00846769">
        <w:t xml:space="preserve"> </w:t>
      </w:r>
      <w:r w:rsidRPr="00846769">
        <w:t>impacts to human health</w:t>
      </w:r>
    </w:p>
    <w:p w14:paraId="3AF2BE59" w14:textId="0766FC0F" w:rsidR="00E35C79" w:rsidRPr="00846769" w:rsidRDefault="00B5740F" w:rsidP="00BF317B">
      <w:r w:rsidRPr="00846769">
        <w:t>Bivalves are filter feeder</w:t>
      </w:r>
      <w:r w:rsidR="008B0DB5" w:rsidRPr="00846769">
        <w:t>s and</w:t>
      </w:r>
      <w:r w:rsidRPr="00846769">
        <w:t xml:space="preserve"> can accumulate </w:t>
      </w:r>
      <w:r w:rsidR="00C6493D" w:rsidRPr="00846769">
        <w:t>toxins</w:t>
      </w:r>
      <w:r w:rsidR="00BE5B49" w:rsidRPr="00846769">
        <w:t xml:space="preserve"> (including heavy metals)</w:t>
      </w:r>
      <w:r w:rsidR="00C6493D" w:rsidRPr="00846769">
        <w:t xml:space="preserve"> and </w:t>
      </w:r>
      <w:r w:rsidRPr="00846769">
        <w:t>pathogenic microorganisms from the environment</w:t>
      </w:r>
      <w:r w:rsidR="00E35C79" w:rsidRPr="00846769">
        <w:t xml:space="preserve"> through filter feeding activity</w:t>
      </w:r>
      <w:r w:rsidR="00D30A84" w:rsidRPr="00846769">
        <w:t>; this can occur in both native or invasive marine bivalves, or in wild or cultivated bivalves</w:t>
      </w:r>
      <w:r w:rsidRPr="00846769">
        <w:t xml:space="preserve">. </w:t>
      </w:r>
      <w:r w:rsidR="00E35C79" w:rsidRPr="00846769">
        <w:t xml:space="preserve">Pathogens like human norovirus and </w:t>
      </w:r>
      <w:r w:rsidR="00E35C79" w:rsidRPr="00846769">
        <w:rPr>
          <w:i/>
          <w:iCs/>
        </w:rPr>
        <w:t>Vibrio</w:t>
      </w:r>
      <w:r w:rsidR="00FF70DD">
        <w:rPr>
          <w:i/>
          <w:iCs/>
        </w:rPr>
        <w:t> </w:t>
      </w:r>
      <w:r w:rsidR="00E35C79" w:rsidRPr="00846769">
        <w:rPr>
          <w:i/>
          <w:iCs/>
        </w:rPr>
        <w:t xml:space="preserve">parahaemolyticus </w:t>
      </w:r>
      <w:r w:rsidR="00E35C79" w:rsidRPr="00846769">
        <w:t>can cause gastrointestinal infection in humans after consuming infected shellfish. Toxic algae can accumulate in bivalves and cause different types of poisoning in humans, including paralytic shellfish poisoning, which in severe cases can cause human fatalities.</w:t>
      </w:r>
    </w:p>
    <w:p w14:paraId="551A58B1" w14:textId="0D2690FC" w:rsidR="00687113" w:rsidRPr="00846769" w:rsidRDefault="00D23E66" w:rsidP="00BF317B">
      <w:r>
        <w:t xml:space="preserve">Human health risks are inherent in consumption of native and invasive marine bivalves. Bivalves can accumulate viruses and bacteria present in the water column, including those of concern to human health. For example, levels of faecal indicator bacteria were several-fold higher in </w:t>
      </w:r>
      <w:r>
        <w:rPr>
          <w:i/>
          <w:iCs/>
        </w:rPr>
        <w:t xml:space="preserve">P. perna </w:t>
      </w:r>
      <w:r>
        <w:t>mussels than the surrounding water (</w:t>
      </w:r>
      <w:proofErr w:type="spellStart"/>
      <w:r>
        <w:t>Boufafa</w:t>
      </w:r>
      <w:proofErr w:type="spellEnd"/>
      <w:r>
        <w:t xml:space="preserve"> et al. 2021). </w:t>
      </w:r>
      <w:r w:rsidR="00B5740F" w:rsidRPr="00846769">
        <w:t xml:space="preserve">Collection of bivalves are typically banned after a period of heavy rain to reduce human health risk through ingestion of enteric microorganisms from contaminated stormwater discharge. </w:t>
      </w:r>
      <w:hyperlink w:anchor="_Appendix_A:_Species" w:history="1">
        <w:r w:rsidR="00687113" w:rsidRPr="00846769">
          <w:rPr>
            <w:rStyle w:val="Hyperlink"/>
          </w:rPr>
          <w:t>Appendix A</w:t>
        </w:r>
      </w:hyperlink>
      <w:r w:rsidR="00687113" w:rsidRPr="00846769">
        <w:t xml:space="preserve"> contains taxon-specific information on some invasive marine bivalves, including </w:t>
      </w:r>
      <w:r w:rsidR="005E3936" w:rsidRPr="00846769">
        <w:t>information on bivalve diseases</w:t>
      </w:r>
      <w:r w:rsidR="00E35C79" w:rsidRPr="00846769">
        <w:t xml:space="preserve"> for each taxon</w:t>
      </w:r>
      <w:r w:rsidR="005E3936" w:rsidRPr="00846769">
        <w:t xml:space="preserve">. </w:t>
      </w:r>
      <w:r w:rsidR="00687113" w:rsidRPr="00846769">
        <w:t xml:space="preserve"> </w:t>
      </w:r>
    </w:p>
    <w:p w14:paraId="7E8BF9D2" w14:textId="77777777" w:rsidR="00E35C79" w:rsidRPr="00846769" w:rsidRDefault="00E35C79" w:rsidP="00E35C79">
      <w:pPr>
        <w:pStyle w:val="Heading3"/>
      </w:pPr>
      <w:bookmarkStart w:id="55" w:name="_Toc191998647"/>
      <w:r w:rsidRPr="00846769">
        <w:t>Aquaculture</w:t>
      </w:r>
      <w:bookmarkEnd w:id="55"/>
    </w:p>
    <w:p w14:paraId="4C14F41B" w14:textId="1B94CFF1" w:rsidR="00E35C79" w:rsidRPr="001914AE" w:rsidRDefault="00E35C79" w:rsidP="00BF317B">
      <w:r w:rsidRPr="00846769">
        <w:t>Bivalves constitute an important food source for humans</w:t>
      </w:r>
      <w:r w:rsidR="001914AE">
        <w:t xml:space="preserve"> and</w:t>
      </w:r>
      <w:r w:rsidRPr="00846769">
        <w:t xml:space="preserve"> support important aquaculture production</w:t>
      </w:r>
      <w:r w:rsidR="001914AE">
        <w:t xml:space="preserve"> globally</w:t>
      </w:r>
      <w:r w:rsidRPr="00846769">
        <w:t>. Invasive marine</w:t>
      </w:r>
      <w:r w:rsidRPr="00846769" w:rsidDel="007A7809">
        <w:t xml:space="preserve"> bivalves have a long history of crossing biogeographical </w:t>
      </w:r>
      <w:r w:rsidRPr="00DD01E4" w:rsidDel="007A7809">
        <w:t xml:space="preserve">boundaries, either accidentally or deliberately, usually for the purpose of establishing aquaculture </w:t>
      </w:r>
      <w:r w:rsidRPr="00C31A57" w:rsidDel="007A7809">
        <w:t>(Padilla 2010).</w:t>
      </w:r>
      <w:r w:rsidRPr="00C31A57">
        <w:t xml:space="preserve"> </w:t>
      </w:r>
      <w:r w:rsidRPr="00C31A57">
        <w:rPr>
          <w:i/>
          <w:iCs/>
        </w:rPr>
        <w:t xml:space="preserve">Magallana gigas </w:t>
      </w:r>
      <w:r w:rsidRPr="00C31A57">
        <w:t xml:space="preserve">has been extensively introduced to countries around the world to establish aquaculture and is now the most widely farmed and commercially important bivalve globally (FAO 2018). </w:t>
      </w:r>
      <w:r w:rsidR="00241BA6" w:rsidRPr="00C31A57">
        <w:t xml:space="preserve">Fast growth, high fecundity, and environmentally hardy traits that make it a good aquaculture species are less desirable in natural settings where dense aggregations outcompete native species and make the shoreline less inviting for recreational activities (Herbert et al. 2016). </w:t>
      </w:r>
      <w:r w:rsidRPr="00C31A57">
        <w:t xml:space="preserve">In its native range, </w:t>
      </w:r>
      <w:r w:rsidRPr="00C31A57">
        <w:rPr>
          <w:i/>
          <w:iCs/>
        </w:rPr>
        <w:t xml:space="preserve">P. canaliculus </w:t>
      </w:r>
      <w:r w:rsidRPr="00C31A57">
        <w:t>contributes over half of New Zealand’s aquaculture-</w:t>
      </w:r>
      <w:r w:rsidRPr="00C31A57">
        <w:lastRenderedPageBreak/>
        <w:t>source export product (</w:t>
      </w:r>
      <w:r w:rsidR="00F47511" w:rsidRPr="00C31A57">
        <w:t>Chaput et al. 2023</w:t>
      </w:r>
      <w:r w:rsidRPr="00C31A57">
        <w:t xml:space="preserve">). </w:t>
      </w:r>
      <w:r w:rsidRPr="00C31A57">
        <w:rPr>
          <w:i/>
          <w:iCs/>
        </w:rPr>
        <w:t xml:space="preserve">Perna </w:t>
      </w:r>
      <w:r w:rsidRPr="00C31A57">
        <w:t xml:space="preserve">spp. and </w:t>
      </w:r>
      <w:r w:rsidRPr="00C31A57">
        <w:rPr>
          <w:i/>
          <w:iCs/>
        </w:rPr>
        <w:t>M. bilineata</w:t>
      </w:r>
      <w:r w:rsidRPr="00C31A57">
        <w:t xml:space="preserve"> have </w:t>
      </w:r>
      <w:r w:rsidR="00FB3577" w:rsidRPr="00C31A57">
        <w:t xml:space="preserve">also </w:t>
      </w:r>
      <w:r w:rsidRPr="00C31A57">
        <w:t xml:space="preserve">been intentionally introduced throughout the Pacific islands for the purposes of </w:t>
      </w:r>
      <w:r w:rsidR="00F40D92" w:rsidRPr="00C31A57">
        <w:t xml:space="preserve">aquaculture </w:t>
      </w:r>
      <w:r w:rsidRPr="00C31A57">
        <w:t xml:space="preserve">(Eldredge 1994). </w:t>
      </w:r>
      <w:r w:rsidR="001914AE" w:rsidRPr="00C31A57">
        <w:t xml:space="preserve">Other </w:t>
      </w:r>
      <w:r w:rsidR="00D17D77" w:rsidRPr="00C31A57">
        <w:t>genera</w:t>
      </w:r>
      <w:r w:rsidR="001914AE" w:rsidRPr="00C31A57">
        <w:t xml:space="preserve"> such as </w:t>
      </w:r>
      <w:r w:rsidR="001914AE" w:rsidRPr="00C31A57">
        <w:rPr>
          <w:i/>
          <w:iCs/>
        </w:rPr>
        <w:t xml:space="preserve">Ostrea </w:t>
      </w:r>
      <w:r w:rsidR="001914AE" w:rsidRPr="00C31A57">
        <w:t xml:space="preserve">spp. and </w:t>
      </w:r>
      <w:r w:rsidR="001914AE" w:rsidRPr="00C31A57">
        <w:rPr>
          <w:i/>
          <w:iCs/>
        </w:rPr>
        <w:t xml:space="preserve">Mytilus </w:t>
      </w:r>
      <w:r w:rsidR="001914AE" w:rsidRPr="00C31A57">
        <w:t xml:space="preserve">spp. </w:t>
      </w:r>
      <w:r w:rsidR="00D17D77" w:rsidRPr="00C31A57">
        <w:t>have been introduced for aquaculture purposes in some regions of the world (Michalek et al. 2016).</w:t>
      </w:r>
      <w:r w:rsidR="00D17D77">
        <w:t xml:space="preserve"> </w:t>
      </w:r>
    </w:p>
    <w:p w14:paraId="08B1367F" w14:textId="4504D8E9" w:rsidR="006939E1" w:rsidRPr="00846769" w:rsidRDefault="00EC6008" w:rsidP="00BF317B">
      <w:pPr>
        <w:pStyle w:val="Heading3"/>
        <w:ind w:left="851" w:hanging="851"/>
      </w:pPr>
      <w:bookmarkStart w:id="56" w:name="_Toc87599089"/>
      <w:bookmarkStart w:id="57" w:name="_Toc191998648"/>
      <w:bookmarkEnd w:id="54"/>
      <w:r>
        <w:t xml:space="preserve">Overview </w:t>
      </w:r>
      <w:r w:rsidR="00B5740F" w:rsidRPr="00846769">
        <w:t xml:space="preserve">of invasive marine </w:t>
      </w:r>
      <w:bookmarkEnd w:id="56"/>
      <w:r w:rsidR="00B5740F" w:rsidRPr="00846769">
        <w:t>bivalve</w:t>
      </w:r>
      <w:r>
        <w:t xml:space="preserve"> management</w:t>
      </w:r>
      <w:bookmarkEnd w:id="57"/>
    </w:p>
    <w:p w14:paraId="775B8858" w14:textId="77777777" w:rsidR="00C81F3A" w:rsidRDefault="00B5740F" w:rsidP="00BF317B">
      <w:r w:rsidRPr="00846769">
        <w:t>Management of invasive marine bivalves will depend on the target species,</w:t>
      </w:r>
      <w:r w:rsidR="00B52763" w:rsidRPr="00846769">
        <w:t xml:space="preserve"> its life history strategy (infaunal vs epifaunal), the</w:t>
      </w:r>
      <w:r w:rsidRPr="00846769">
        <w:t xml:space="preserve"> size of the incursion (area infested and size of population)</w:t>
      </w:r>
      <w:r w:rsidR="00E35C79" w:rsidRPr="00846769">
        <w:t>,</w:t>
      </w:r>
      <w:r w:rsidRPr="00846769">
        <w:t xml:space="preserve"> and </w:t>
      </w:r>
      <w:r w:rsidR="004D5104" w:rsidRPr="00846769">
        <w:t xml:space="preserve">the </w:t>
      </w:r>
      <w:r w:rsidRPr="00846769">
        <w:t>location. Often the most appropriate management approaches require a combination of several techniques targeting different life stages</w:t>
      </w:r>
      <w:r w:rsidR="00B52763" w:rsidRPr="00846769">
        <w:t xml:space="preserve"> (see </w:t>
      </w:r>
      <w:hyperlink w:anchor="_Containment,_control,_and" w:history="1">
        <w:r w:rsidR="008B3846" w:rsidRPr="00846769">
          <w:rPr>
            <w:rStyle w:val="Hyperlink"/>
          </w:rPr>
          <w:t>S</w:t>
        </w:r>
        <w:r w:rsidR="00B52763" w:rsidRPr="00846769">
          <w:rPr>
            <w:rStyle w:val="Hyperlink"/>
          </w:rPr>
          <w:t xml:space="preserve">ection </w:t>
        </w:r>
        <w:r w:rsidR="000F1409" w:rsidRPr="00846769">
          <w:rPr>
            <w:rStyle w:val="Hyperlink"/>
          </w:rPr>
          <w:t>5</w:t>
        </w:r>
      </w:hyperlink>
      <w:r w:rsidR="00B52763" w:rsidRPr="00846769">
        <w:t>)</w:t>
      </w:r>
      <w:r w:rsidRPr="00846769">
        <w:t xml:space="preserve">. </w:t>
      </w:r>
      <w:r w:rsidR="00C81F3A" w:rsidRPr="00846769">
        <w:t>The small size of many invasive bivalve species (</w:t>
      </w:r>
      <w:r w:rsidR="00C81F3A">
        <w:t>e.g.</w:t>
      </w:r>
      <w:r w:rsidR="00C81F3A" w:rsidRPr="00846769">
        <w:t xml:space="preserve"> </w:t>
      </w:r>
      <w:r w:rsidR="00C81F3A" w:rsidRPr="00846769">
        <w:rPr>
          <w:i/>
          <w:iCs/>
        </w:rPr>
        <w:t xml:space="preserve">V. gibba </w:t>
      </w:r>
      <w:r w:rsidR="00C81F3A" w:rsidRPr="00846769">
        <w:t xml:space="preserve">and </w:t>
      </w:r>
      <w:r w:rsidR="00C81F3A" w:rsidRPr="00846769">
        <w:rPr>
          <w:i/>
          <w:iCs/>
        </w:rPr>
        <w:t xml:space="preserve">M. sallei </w:t>
      </w:r>
      <w:r w:rsidR="00C81F3A" w:rsidRPr="00846769">
        <w:t xml:space="preserve">have ~30 mm shell </w:t>
      </w:r>
      <w:r w:rsidR="00C81F3A">
        <w:t>lengths</w:t>
      </w:r>
      <w:r w:rsidR="00C81F3A" w:rsidRPr="00846769">
        <w:t>)</w:t>
      </w:r>
      <w:r w:rsidR="00C81F3A">
        <w:t>, along with the ability for some bivalves to evoke stress-induced spawning when handled,</w:t>
      </w:r>
      <w:r w:rsidR="00C81F3A" w:rsidRPr="00846769">
        <w:t xml:space="preserve"> can make physical removal challenging. </w:t>
      </w:r>
    </w:p>
    <w:p w14:paraId="42ECFBEE" w14:textId="42F25AE8" w:rsidR="00C81F3A" w:rsidRPr="00C31A57" w:rsidRDefault="00B5740F" w:rsidP="00BF317B">
      <w:r w:rsidRPr="00846769">
        <w:t>Physical removal and biocides can be efficient control methods for small-scale incursion</w:t>
      </w:r>
      <w:r w:rsidRPr="00400F7D">
        <w:t xml:space="preserve">s (Hopkins et </w:t>
      </w:r>
      <w:r w:rsidRPr="00C31A57">
        <w:t>al. 2011; Willan et al. 2000), but there are no adequate control methods for large-scale marine bivalve incursions.</w:t>
      </w:r>
      <w:r w:rsidR="00C81F3A" w:rsidRPr="00C31A57">
        <w:t xml:space="preserve"> </w:t>
      </w:r>
      <w:r w:rsidRPr="00C31A57">
        <w:t xml:space="preserve">Invasive </w:t>
      </w:r>
      <w:r w:rsidR="000F1409" w:rsidRPr="00C31A57">
        <w:t xml:space="preserve">marine </w:t>
      </w:r>
      <w:r w:rsidRPr="00C31A57">
        <w:t xml:space="preserve">bivalves have been eradicated </w:t>
      </w:r>
      <w:r w:rsidR="00BB117F" w:rsidRPr="00C31A57">
        <w:t xml:space="preserve">successfully </w:t>
      </w:r>
      <w:r w:rsidR="00DD4733" w:rsidRPr="00C31A57">
        <w:t xml:space="preserve">in </w:t>
      </w:r>
      <w:r w:rsidRPr="00C31A57">
        <w:t>Australia</w:t>
      </w:r>
      <w:r w:rsidR="00ED25B7" w:rsidRPr="00C31A57">
        <w:t xml:space="preserve"> (</w:t>
      </w:r>
      <w:r w:rsidR="00C81F3A" w:rsidRPr="00C31A57">
        <w:t>e.g.</w:t>
      </w:r>
      <w:r w:rsidR="00ED25B7" w:rsidRPr="00C31A57">
        <w:t xml:space="preserve"> </w:t>
      </w:r>
      <w:r w:rsidR="00ED25B7" w:rsidRPr="00C31A57">
        <w:rPr>
          <w:i/>
          <w:iCs/>
        </w:rPr>
        <w:t>M</w:t>
      </w:r>
      <w:r w:rsidR="000F1409" w:rsidRPr="00C31A57">
        <w:rPr>
          <w:i/>
          <w:iCs/>
        </w:rPr>
        <w:t>.</w:t>
      </w:r>
      <w:r w:rsidR="00FF70DD">
        <w:rPr>
          <w:i/>
          <w:iCs/>
        </w:rPr>
        <w:t> </w:t>
      </w:r>
      <w:r w:rsidR="00ED25B7" w:rsidRPr="00C31A57">
        <w:rPr>
          <w:i/>
          <w:iCs/>
        </w:rPr>
        <w:t xml:space="preserve">sallei </w:t>
      </w:r>
      <w:r w:rsidR="00ED25B7" w:rsidRPr="00C31A57">
        <w:t>in Darwin, NT)</w:t>
      </w:r>
      <w:r w:rsidR="006F3C17" w:rsidRPr="00C31A57">
        <w:t>,</w:t>
      </w:r>
      <w:r w:rsidRPr="00C31A57">
        <w:t xml:space="preserve"> however, these incursions have been small and localised (Willan et al. 2000).</w:t>
      </w:r>
      <w:r w:rsidR="00C81F3A" w:rsidRPr="00C31A57">
        <w:t xml:space="preserve"> Although there is the potential for bivalve populations to die out naturally, as was suspected </w:t>
      </w:r>
      <w:proofErr w:type="gramStart"/>
      <w:r w:rsidR="00C81F3A" w:rsidRPr="00C31A57">
        <w:t>for</w:t>
      </w:r>
      <w:proofErr w:type="gramEnd"/>
      <w:r w:rsidR="00C81F3A" w:rsidRPr="00C31A57">
        <w:t xml:space="preserve"> </w:t>
      </w:r>
      <w:r w:rsidR="00C81F3A" w:rsidRPr="00C31A57">
        <w:rPr>
          <w:i/>
          <w:iCs/>
        </w:rPr>
        <w:t>P.</w:t>
      </w:r>
      <w:r w:rsidR="00FF70DD">
        <w:rPr>
          <w:i/>
          <w:iCs/>
        </w:rPr>
        <w:t> </w:t>
      </w:r>
      <w:r w:rsidR="00C81F3A" w:rsidRPr="00C31A57">
        <w:rPr>
          <w:i/>
          <w:iCs/>
        </w:rPr>
        <w:t xml:space="preserve">canaliculus </w:t>
      </w:r>
      <w:r w:rsidR="00C81F3A" w:rsidRPr="00C31A57">
        <w:t>in South Australia (</w:t>
      </w:r>
      <w:r w:rsidR="00C81F3A" w:rsidRPr="00A04E26">
        <w:t>Richard Willan [MAGNT], pers. comm., April 2023</w:t>
      </w:r>
      <w:r w:rsidR="00C81F3A" w:rsidRPr="00C31A57">
        <w:t xml:space="preserve">), there is no guarantee that any bivalve incursion will die out from natural causes. Effective biosecurity emergency responses operate under risk-management approaches which assume that each incursion has potential for establishment, spread, and </w:t>
      </w:r>
      <w:r w:rsidR="00494B9E" w:rsidRPr="00C31A57">
        <w:t xml:space="preserve">negative </w:t>
      </w:r>
      <w:r w:rsidR="00C81F3A" w:rsidRPr="00C31A57">
        <w:t>impacts. Therefore, any bivalve incursion, especially for high-risk species used as examples within this manual, should be acted on as early as possible during an emergency response.</w:t>
      </w:r>
    </w:p>
    <w:p w14:paraId="5EB1FADA" w14:textId="33D06BFB" w:rsidR="00E35C79" w:rsidRPr="00846769" w:rsidRDefault="00B5740F" w:rsidP="00BF317B">
      <w:r w:rsidRPr="00C31A57">
        <w:t>Th</w:t>
      </w:r>
      <w:r w:rsidR="008E20DE" w:rsidRPr="00C31A57">
        <w:t>is</w:t>
      </w:r>
      <w:r w:rsidRPr="00C31A57">
        <w:t xml:space="preserve"> response manual provides guidance on managing </w:t>
      </w:r>
      <w:r w:rsidR="00ED25B7" w:rsidRPr="00C31A57">
        <w:t>invasive marine bivalves in Australia.</w:t>
      </w:r>
      <w:r w:rsidRPr="00C31A57">
        <w:t xml:space="preserve"> The general principles of management are similar</w:t>
      </w:r>
      <w:r w:rsidR="00ED25B7" w:rsidRPr="00C31A57">
        <w:t xml:space="preserve"> for infaunal and epifaunal bivalve taxa</w:t>
      </w:r>
      <w:r w:rsidRPr="00C31A57">
        <w:t>, with timeliness being critical to effective management action. If an introduced bivalve has spawned and larvae have settled</w:t>
      </w:r>
      <w:r w:rsidR="00BB117F" w:rsidRPr="00C31A57">
        <w:t xml:space="preserve"> over a large area</w:t>
      </w:r>
      <w:r w:rsidRPr="00C31A57">
        <w:t xml:space="preserve">, then control will be far more difficult. </w:t>
      </w:r>
      <w:r w:rsidR="00ED25B7" w:rsidRPr="00C31A57">
        <w:t xml:space="preserve">For example, </w:t>
      </w:r>
      <w:r w:rsidRPr="00C31A57">
        <w:rPr>
          <w:i/>
          <w:iCs/>
        </w:rPr>
        <w:t>M</w:t>
      </w:r>
      <w:r w:rsidR="00015D0A" w:rsidRPr="00C31A57">
        <w:rPr>
          <w:i/>
          <w:iCs/>
        </w:rPr>
        <w:t xml:space="preserve">. </w:t>
      </w:r>
      <w:r w:rsidRPr="00C31A57">
        <w:rPr>
          <w:i/>
          <w:iCs/>
        </w:rPr>
        <w:t xml:space="preserve">japonica </w:t>
      </w:r>
      <w:r w:rsidRPr="00C31A57">
        <w:t xml:space="preserve">recorded from Tasmania was found to have been present for at least 10 years before it was detected, preventing </w:t>
      </w:r>
      <w:r w:rsidR="00A71BFB" w:rsidRPr="00C31A57">
        <w:t xml:space="preserve">effective </w:t>
      </w:r>
      <w:r w:rsidRPr="00C31A57">
        <w:t>control</w:t>
      </w:r>
      <w:r w:rsidR="008E20DE" w:rsidRPr="00C31A57">
        <w:t xml:space="preserve"> </w:t>
      </w:r>
      <w:r w:rsidR="005F2145" w:rsidRPr="00C31A57">
        <w:t>(Grove et al. 2018)</w:t>
      </w:r>
      <w:r w:rsidRPr="00C31A57">
        <w:t xml:space="preserve">. </w:t>
      </w:r>
      <w:r w:rsidR="006A63DA" w:rsidRPr="00C31A57">
        <w:t>When an incursion cannot be eradicated, it is more realistic to manage the population density and reduce the risk of further spread by human pathways</w:t>
      </w:r>
      <w:r w:rsidR="00001DDB" w:rsidRPr="00C31A57">
        <w:t>, or by potentially manipulating Allee effects of invasive species (Tobin et al. 2011)</w:t>
      </w:r>
      <w:r w:rsidR="006A63DA" w:rsidRPr="00C31A57">
        <w:t>. Refer</w:t>
      </w:r>
      <w:r w:rsidR="006A63DA" w:rsidRPr="00846769">
        <w:t xml:space="preserve"> to </w:t>
      </w:r>
      <w:hyperlink w:anchor="_Delimitation,_surveillance,_and" w:history="1">
        <w:r w:rsidR="006A63DA" w:rsidRPr="00846769">
          <w:rPr>
            <w:rStyle w:val="Hyperlink"/>
          </w:rPr>
          <w:t>Section 4</w:t>
        </w:r>
      </w:hyperlink>
      <w:r w:rsidR="006A63DA">
        <w:t>, </w:t>
      </w:r>
      <w:hyperlink w:anchor="_Containment,_control,_and" w:history="1">
        <w:r w:rsidR="006A63DA" w:rsidRPr="00846769">
          <w:rPr>
            <w:rStyle w:val="Hyperlink"/>
          </w:rPr>
          <w:t>Section 5</w:t>
        </w:r>
      </w:hyperlink>
      <w:r w:rsidR="006A63DA" w:rsidRPr="00846769">
        <w:t xml:space="preserve">, and </w:t>
      </w:r>
      <w:hyperlink w:anchor="_Methods_for_treating" w:history="1">
        <w:r w:rsidR="006A63DA" w:rsidRPr="00846769">
          <w:rPr>
            <w:rStyle w:val="Hyperlink"/>
          </w:rPr>
          <w:t>Section 6</w:t>
        </w:r>
      </w:hyperlink>
      <w:r w:rsidR="006A63DA">
        <w:t xml:space="preserve"> for further information on methods to </w:t>
      </w:r>
      <w:r w:rsidR="006A63DA" w:rsidRPr="00846769">
        <w:t>detect,</w:t>
      </w:r>
      <w:r w:rsidR="006A63DA">
        <w:t xml:space="preserve"> control</w:t>
      </w:r>
      <w:r w:rsidR="006A63DA" w:rsidRPr="00846769">
        <w:t>, and dispose of</w:t>
      </w:r>
      <w:r w:rsidR="006A63DA">
        <w:t xml:space="preserve"> invasive marine </w:t>
      </w:r>
      <w:r w:rsidR="006A63DA" w:rsidRPr="00846769">
        <w:t xml:space="preserve">bivalves, respectively. </w:t>
      </w:r>
    </w:p>
    <w:p w14:paraId="1B01C9A5" w14:textId="553D2F04" w:rsidR="006939E1" w:rsidRPr="00846769" w:rsidRDefault="000128E9" w:rsidP="00A04E26">
      <w:pPr>
        <w:pStyle w:val="Heading2"/>
        <w:ind w:left="709" w:hanging="709"/>
      </w:pPr>
      <w:bookmarkStart w:id="58" w:name="_Toc62552185"/>
      <w:bookmarkStart w:id="59" w:name="_Toc62552395"/>
      <w:bookmarkStart w:id="60" w:name="_Toc56427333"/>
      <w:bookmarkStart w:id="61" w:name="_Nature_of_the"/>
      <w:bookmarkStart w:id="62" w:name="_Guidance_and_rationale"/>
      <w:bookmarkStart w:id="63" w:name="_Ref64381604"/>
      <w:bookmarkStart w:id="64" w:name="_Ref64381607"/>
      <w:bookmarkStart w:id="65" w:name="_Toc87599090"/>
      <w:bookmarkStart w:id="66" w:name="_Toc191998649"/>
      <w:bookmarkEnd w:id="6"/>
      <w:bookmarkEnd w:id="58"/>
      <w:bookmarkEnd w:id="59"/>
      <w:bookmarkEnd w:id="60"/>
      <w:bookmarkEnd w:id="61"/>
      <w:bookmarkEnd w:id="62"/>
      <w:r w:rsidRPr="00846769">
        <w:lastRenderedPageBreak/>
        <w:t xml:space="preserve">Guidance </w:t>
      </w:r>
      <w:r w:rsidR="00B5740F" w:rsidRPr="00846769">
        <w:t>and rationale for incursion response</w:t>
      </w:r>
      <w:bookmarkEnd w:id="63"/>
      <w:bookmarkEnd w:id="64"/>
      <w:bookmarkEnd w:id="65"/>
      <w:bookmarkEnd w:id="66"/>
    </w:p>
    <w:p w14:paraId="4B38CD7D" w14:textId="7A89A6B9" w:rsidR="000128E9" w:rsidRPr="00846769" w:rsidRDefault="000128E9" w:rsidP="000128E9">
      <w:pPr>
        <w:rPr>
          <w:lang w:eastAsia="ja-JP"/>
        </w:rPr>
      </w:pPr>
      <w:r w:rsidRPr="00846769">
        <w:rPr>
          <w:lang w:eastAsia="ja-JP"/>
        </w:rPr>
        <w:t>Every biosecurity incident is unique, as is the response to the incident. Management actions taken during marine pest responses</w:t>
      </w:r>
      <w:r w:rsidR="00B52763" w:rsidRPr="00846769">
        <w:rPr>
          <w:lang w:eastAsia="ja-JP"/>
        </w:rPr>
        <w:t xml:space="preserve"> </w:t>
      </w:r>
      <w:r w:rsidRPr="00846769">
        <w:rPr>
          <w:lang w:eastAsia="ja-JP"/>
        </w:rPr>
        <w:t>will differ based on variables such as the:</w:t>
      </w:r>
    </w:p>
    <w:p w14:paraId="5D300482" w14:textId="7357C7DE" w:rsidR="000128E9" w:rsidRPr="00846769" w:rsidRDefault="00015D0A" w:rsidP="00A669E5">
      <w:pPr>
        <w:pStyle w:val="ListBullet"/>
      </w:pPr>
      <w:r>
        <w:t>t</w:t>
      </w:r>
      <w:r w:rsidR="00135100" w:rsidRPr="00846769">
        <w:t>axon-</w:t>
      </w:r>
      <w:r w:rsidR="000128E9" w:rsidRPr="00846769">
        <w:t>specific traits and functional characteristics</w:t>
      </w:r>
    </w:p>
    <w:p w14:paraId="1629CFBD" w14:textId="79D4CDD6" w:rsidR="000128E9" w:rsidRPr="00846769" w:rsidRDefault="00135100" w:rsidP="00A669E5">
      <w:pPr>
        <w:pStyle w:val="ListBullet"/>
      </w:pPr>
      <w:r w:rsidRPr="00846769">
        <w:t xml:space="preserve">impact </w:t>
      </w:r>
      <w:r w:rsidR="000128E9" w:rsidRPr="00846769">
        <w:t>significance (environmental, economic, social</w:t>
      </w:r>
      <w:r w:rsidR="00B52763" w:rsidRPr="00846769">
        <w:t>,</w:t>
      </w:r>
      <w:r w:rsidR="000128E9" w:rsidRPr="00846769">
        <w:t xml:space="preserve"> </w:t>
      </w:r>
      <w:r w:rsidR="00C21EA0" w:rsidRPr="00846769">
        <w:t>or cultura</w:t>
      </w:r>
      <w:r w:rsidRPr="00846769">
        <w:t>l</w:t>
      </w:r>
      <w:r w:rsidR="000128E9" w:rsidRPr="00846769">
        <w:t>)</w:t>
      </w:r>
    </w:p>
    <w:p w14:paraId="5D133756" w14:textId="06E59966" w:rsidR="000128E9" w:rsidRPr="00846769" w:rsidRDefault="006A63DA" w:rsidP="00A669E5">
      <w:pPr>
        <w:pStyle w:val="ListBullet"/>
      </w:pPr>
      <w:r>
        <w:rPr>
          <w:lang w:eastAsia="ja-JP"/>
        </w:rPr>
        <w:t>extent</w:t>
      </w:r>
      <w:r w:rsidR="00FE2060">
        <w:rPr>
          <w:lang w:eastAsia="ja-JP"/>
        </w:rPr>
        <w:t xml:space="preserve"> and duration</w:t>
      </w:r>
      <w:r>
        <w:rPr>
          <w:lang w:eastAsia="ja-JP"/>
        </w:rPr>
        <w:t xml:space="preserve"> </w:t>
      </w:r>
      <w:r w:rsidR="000128E9" w:rsidRPr="00846769">
        <w:t>of the incursion</w:t>
      </w:r>
    </w:p>
    <w:p w14:paraId="453EC87E" w14:textId="313A8DEF" w:rsidR="000128E9" w:rsidRPr="00846769" w:rsidRDefault="006A63DA" w:rsidP="00A669E5">
      <w:pPr>
        <w:pStyle w:val="ListBullet"/>
      </w:pPr>
      <w:r>
        <w:rPr>
          <w:lang w:eastAsia="ja-JP"/>
        </w:rPr>
        <w:t xml:space="preserve">location </w:t>
      </w:r>
      <w:r w:rsidR="000128E9" w:rsidRPr="00846769">
        <w:t>of the receiving environment</w:t>
      </w:r>
      <w:r w:rsidR="00FE2060">
        <w:t xml:space="preserve"> and its associated values</w:t>
      </w:r>
    </w:p>
    <w:p w14:paraId="218CC7E0" w14:textId="77777777" w:rsidR="00C21EA0" w:rsidRPr="00846769" w:rsidRDefault="000128E9" w:rsidP="00A669E5">
      <w:pPr>
        <w:pStyle w:val="ListBullet"/>
      </w:pPr>
      <w:r w:rsidRPr="00846769">
        <w:t>likelihood of eradication</w:t>
      </w:r>
    </w:p>
    <w:p w14:paraId="149E52FB" w14:textId="73C77463" w:rsidR="000128E9" w:rsidRPr="00846769" w:rsidRDefault="00C21EA0" w:rsidP="00A669E5">
      <w:pPr>
        <w:pStyle w:val="ListBullet"/>
      </w:pPr>
      <w:r w:rsidRPr="00846769">
        <w:t>cost and benefits of control and asset protection</w:t>
      </w:r>
      <w:r w:rsidR="000128E9" w:rsidRPr="00846769">
        <w:t>.</w:t>
      </w:r>
    </w:p>
    <w:p w14:paraId="0ADD7970" w14:textId="1A87690D" w:rsidR="000128E9" w:rsidRPr="00846769" w:rsidRDefault="000128E9" w:rsidP="000128E9">
      <w:pPr>
        <w:rPr>
          <w:lang w:eastAsia="ja-JP"/>
        </w:rPr>
      </w:pPr>
      <w:r w:rsidRPr="00846769">
        <w:rPr>
          <w:lang w:eastAsia="ja-JP"/>
        </w:rPr>
        <w:t xml:space="preserve">This section discusses </w:t>
      </w:r>
      <w:r w:rsidR="00C21EA0" w:rsidRPr="00846769">
        <w:rPr>
          <w:lang w:eastAsia="ja-JP"/>
        </w:rPr>
        <w:t>n</w:t>
      </w:r>
      <w:r w:rsidRPr="00846769">
        <w:rPr>
          <w:lang w:eastAsia="ja-JP"/>
        </w:rPr>
        <w:t>ational policies that guide and support marine pest responses by providing a biosecurity response framework, operational guidance, and potential financial arrangements that can be tailored to meet the needs of each unique incident.</w:t>
      </w:r>
    </w:p>
    <w:p w14:paraId="1385ECE0" w14:textId="0F11F3E3" w:rsidR="00B0169F" w:rsidRPr="00846769" w:rsidRDefault="00B0169F" w:rsidP="00B0169F">
      <w:pPr>
        <w:pStyle w:val="Heading3"/>
        <w:numPr>
          <w:ilvl w:val="1"/>
          <w:numId w:val="4"/>
        </w:numPr>
        <w:rPr>
          <w:lang w:eastAsia="ja-JP"/>
        </w:rPr>
      </w:pPr>
      <w:bookmarkStart w:id="67" w:name="_Toc191998650"/>
      <w:r w:rsidRPr="00846769">
        <w:rPr>
          <w:lang w:eastAsia="ja-JP"/>
        </w:rPr>
        <w:t>Sources of information</w:t>
      </w:r>
      <w:bookmarkEnd w:id="67"/>
    </w:p>
    <w:p w14:paraId="7A8FAD6C" w14:textId="6CA1AC19" w:rsidR="00B0169F" w:rsidRPr="00846769" w:rsidRDefault="00B0169F" w:rsidP="00B0169F">
      <w:r w:rsidRPr="00846769">
        <w:t xml:space="preserve">Information on the distribution, ecology, and effects of </w:t>
      </w:r>
      <w:r w:rsidR="00135100" w:rsidRPr="00846769">
        <w:t>invasive marine bivalves</w:t>
      </w:r>
      <w:r w:rsidR="00B52763" w:rsidRPr="00846769">
        <w:t xml:space="preserve"> can</w:t>
      </w:r>
      <w:r w:rsidRPr="00846769">
        <w:t xml:space="preserve"> be found via a variety of sources, including:</w:t>
      </w:r>
    </w:p>
    <w:p w14:paraId="74FD0FDA" w14:textId="65D87A33" w:rsidR="00B0169F" w:rsidRPr="00846769" w:rsidRDefault="00B0169F" w:rsidP="00A669E5">
      <w:pPr>
        <w:pStyle w:val="ListBullet"/>
      </w:pPr>
      <w:r w:rsidRPr="00846769">
        <w:t xml:space="preserve">scientists </w:t>
      </w:r>
      <w:r w:rsidR="00EE779F">
        <w:t xml:space="preserve">(including taxonomists and diagnosticians) </w:t>
      </w:r>
      <w:r w:rsidRPr="00846769">
        <w:t>and technical experts</w:t>
      </w:r>
    </w:p>
    <w:p w14:paraId="2B5615B5" w14:textId="77777777" w:rsidR="00B0169F" w:rsidRPr="00846769" w:rsidRDefault="00B0169F" w:rsidP="00A669E5">
      <w:pPr>
        <w:pStyle w:val="ListBullet"/>
      </w:pPr>
      <w:r w:rsidRPr="00846769">
        <w:t>primary sources of scientific literature</w:t>
      </w:r>
    </w:p>
    <w:p w14:paraId="208B8FCE" w14:textId="77777777" w:rsidR="00B0169F" w:rsidRPr="00846769" w:rsidRDefault="00B0169F" w:rsidP="00A669E5">
      <w:pPr>
        <w:pStyle w:val="ListBullet"/>
      </w:pPr>
      <w:r w:rsidRPr="00846769">
        <w:t>online resources on marine pests.</w:t>
      </w:r>
    </w:p>
    <w:p w14:paraId="25189D84" w14:textId="35DBD76D" w:rsidR="00B0169F" w:rsidRPr="00846769" w:rsidRDefault="00B0169F" w:rsidP="00B0169F">
      <w:pPr>
        <w:rPr>
          <w:lang w:eastAsia="ja-JP"/>
        </w:rPr>
      </w:pPr>
      <w:r w:rsidRPr="00846769">
        <w:t>The Marine Pest Sectoral Committee (MPSC) maintains a database of professionals</w:t>
      </w:r>
      <w:r w:rsidR="00EE779F">
        <w:t xml:space="preserve">, </w:t>
      </w:r>
      <w:bookmarkStart w:id="68" w:name="_Hlk187243477"/>
      <w:r w:rsidRPr="00846769">
        <w:t>experts</w:t>
      </w:r>
      <w:r w:rsidR="002050FF">
        <w:t>,</w:t>
      </w:r>
      <w:r w:rsidRPr="00846769">
        <w:t xml:space="preserve"> </w:t>
      </w:r>
      <w:r w:rsidR="00EE779F">
        <w:t xml:space="preserve">and research and development (R&amp;D) providers </w:t>
      </w:r>
      <w:bookmarkEnd w:id="68"/>
      <w:r w:rsidR="003D37C8">
        <w:t>who</w:t>
      </w:r>
      <w:r w:rsidR="003D37C8" w:rsidRPr="00846769">
        <w:t xml:space="preserve"> </w:t>
      </w:r>
      <w:r w:rsidRPr="00846769">
        <w:t>can provide information on</w:t>
      </w:r>
      <w:r w:rsidRPr="00846769">
        <w:rPr>
          <w:lang w:eastAsia="ja-JP"/>
        </w:rPr>
        <w:t xml:space="preserve"> the life history, ecology, and biology of invasive marine bivalves. Contact the MPSC</w:t>
      </w:r>
      <w:r w:rsidR="00135100" w:rsidRPr="00846769">
        <w:rPr>
          <w:lang w:eastAsia="ja-JP"/>
        </w:rPr>
        <w:t xml:space="preserve"> Secretariat</w:t>
      </w:r>
      <w:r w:rsidRPr="00846769">
        <w:rPr>
          <w:lang w:eastAsia="ja-JP"/>
        </w:rPr>
        <w:t xml:space="preserve"> for more information: </w:t>
      </w:r>
      <w:hyperlink r:id="rId64" w:history="1">
        <w:r w:rsidRPr="00846769">
          <w:rPr>
            <w:rStyle w:val="Hyperlink"/>
            <w:lang w:eastAsia="ja-JP"/>
          </w:rPr>
          <w:t>mpsc@aff.gov.au</w:t>
        </w:r>
      </w:hyperlink>
      <w:r w:rsidRPr="00846769">
        <w:rPr>
          <w:lang w:eastAsia="ja-JP"/>
        </w:rPr>
        <w:t>.</w:t>
      </w:r>
    </w:p>
    <w:p w14:paraId="3C5F95F6" w14:textId="3A46E531" w:rsidR="00B0169F" w:rsidRPr="00846769" w:rsidRDefault="00B0169F" w:rsidP="00B0169F">
      <w:r w:rsidRPr="00846769">
        <w:t xml:space="preserve">Several useful online resources contain summary information on </w:t>
      </w:r>
      <w:r w:rsidR="00306515" w:rsidRPr="00846769">
        <w:t>invasive marine bivalves</w:t>
      </w:r>
      <w:r w:rsidRPr="00846769">
        <w:t>. These include:</w:t>
      </w:r>
    </w:p>
    <w:p w14:paraId="3A08E35F" w14:textId="37910283" w:rsidR="00B0169F" w:rsidRPr="00846769" w:rsidRDefault="00FE2060" w:rsidP="00B0169F">
      <w:pPr>
        <w:pStyle w:val="ListBullet"/>
      </w:pPr>
      <w:hyperlink r:id="rId65" w:history="1">
        <w:r w:rsidRPr="00FE2060">
          <w:rPr>
            <w:rStyle w:val="Hyperlink"/>
          </w:rPr>
          <w:t>The National Introduced Marine Pest Information System</w:t>
        </w:r>
        <w:r w:rsidR="00B0169F" w:rsidRPr="00FE2060">
          <w:rPr>
            <w:rStyle w:val="Hyperlink"/>
          </w:rPr>
          <w:t xml:space="preserve"> (NIMPIS)</w:t>
        </w:r>
      </w:hyperlink>
    </w:p>
    <w:p w14:paraId="020787A9" w14:textId="77777777" w:rsidR="00B0169F" w:rsidRPr="00846769" w:rsidRDefault="00B0169F" w:rsidP="00B0169F">
      <w:pPr>
        <w:pStyle w:val="ListBullet"/>
      </w:pPr>
      <w:hyperlink r:id="rId66" w:history="1">
        <w:r w:rsidRPr="00846769">
          <w:rPr>
            <w:rStyle w:val="Hyperlink"/>
          </w:rPr>
          <w:t xml:space="preserve">Marine Pest Response Manuals </w:t>
        </w:r>
      </w:hyperlink>
    </w:p>
    <w:p w14:paraId="75EC1131" w14:textId="77777777" w:rsidR="00B0169F" w:rsidRPr="00846769" w:rsidRDefault="00B0169F" w:rsidP="00B0169F">
      <w:pPr>
        <w:pStyle w:val="ListBullet"/>
        <w:rPr>
          <w:rStyle w:val="Hyperlink"/>
        </w:rPr>
      </w:pPr>
      <w:hyperlink r:id="rId67" w:history="1">
        <w:r w:rsidRPr="00846769">
          <w:rPr>
            <w:rStyle w:val="Hyperlink"/>
          </w:rPr>
          <w:t>National Priority Pests: Part II Ranking of Australian Marine Pests</w:t>
        </w:r>
      </w:hyperlink>
    </w:p>
    <w:p w14:paraId="7C5C8AD9" w14:textId="27D05880" w:rsidR="00B0169F" w:rsidRPr="00846769" w:rsidRDefault="00B0169F" w:rsidP="00B0169F">
      <w:pPr>
        <w:pStyle w:val="ListBullet"/>
      </w:pPr>
      <w:hyperlink r:id="rId68" w:history="1">
        <w:r w:rsidRPr="00846769">
          <w:rPr>
            <w:rStyle w:val="Hyperlink"/>
          </w:rPr>
          <w:t>National Control Plans</w:t>
        </w:r>
      </w:hyperlink>
      <w:r w:rsidRPr="00846769">
        <w:t xml:space="preserve"> are available for six species</w:t>
      </w:r>
      <w:r w:rsidR="00306515" w:rsidRPr="00846769">
        <w:t xml:space="preserve">, two of which </w:t>
      </w:r>
      <w:r w:rsidR="00B52763" w:rsidRPr="00846769">
        <w:t>are bivalve species</w:t>
      </w:r>
      <w:r w:rsidR="00306515" w:rsidRPr="00846769">
        <w:t>:</w:t>
      </w:r>
      <w:r w:rsidRPr="00846769">
        <w:t xml:space="preserve"> </w:t>
      </w:r>
    </w:p>
    <w:p w14:paraId="26507381" w14:textId="77777777" w:rsidR="00B0169F" w:rsidRPr="00846769" w:rsidRDefault="00B0169F" w:rsidP="00B0169F">
      <w:pPr>
        <w:pStyle w:val="ListBullet2"/>
      </w:pPr>
      <w:r w:rsidRPr="00846769">
        <w:t>Asian bag or date mussel (</w:t>
      </w:r>
      <w:r w:rsidRPr="00846769">
        <w:rPr>
          <w:rStyle w:val="Emphasis"/>
        </w:rPr>
        <w:t>Arcuatula [</w:t>
      </w:r>
      <w:proofErr w:type="spellStart"/>
      <w:r w:rsidRPr="00846769">
        <w:rPr>
          <w:rFonts w:cstheme="minorHAnsi"/>
          <w:i/>
          <w:iCs/>
        </w:rPr>
        <w:t>Musculista</w:t>
      </w:r>
      <w:proofErr w:type="spellEnd"/>
      <w:r w:rsidRPr="00846769">
        <w:rPr>
          <w:rFonts w:cstheme="minorHAnsi"/>
        </w:rPr>
        <w:t>]</w:t>
      </w:r>
      <w:r w:rsidRPr="00846769">
        <w:rPr>
          <w:rStyle w:val="Emphasis"/>
        </w:rPr>
        <w:t xml:space="preserve"> senhousia</w:t>
      </w:r>
      <w:r w:rsidRPr="00846769">
        <w:t>)</w:t>
      </w:r>
    </w:p>
    <w:p w14:paraId="1DB4CC32" w14:textId="77777777" w:rsidR="00B0169F" w:rsidRDefault="00B0169F" w:rsidP="00B0169F">
      <w:pPr>
        <w:pStyle w:val="ListBullet2"/>
      </w:pPr>
      <w:r w:rsidRPr="00846769">
        <w:t>European basket shell clam (</w:t>
      </w:r>
      <w:r w:rsidRPr="00846769">
        <w:rPr>
          <w:rStyle w:val="Emphasis"/>
        </w:rPr>
        <w:t>Varicorbula gibba</w:t>
      </w:r>
      <w:r w:rsidRPr="00846769">
        <w:t>)</w:t>
      </w:r>
    </w:p>
    <w:p w14:paraId="736848B5" w14:textId="77C3701A" w:rsidR="00B0169F" w:rsidRPr="00846769" w:rsidRDefault="006A63DA" w:rsidP="006A63DA">
      <w:pPr>
        <w:pStyle w:val="ListBullet"/>
      </w:pPr>
      <w:r w:rsidRPr="00846769">
        <w:lastRenderedPageBreak/>
        <w:t>Additional species distribution</w:t>
      </w:r>
      <w:r w:rsidR="00FE2060">
        <w:t xml:space="preserve"> and taxonomic</w:t>
      </w:r>
      <w:r w:rsidRPr="00846769">
        <w:t xml:space="preserve"> databases can be used to search information on invasive species includ</w:t>
      </w:r>
      <w:r w:rsidR="00FE2060">
        <w:t>ing</w:t>
      </w:r>
      <w:r w:rsidRPr="00846769">
        <w:t>:</w:t>
      </w:r>
    </w:p>
    <w:bookmarkStart w:id="69" w:name="_Hlk187243528"/>
    <w:p w14:paraId="02BA2E56" w14:textId="4425E968" w:rsidR="00B0169F" w:rsidRDefault="00EE779F" w:rsidP="00B0169F">
      <w:pPr>
        <w:pStyle w:val="ListBullet2"/>
        <w:rPr>
          <w:rStyle w:val="Hyperlink"/>
        </w:rPr>
      </w:pPr>
      <w:r>
        <w:rPr>
          <w:u w:color="0070C0"/>
        </w:rPr>
        <w:fldChar w:fldCharType="begin"/>
      </w:r>
      <w:r>
        <w:rPr>
          <w:u w:color="0070C0"/>
        </w:rPr>
        <w:instrText>HYPERLINK "https://ala.org.au/"</w:instrText>
      </w:r>
      <w:r>
        <w:rPr>
          <w:u w:color="0070C0"/>
        </w:rPr>
      </w:r>
      <w:r>
        <w:rPr>
          <w:u w:color="0070C0"/>
        </w:rPr>
        <w:fldChar w:fldCharType="separate"/>
      </w:r>
      <w:r w:rsidRPr="00EE779F">
        <w:rPr>
          <w:rStyle w:val="Hyperlink"/>
        </w:rPr>
        <w:t>Atlas of Living Australia</w:t>
      </w:r>
      <w:r w:rsidR="00FE2060" w:rsidRPr="00EE779F">
        <w:rPr>
          <w:rStyle w:val="Hyperlink"/>
        </w:rPr>
        <w:t xml:space="preserve"> (ALA)</w:t>
      </w:r>
      <w:r>
        <w:rPr>
          <w:u w:color="0070C0"/>
        </w:rPr>
        <w:fldChar w:fldCharType="end"/>
      </w:r>
    </w:p>
    <w:p w14:paraId="103D6F6E" w14:textId="5477ED01" w:rsidR="00FE2060" w:rsidRPr="00846769" w:rsidRDefault="00FE2060" w:rsidP="00FE2060">
      <w:pPr>
        <w:pStyle w:val="ListBullet2"/>
        <w:rPr>
          <w:rStyle w:val="Hyperlink"/>
          <w:color w:val="auto"/>
          <w:u w:val="none"/>
        </w:rPr>
      </w:pPr>
      <w:hyperlink r:id="rId69" w:history="1">
        <w:r w:rsidRPr="00FE2060">
          <w:rPr>
            <w:rStyle w:val="Hyperlink"/>
          </w:rPr>
          <w:t>Global Invasive Species Database (GBIF)</w:t>
        </w:r>
      </w:hyperlink>
    </w:p>
    <w:p w14:paraId="183DC9CF" w14:textId="7EFF4F27" w:rsidR="00FE2060" w:rsidRDefault="00EE779F" w:rsidP="00B0169F">
      <w:pPr>
        <w:pStyle w:val="ListBullet2"/>
        <w:rPr>
          <w:rStyle w:val="Hyperlink"/>
        </w:rPr>
      </w:pPr>
      <w:hyperlink r:id="rId70" w:history="1">
        <w:r w:rsidRPr="00EE779F">
          <w:rPr>
            <w:rStyle w:val="Hyperlink"/>
          </w:rPr>
          <w:t>National Estuarine and Marine Exotic Species Information System (NEMESIS)</w:t>
        </w:r>
      </w:hyperlink>
    </w:p>
    <w:p w14:paraId="5227141F" w14:textId="263A7741" w:rsidR="00EE779F" w:rsidRPr="00846769" w:rsidRDefault="00EE779F" w:rsidP="00B0169F">
      <w:pPr>
        <w:pStyle w:val="ListBullet2"/>
        <w:rPr>
          <w:rStyle w:val="Hyperlink"/>
        </w:rPr>
      </w:pPr>
      <w:hyperlink r:id="rId71" w:history="1">
        <w:r w:rsidRPr="00EE779F">
          <w:rPr>
            <w:rStyle w:val="Hyperlink"/>
          </w:rPr>
          <w:t>CABI Compendium</w:t>
        </w:r>
      </w:hyperlink>
    </w:p>
    <w:p w14:paraId="0BC7014F" w14:textId="77777777" w:rsidR="006A63DA" w:rsidRPr="00A04E26" w:rsidRDefault="006A63DA" w:rsidP="006A63DA">
      <w:pPr>
        <w:pStyle w:val="ListBullet2"/>
        <w:rPr>
          <w:rStyle w:val="Hyperlink"/>
          <w:color w:val="auto"/>
          <w:u w:val="none"/>
        </w:rPr>
      </w:pPr>
      <w:hyperlink r:id="rId72" w:history="1">
        <w:r w:rsidRPr="00846769">
          <w:rPr>
            <w:rStyle w:val="Hyperlink"/>
          </w:rPr>
          <w:t>World Register of Marine Species (</w:t>
        </w:r>
        <w:proofErr w:type="spellStart"/>
        <w:r w:rsidRPr="00846769">
          <w:rPr>
            <w:rStyle w:val="Hyperlink"/>
          </w:rPr>
          <w:t>WoRMS</w:t>
        </w:r>
        <w:proofErr w:type="spellEnd"/>
        <w:r w:rsidRPr="00846769">
          <w:rPr>
            <w:rStyle w:val="Hyperlink"/>
          </w:rPr>
          <w:t>)</w:t>
        </w:r>
      </w:hyperlink>
    </w:p>
    <w:p w14:paraId="27F35681" w14:textId="21AC7E84" w:rsidR="00B0169F" w:rsidRPr="00846769" w:rsidRDefault="00EE779F" w:rsidP="00A04E26">
      <w:pPr>
        <w:pStyle w:val="ListBullet2"/>
        <w:spacing w:after="200"/>
        <w:rPr>
          <w:rStyle w:val="Hyperlink"/>
        </w:rPr>
      </w:pPr>
      <w:hyperlink r:id="rId73" w:history="1">
        <w:r w:rsidRPr="00EE779F">
          <w:rPr>
            <w:rStyle w:val="Hyperlink"/>
          </w:rPr>
          <w:t>The Australian Taxonomy Community Directory</w:t>
        </w:r>
      </w:hyperlink>
      <w:r>
        <w:t xml:space="preserve"> </w:t>
      </w:r>
      <w:bookmarkEnd w:id="69"/>
    </w:p>
    <w:p w14:paraId="63ADA3B6" w14:textId="77777777" w:rsidR="006A63DA" w:rsidRPr="00846769" w:rsidRDefault="006A63DA" w:rsidP="006A63DA">
      <w:pPr>
        <w:pStyle w:val="ListBullet"/>
        <w:rPr>
          <w:rStyle w:val="Hyperlink"/>
          <w:color w:val="auto"/>
          <w:u w:val="none"/>
        </w:rPr>
      </w:pPr>
      <w:r w:rsidRPr="00846769">
        <w:rPr>
          <w:rStyle w:val="Hyperlink"/>
          <w:color w:val="auto"/>
          <w:u w:val="none"/>
        </w:rPr>
        <w:t>Other resources relevant to Australian bivalves include:</w:t>
      </w:r>
    </w:p>
    <w:p w14:paraId="4FECC3B6" w14:textId="55D44E57" w:rsidR="00BB2B3A" w:rsidRPr="00A04E26" w:rsidRDefault="00BB2B3A" w:rsidP="00A04E26">
      <w:pPr>
        <w:pStyle w:val="ListBullet2"/>
        <w:spacing w:after="200"/>
        <w:rPr>
          <w:rStyle w:val="Hyperlink"/>
          <w:color w:val="auto"/>
          <w:u w:val="none"/>
        </w:rPr>
      </w:pPr>
      <w:hyperlink r:id="rId74" w:history="1">
        <w:r w:rsidRPr="00846769">
          <w:rPr>
            <w:rStyle w:val="Hyperlink"/>
          </w:rPr>
          <w:t>The Malacological Society of Australasia</w:t>
        </w:r>
      </w:hyperlink>
    </w:p>
    <w:p w14:paraId="168BFB14" w14:textId="77777777" w:rsidR="006A63DA" w:rsidRPr="0014633B" w:rsidRDefault="006A63DA" w:rsidP="006A63DA">
      <w:pPr>
        <w:pStyle w:val="Heading3"/>
        <w:numPr>
          <w:ilvl w:val="1"/>
          <w:numId w:val="4"/>
        </w:numPr>
        <w:rPr>
          <w:lang w:eastAsia="ja-JP"/>
        </w:rPr>
      </w:pPr>
      <w:bookmarkStart w:id="70" w:name="_Toc189658659"/>
      <w:bookmarkStart w:id="71" w:name="_Toc189776202"/>
      <w:bookmarkStart w:id="72" w:name="_Toc189946882"/>
      <w:bookmarkStart w:id="73" w:name="_Toc189947042"/>
      <w:bookmarkStart w:id="74" w:name="_Toc189947320"/>
      <w:bookmarkStart w:id="75" w:name="_Toc117844884"/>
      <w:bookmarkStart w:id="76" w:name="_Toc178176825"/>
      <w:bookmarkStart w:id="77" w:name="_Toc191998651"/>
      <w:bookmarkStart w:id="78" w:name="_Toc87599091"/>
      <w:bookmarkEnd w:id="70"/>
      <w:bookmarkEnd w:id="71"/>
      <w:bookmarkEnd w:id="72"/>
      <w:bookmarkEnd w:id="73"/>
      <w:bookmarkEnd w:id="74"/>
      <w:r w:rsidRPr="0014633B">
        <w:rPr>
          <w:lang w:eastAsia="ja-JP"/>
        </w:rPr>
        <w:t xml:space="preserve">Policies for management </w:t>
      </w:r>
      <w:r w:rsidRPr="00846769">
        <w:rPr>
          <w:lang w:eastAsia="ja-JP"/>
        </w:rPr>
        <w:t>of</w:t>
      </w:r>
      <w:r w:rsidRPr="0014633B">
        <w:rPr>
          <w:lang w:eastAsia="ja-JP"/>
        </w:rPr>
        <w:t xml:space="preserve"> marine pest responses in Australian waters</w:t>
      </w:r>
      <w:bookmarkEnd w:id="75"/>
      <w:bookmarkEnd w:id="76"/>
      <w:bookmarkEnd w:id="77"/>
    </w:p>
    <w:bookmarkEnd w:id="78"/>
    <w:p w14:paraId="0D2D4A1C" w14:textId="208E3D51" w:rsidR="006939E1" w:rsidRPr="00846769" w:rsidRDefault="00B5740F" w:rsidP="00BF317B">
      <w:pPr>
        <w:rPr>
          <w:lang w:eastAsia="ja-JP"/>
        </w:rPr>
      </w:pPr>
      <w:r w:rsidRPr="00846769">
        <w:rPr>
          <w:lang w:eastAsia="ja-JP"/>
        </w:rPr>
        <w:t xml:space="preserve">The </w:t>
      </w:r>
      <w:hyperlink r:id="rId75" w:history="1">
        <w:r w:rsidRPr="00846769">
          <w:rPr>
            <w:rStyle w:val="Hyperlink"/>
            <w:lang w:eastAsia="ja-JP"/>
          </w:rPr>
          <w:t>Biosecurity Incident Management System</w:t>
        </w:r>
        <w:r w:rsidR="00B00BA4" w:rsidRPr="00846769">
          <w:rPr>
            <w:rStyle w:val="Hyperlink"/>
            <w:lang w:eastAsia="ja-JP"/>
          </w:rPr>
          <w:t xml:space="preserve"> (BIMS)</w:t>
        </w:r>
        <w:r w:rsidRPr="00846769">
          <w:rPr>
            <w:rStyle w:val="Hyperlink"/>
            <w:lang w:eastAsia="ja-JP"/>
          </w:rPr>
          <w:t>: Marine pest version manual</w:t>
        </w:r>
      </w:hyperlink>
      <w:r w:rsidRPr="00846769">
        <w:rPr>
          <w:lang w:eastAsia="ja-JP"/>
        </w:rPr>
        <w:t xml:space="preserve"> provides guidance on policies and procedures for the management of biosecurity incident responses, including responses to marine pest emergencies within Australian waters.</w:t>
      </w:r>
    </w:p>
    <w:p w14:paraId="63D68686" w14:textId="3BBDFC00" w:rsidR="00F308A5" w:rsidRPr="00846769" w:rsidRDefault="00F308A5" w:rsidP="00B53CD1">
      <w:pPr>
        <w:pStyle w:val="Heading4"/>
        <w:numPr>
          <w:ilvl w:val="2"/>
          <w:numId w:val="4"/>
        </w:numPr>
        <w:rPr>
          <w:lang w:eastAsia="ja-JP"/>
        </w:rPr>
      </w:pPr>
      <w:r w:rsidRPr="00846769">
        <w:rPr>
          <w:lang w:eastAsia="ja-JP"/>
        </w:rPr>
        <w:t>Commonwealth, state</w:t>
      </w:r>
      <w:r w:rsidR="00567518" w:rsidRPr="00846769">
        <w:rPr>
          <w:lang w:eastAsia="ja-JP"/>
        </w:rPr>
        <w:t>,</w:t>
      </w:r>
      <w:r w:rsidRPr="00846769">
        <w:rPr>
          <w:lang w:eastAsia="ja-JP"/>
        </w:rPr>
        <w:t xml:space="preserve"> and territory authority responsibilities</w:t>
      </w:r>
    </w:p>
    <w:p w14:paraId="37F3A044" w14:textId="77777777" w:rsidR="00F308A5" w:rsidRPr="00846769" w:rsidRDefault="00F308A5" w:rsidP="00F308A5">
      <w:pPr>
        <w:rPr>
          <w:lang w:eastAsia="ja-JP"/>
        </w:rPr>
      </w:pPr>
      <w:r w:rsidRPr="00846769">
        <w:rPr>
          <w:lang w:eastAsia="ja-JP"/>
        </w:rPr>
        <w:t>Lead agencies in a response to a marine pest emergency of an invasive marine bivalve should collaborate with and keep the Consultative Committee on Introduced Marine Pest Emergencies (CCIMPE) informed.</w:t>
      </w:r>
    </w:p>
    <w:p w14:paraId="18582586" w14:textId="57D43E29" w:rsidR="00F308A5" w:rsidRPr="00846769" w:rsidRDefault="00F308A5" w:rsidP="00F308A5">
      <w:pPr>
        <w:rPr>
          <w:color w:val="000000"/>
        </w:rPr>
      </w:pPr>
      <w:r w:rsidRPr="00846769">
        <w:rPr>
          <w:lang w:eastAsia="ja-JP"/>
        </w:rPr>
        <w:t>For incidents that are contained to a single jurisdiction, state coordination centres and local control centres may be established depending on the scale of the response. A national coordination centre is established to help manage concurrent incursions in more than one jurisdiction. National coordination operations will work in consultation with CCIMPE representatives and relevant industry and community sector organisations. For further information on local, state</w:t>
      </w:r>
      <w:r w:rsidR="00CF3304" w:rsidRPr="00846769">
        <w:rPr>
          <w:lang w:eastAsia="ja-JP"/>
        </w:rPr>
        <w:t>,</w:t>
      </w:r>
      <w:r w:rsidRPr="00846769">
        <w:rPr>
          <w:lang w:eastAsia="ja-JP"/>
        </w:rPr>
        <w:t xml:space="preserve"> and national control and coordination centres refer to the </w:t>
      </w:r>
      <w:hyperlink r:id="rId76" w:history="1">
        <w:r w:rsidRPr="00846769">
          <w:rPr>
            <w:rStyle w:val="Hyperlink"/>
          </w:rPr>
          <w:t>BIMS: Marine pest version</w:t>
        </w:r>
      </w:hyperlink>
      <w:r w:rsidRPr="00846769">
        <w:t>.</w:t>
      </w:r>
    </w:p>
    <w:p w14:paraId="590F22E0" w14:textId="500080C8" w:rsidR="00B53CD1" w:rsidRPr="00846769" w:rsidRDefault="00B53CD1" w:rsidP="00B53CD1">
      <w:pPr>
        <w:pStyle w:val="Heading4"/>
        <w:numPr>
          <w:ilvl w:val="2"/>
          <w:numId w:val="4"/>
        </w:numPr>
        <w:rPr>
          <w:lang w:eastAsia="ja-JP"/>
        </w:rPr>
      </w:pPr>
      <w:r w:rsidRPr="00846769">
        <w:rPr>
          <w:lang w:eastAsia="ja-JP"/>
        </w:rPr>
        <w:t>Consultative Committee on Introduced Marine Pest Emergencies (CCIMPE)</w:t>
      </w:r>
    </w:p>
    <w:p w14:paraId="5C349974" w14:textId="77777777" w:rsidR="00F308A5" w:rsidRPr="00846769" w:rsidRDefault="00F308A5" w:rsidP="00F308A5">
      <w:pPr>
        <w:rPr>
          <w:lang w:eastAsia="ja-JP"/>
        </w:rPr>
      </w:pPr>
      <w:r w:rsidRPr="00846769">
        <w:rPr>
          <w:lang w:eastAsia="ja-JP"/>
        </w:rPr>
        <w:t>CCIMPE provides national technical coordination for managing marine pest emergencies and comprises biosecurity representatives from each Australian jurisdiction with coastal borders (the Australian Capital Territory is not represented).</w:t>
      </w:r>
    </w:p>
    <w:p w14:paraId="6646636F" w14:textId="62B1867B" w:rsidR="00F308A5" w:rsidRPr="00846769" w:rsidRDefault="00F308A5" w:rsidP="00F308A5">
      <w:pPr>
        <w:rPr>
          <w:lang w:eastAsia="ja-JP"/>
        </w:rPr>
      </w:pPr>
      <w:r w:rsidRPr="00846769">
        <w:rPr>
          <w:lang w:eastAsia="ja-JP"/>
        </w:rPr>
        <w:t xml:space="preserve">CCIMPE is a national technical body that advises the National Management Group (NMG) on marine pest incidents and whether they meet the criteria for national cost-sharing under the </w:t>
      </w:r>
      <w:hyperlink r:id="rId77" w:history="1">
        <w:r w:rsidRPr="00846769">
          <w:rPr>
            <w:rStyle w:val="Hyperlink"/>
            <w:lang w:eastAsia="ja-JP"/>
          </w:rPr>
          <w:t>National Environmental Biosecurity Response Agreement 2.0 (NEBRA).</w:t>
        </w:r>
      </w:hyperlink>
      <w:r w:rsidRPr="00846769">
        <w:t xml:space="preserve"> The NMG is the peak national biosecurity decision-making forum through which parties seek decisions in the event of an incident of a pest or dis</w:t>
      </w:r>
      <w:r w:rsidRPr="006A1811">
        <w:t>ease (DAFF 202</w:t>
      </w:r>
      <w:r w:rsidR="00933093" w:rsidRPr="006A1811">
        <w:t>1</w:t>
      </w:r>
      <w:r w:rsidRPr="006A1811">
        <w:t xml:space="preserve">). </w:t>
      </w:r>
      <w:r w:rsidR="00CF3304" w:rsidRPr="006A1811">
        <w:t>The</w:t>
      </w:r>
      <w:r w:rsidRPr="00846769">
        <w:t xml:space="preserve"> </w:t>
      </w:r>
      <w:r w:rsidRPr="00846769">
        <w:rPr>
          <w:u w:color="0070C0"/>
        </w:rPr>
        <w:t>NEBRA</w:t>
      </w:r>
      <w:r w:rsidRPr="00846769">
        <w:t xml:space="preserve"> </w:t>
      </w:r>
      <w:r w:rsidR="00CF3304" w:rsidRPr="00846769">
        <w:t>outlines</w:t>
      </w:r>
      <w:r w:rsidRPr="00846769">
        <w:t xml:space="preserve"> the NMG’s role and responsibilities. </w:t>
      </w:r>
    </w:p>
    <w:p w14:paraId="1CF0FAE9" w14:textId="4747B511" w:rsidR="00F308A5" w:rsidRPr="00846769" w:rsidRDefault="00F308A5" w:rsidP="00BF317B">
      <w:pPr>
        <w:rPr>
          <w:lang w:eastAsia="ja-JP"/>
        </w:rPr>
      </w:pPr>
      <w:r w:rsidRPr="00846769">
        <w:rPr>
          <w:lang w:eastAsia="ja-JP"/>
        </w:rPr>
        <w:t xml:space="preserve">CCIMPE provides </w:t>
      </w:r>
      <w:r w:rsidR="009B654C">
        <w:rPr>
          <w:lang w:eastAsia="ja-JP"/>
        </w:rPr>
        <w:t xml:space="preserve">technical and </w:t>
      </w:r>
      <w:r w:rsidRPr="00846769">
        <w:rPr>
          <w:lang w:eastAsia="ja-JP"/>
        </w:rPr>
        <w:t xml:space="preserve">response advice to lead agencies and assists in developing and implementing response actions such as a National Biosecurity Incident Response Plan (NBIRP). </w:t>
      </w:r>
      <w:r w:rsidRPr="00846769">
        <w:rPr>
          <w:lang w:eastAsia="ja-JP"/>
        </w:rPr>
        <w:lastRenderedPageBreak/>
        <w:t>CCIMPE may also act as an information sharing forum to provide national biosecurity agencies with updates on marine pest responses that are not cost-shared under the NEBRA.</w:t>
      </w:r>
    </w:p>
    <w:p w14:paraId="1D80D8E3" w14:textId="5967DC99" w:rsidR="006939E1" w:rsidRPr="00846769" w:rsidRDefault="00B5740F" w:rsidP="00BF317B">
      <w:pPr>
        <w:rPr>
          <w:lang w:eastAsia="ja-JP"/>
        </w:rPr>
      </w:pPr>
      <w:bookmarkStart w:id="79" w:name="_Hlk170684962"/>
      <w:r w:rsidRPr="00846769">
        <w:rPr>
          <w:lang w:eastAsia="ja-JP"/>
        </w:rPr>
        <w:t xml:space="preserve">The </w:t>
      </w:r>
      <w:hyperlink r:id="rId78" w:history="1">
        <w:r w:rsidRPr="00846769">
          <w:rPr>
            <w:rStyle w:val="Hyperlink"/>
            <w:lang w:eastAsia="ja-JP"/>
          </w:rPr>
          <w:t>NEBRA</w:t>
        </w:r>
      </w:hyperlink>
      <w:r w:rsidRPr="00846769">
        <w:rPr>
          <w:lang w:eastAsia="ja-JP"/>
        </w:rPr>
        <w:t xml:space="preserve"> establishes national arrangements for responses to nationally significant biosecurity incidents when they are predominately</w:t>
      </w:r>
      <w:r w:rsidR="00E9546C" w:rsidRPr="00846769">
        <w:rPr>
          <w:lang w:eastAsia="ja-JP"/>
        </w:rPr>
        <w:t xml:space="preserve"> for</w:t>
      </w:r>
      <w:r w:rsidRPr="00846769">
        <w:rPr>
          <w:lang w:eastAsia="ja-JP"/>
        </w:rPr>
        <w:t xml:space="preserve"> environmental or public benefit. The NEBRA provides a mechanism to share responsibilities and costs for a response when eradication is considered feasible, the pest </w:t>
      </w:r>
      <w:proofErr w:type="gramStart"/>
      <w:r w:rsidRPr="00846769">
        <w:rPr>
          <w:lang w:eastAsia="ja-JP"/>
        </w:rPr>
        <w:t>is considered to be</w:t>
      </w:r>
      <w:proofErr w:type="gramEnd"/>
      <w:r w:rsidRPr="00846769">
        <w:rPr>
          <w:lang w:eastAsia="ja-JP"/>
        </w:rPr>
        <w:t xml:space="preserve"> of national significance, and </w:t>
      </w:r>
      <w:r w:rsidR="001E3049" w:rsidRPr="00846769">
        <w:rPr>
          <w:lang w:eastAsia="ja-JP"/>
        </w:rPr>
        <w:t xml:space="preserve">the response </w:t>
      </w:r>
      <w:r w:rsidR="00CF3304" w:rsidRPr="00846769">
        <w:rPr>
          <w:lang w:eastAsia="ja-JP"/>
        </w:rPr>
        <w:t xml:space="preserve">is </w:t>
      </w:r>
      <w:r w:rsidR="001E3049" w:rsidRPr="00846769">
        <w:rPr>
          <w:lang w:eastAsia="ja-JP"/>
        </w:rPr>
        <w:t>calculated to be cost-</w:t>
      </w:r>
      <w:r w:rsidR="04930EB3" w:rsidRPr="00846769">
        <w:rPr>
          <w:lang w:eastAsia="ja-JP"/>
        </w:rPr>
        <w:t>effective</w:t>
      </w:r>
      <w:r w:rsidRPr="00846769">
        <w:rPr>
          <w:lang w:eastAsia="ja-JP"/>
        </w:rPr>
        <w:t>.</w:t>
      </w:r>
    </w:p>
    <w:p w14:paraId="3530C00A" w14:textId="77777777" w:rsidR="001A7B77" w:rsidRPr="00846769" w:rsidRDefault="001A7B77" w:rsidP="001A7B77">
      <w:pPr>
        <w:pStyle w:val="Heading3"/>
        <w:numPr>
          <w:ilvl w:val="1"/>
          <w:numId w:val="4"/>
        </w:numPr>
      </w:pPr>
      <w:bookmarkStart w:id="80" w:name="_Funding_of_operations"/>
      <w:bookmarkStart w:id="81" w:name="_Toc191998652"/>
      <w:bookmarkEnd w:id="79"/>
      <w:bookmarkEnd w:id="80"/>
      <w:r w:rsidRPr="00846769">
        <w:t>Funding of operations and compensation</w:t>
      </w:r>
      <w:bookmarkEnd w:id="81"/>
    </w:p>
    <w:p w14:paraId="0B8EF9B6" w14:textId="64A86599" w:rsidR="00E77C01" w:rsidRPr="00846769" w:rsidRDefault="00E77C01" w:rsidP="00E77C01">
      <w:r w:rsidRPr="00846769">
        <w:rPr>
          <w:lang w:eastAsia="ja-JP"/>
        </w:rPr>
        <w:t xml:space="preserve">The </w:t>
      </w:r>
      <w:bookmarkStart w:id="82" w:name="_Hlk187244707"/>
      <w:r w:rsidR="002050FF">
        <w:rPr>
          <w:u w:color="0070C0"/>
          <w:lang w:eastAsia="ja-JP"/>
        </w:rPr>
        <w:fldChar w:fldCharType="begin"/>
      </w:r>
      <w:r w:rsidR="002050FF">
        <w:rPr>
          <w:u w:color="0070C0"/>
          <w:lang w:eastAsia="ja-JP"/>
        </w:rPr>
        <w:instrText>HYPERLINK "https://www.agriculture.gov.au/biosecurity-trade/policy/emergency/nebra"</w:instrText>
      </w:r>
      <w:r w:rsidR="002050FF">
        <w:rPr>
          <w:u w:color="0070C0"/>
          <w:lang w:eastAsia="ja-JP"/>
        </w:rPr>
      </w:r>
      <w:r w:rsidR="002050FF">
        <w:rPr>
          <w:u w:color="0070C0"/>
          <w:lang w:eastAsia="ja-JP"/>
        </w:rPr>
        <w:fldChar w:fldCharType="separate"/>
      </w:r>
      <w:r w:rsidR="002050FF" w:rsidRPr="002050FF">
        <w:rPr>
          <w:rStyle w:val="Hyperlink"/>
          <w:lang w:eastAsia="ja-JP"/>
        </w:rPr>
        <w:t>National Environmental Biosecurity Response Agreement 2.0 (NEBRA)</w:t>
      </w:r>
      <w:r w:rsidR="002050FF">
        <w:rPr>
          <w:u w:color="0070C0"/>
          <w:lang w:eastAsia="ja-JP"/>
        </w:rPr>
        <w:fldChar w:fldCharType="end"/>
      </w:r>
      <w:bookmarkEnd w:id="82"/>
      <w:r w:rsidR="002050FF">
        <w:rPr>
          <w:u w:color="0070C0"/>
          <w:lang w:eastAsia="ja-JP"/>
        </w:rPr>
        <w:t xml:space="preserve"> </w:t>
      </w:r>
      <w:r w:rsidRPr="00846769">
        <w:rPr>
          <w:lang w:eastAsia="ja-JP"/>
        </w:rPr>
        <w:t xml:space="preserve">establishes national arrangements for responses to nationally significant biosecurity incidents where there are predominately environmental or public benefits. The NEBRA provides a mechanism to share responsibilities and costs for a response when eradication is considered feasible, the pest is considered to be of national significance, and the </w:t>
      </w:r>
      <w:r w:rsidRPr="00846769">
        <w:t xml:space="preserve">benefits of a response outweigh the costs and </w:t>
      </w:r>
      <w:r w:rsidR="00015D0A">
        <w:t xml:space="preserve">are </w:t>
      </w:r>
      <w:r w:rsidRPr="00846769">
        <w:rPr>
          <w:lang w:eastAsia="ja-JP"/>
        </w:rPr>
        <w:t>calculated to be cost-eff</w:t>
      </w:r>
      <w:r w:rsidRPr="006A1811">
        <w:rPr>
          <w:lang w:eastAsia="ja-JP"/>
        </w:rPr>
        <w:t xml:space="preserve">ective as per Schedule 3 of the </w:t>
      </w:r>
      <w:hyperlink r:id="rId79" w:history="1">
        <w:r w:rsidRPr="006A1811">
          <w:rPr>
            <w:rStyle w:val="Hyperlink"/>
            <w:rFonts w:cstheme="minorHAnsi"/>
          </w:rPr>
          <w:t>NEBRA</w:t>
        </w:r>
      </w:hyperlink>
      <w:r w:rsidRPr="006A1811">
        <w:rPr>
          <w:lang w:eastAsia="ja-JP"/>
        </w:rPr>
        <w:t>.</w:t>
      </w:r>
      <w:r w:rsidRPr="006A1811">
        <w:t xml:space="preserve"> Guidance on undertaking a benefit-cost analysis (BCA) for marine pest responses is available from Summerson, Hester </w:t>
      </w:r>
      <w:r w:rsidR="00CF3304" w:rsidRPr="006A1811">
        <w:t>and</w:t>
      </w:r>
      <w:r w:rsidRPr="006A1811">
        <w:t xml:space="preserve"> Graham (2018). Demonstrating that the benefits of a response outweigh the costs is required when seeking cost-sharing under the NEBRA</w:t>
      </w:r>
      <w:r w:rsidRPr="00846769">
        <w:t>.</w:t>
      </w:r>
    </w:p>
    <w:p w14:paraId="4F026988" w14:textId="3DD154D9" w:rsidR="00E77C01" w:rsidRPr="00846769" w:rsidRDefault="00E77C01" w:rsidP="00E77C01">
      <w:pPr>
        <w:rPr>
          <w:rFonts w:cstheme="minorHAnsi"/>
        </w:rPr>
      </w:pPr>
      <w:r w:rsidRPr="00846769">
        <w:rPr>
          <w:rFonts w:cstheme="minorHAnsi"/>
        </w:rPr>
        <w:t>CCIMPE may recommend to the NMG to consider a national cost-shared eradication response under the NEBRA if an incident is considered nationally significant, technically feasible to eradicate</w:t>
      </w:r>
      <w:r w:rsidR="00CF3304" w:rsidRPr="00846769">
        <w:rPr>
          <w:rFonts w:cstheme="minorHAnsi"/>
        </w:rPr>
        <w:t>,</w:t>
      </w:r>
      <w:r w:rsidRPr="00846769">
        <w:rPr>
          <w:rFonts w:cstheme="minorHAnsi"/>
        </w:rPr>
        <w:t xml:space="preserve"> and cost-beneficial to do so. Species on the </w:t>
      </w:r>
      <w:hyperlink r:id="rId80" w:history="1">
        <w:r w:rsidRPr="00846769">
          <w:rPr>
            <w:rStyle w:val="Hyperlink"/>
            <w:rFonts w:cstheme="minorHAnsi"/>
          </w:rPr>
          <w:t>APMPL</w:t>
        </w:r>
      </w:hyperlink>
      <w:r w:rsidRPr="00846769">
        <w:rPr>
          <w:rFonts w:cstheme="minorHAnsi"/>
        </w:rPr>
        <w:t xml:space="preserve"> and </w:t>
      </w:r>
      <w:hyperlink r:id="rId81" w:history="1">
        <w:r w:rsidRPr="00846769">
          <w:rPr>
            <w:rStyle w:val="Hyperlink"/>
            <w:rFonts w:cstheme="minorHAnsi"/>
          </w:rPr>
          <w:t>EEPL</w:t>
        </w:r>
      </w:hyperlink>
      <w:r w:rsidRPr="00846769">
        <w:rPr>
          <w:rFonts w:cstheme="minorHAnsi"/>
        </w:rPr>
        <w:t xml:space="preserve"> are already pre-considered to be of national significance. </w:t>
      </w:r>
    </w:p>
    <w:p w14:paraId="2A4410DB" w14:textId="6955C678" w:rsidR="001A7B77" w:rsidRPr="00846769" w:rsidRDefault="001A7B77" w:rsidP="001A7B77">
      <w:pPr>
        <w:autoSpaceDE w:val="0"/>
        <w:autoSpaceDN w:val="0"/>
        <w:adjustRightInd w:val="0"/>
        <w:spacing w:after="0"/>
      </w:pPr>
      <w:r w:rsidRPr="00846769">
        <w:t>Cost sharing must be agreed to by</w:t>
      </w:r>
      <w:r w:rsidR="00C50273" w:rsidRPr="00846769">
        <w:t xml:space="preserve"> the</w:t>
      </w:r>
      <w:r w:rsidRPr="00846769">
        <w:t xml:space="preserve"> NMG. The eligible costs of emergency eradication responses are shared as follows:</w:t>
      </w:r>
    </w:p>
    <w:p w14:paraId="10477781" w14:textId="51636029" w:rsidR="001A7B77" w:rsidRPr="00846769" w:rsidRDefault="001A7B77" w:rsidP="001A7B77">
      <w:pPr>
        <w:pStyle w:val="ListBullet"/>
      </w:pPr>
      <w:r w:rsidRPr="00846769">
        <w:t>a 50% share from the Australian Government</w:t>
      </w:r>
    </w:p>
    <w:p w14:paraId="20C05074" w14:textId="77777777" w:rsidR="001A7B77" w:rsidRPr="00846769" w:rsidRDefault="001A7B77" w:rsidP="001A7B77">
      <w:pPr>
        <w:pStyle w:val="ListBullet"/>
      </w:pPr>
      <w:r w:rsidRPr="00846769">
        <w:t>a 50% share collectively from the states and Northern Territory</w:t>
      </w:r>
    </w:p>
    <w:p w14:paraId="0CDB3BA6" w14:textId="77777777" w:rsidR="001A7B77" w:rsidRPr="00846769" w:rsidRDefault="001A7B77" w:rsidP="001A7B77">
      <w:pPr>
        <w:pStyle w:val="ListBullet2"/>
      </w:pPr>
      <w:r w:rsidRPr="00846769">
        <w:t>this is calculated for each jurisdiction based on the length of coastline potentially affected by the marine pest as well as their respective human populations</w:t>
      </w:r>
    </w:p>
    <w:p w14:paraId="518C0A0C" w14:textId="77777777" w:rsidR="001A7B77" w:rsidRPr="00846769" w:rsidRDefault="001A7B77" w:rsidP="001A7B77">
      <w:pPr>
        <w:pStyle w:val="ListBullet2"/>
      </w:pPr>
      <w:r w:rsidRPr="00846769">
        <w:t>only jurisdictions affected or potentially affected by the pest or disease are required to contribute.</w:t>
      </w:r>
    </w:p>
    <w:p w14:paraId="16E0AFEE" w14:textId="18E1027B" w:rsidR="001A7B77" w:rsidRPr="00846769" w:rsidRDefault="001A7B77" w:rsidP="008C704D">
      <w:pPr>
        <w:autoSpaceDE w:val="0"/>
        <w:autoSpaceDN w:val="0"/>
        <w:adjustRightInd w:val="0"/>
      </w:pPr>
      <w:r w:rsidRPr="00846769">
        <w:rPr>
          <w:rFonts w:cstheme="minorHAnsi"/>
        </w:rPr>
        <w:t>The NMG may commit up to $5 million in annual aggregate towards the eligible costs associated with an agreed national biosecurity incident response. If this $5 million is exceeded in any one financial year, the NMG must seek ministerial approval from all parties to continue activities and/or begin new emergency responses.</w:t>
      </w:r>
      <w:r w:rsidRPr="00846769">
        <w:t xml:space="preserve"> Private beneficiary contributions to a response will be considered by the NMG on a case-by-case basis where there is one or more private beneficiary and no existing arrangements.</w:t>
      </w:r>
    </w:p>
    <w:p w14:paraId="3CA0373B" w14:textId="3CC50331" w:rsidR="001A7B77" w:rsidRPr="00846769" w:rsidRDefault="001A7B77" w:rsidP="001A7B77">
      <w:pPr>
        <w:rPr>
          <w:rFonts w:ascii="Calibri" w:eastAsia="Times New Roman" w:hAnsi="Calibri" w:cs="Times New Roman"/>
          <w:b/>
          <w:bCs/>
          <w:color w:val="444444"/>
          <w:sz w:val="28"/>
          <w:szCs w:val="24"/>
          <w:lang w:eastAsia="ja-JP"/>
        </w:rPr>
      </w:pPr>
      <w:r w:rsidRPr="00846769">
        <w:rPr>
          <w:lang w:eastAsia="ja-JP"/>
        </w:rPr>
        <w:t xml:space="preserve">Marine pest biosecurity incidents that do not meet the criteria for cost-sharing under the NEBRA will predominately be the responsibility of the lead agencies in the affected jurisdiction undertaking the response, however </w:t>
      </w:r>
      <w:r w:rsidRPr="00846769">
        <w:rPr>
          <w:i/>
          <w:iCs/>
          <w:lang w:eastAsia="ja-JP"/>
        </w:rPr>
        <w:t>ad hoc</w:t>
      </w:r>
      <w:r w:rsidRPr="00846769">
        <w:rPr>
          <w:lang w:eastAsia="ja-JP"/>
        </w:rPr>
        <w:t xml:space="preserve"> resourcing (</w:t>
      </w:r>
      <w:r w:rsidR="003B54EE">
        <w:rPr>
          <w:lang w:eastAsia="ja-JP"/>
        </w:rPr>
        <w:t>e.g.</w:t>
      </w:r>
      <w:r w:rsidRPr="00846769">
        <w:rPr>
          <w:lang w:eastAsia="ja-JP"/>
        </w:rPr>
        <w:t xml:space="preserve"> financial, human</w:t>
      </w:r>
      <w:r w:rsidR="00E77C01" w:rsidRPr="00846769">
        <w:rPr>
          <w:lang w:eastAsia="ja-JP"/>
        </w:rPr>
        <w:t>,</w:t>
      </w:r>
      <w:r w:rsidRPr="00846769">
        <w:rPr>
          <w:lang w:eastAsia="ja-JP"/>
        </w:rPr>
        <w:t xml:space="preserve"> and physical) may be available through national biosecurity support programs</w:t>
      </w:r>
      <w:r w:rsidR="003B54EE">
        <w:rPr>
          <w:lang w:eastAsia="ja-JP"/>
        </w:rPr>
        <w:t>.</w:t>
      </w:r>
    </w:p>
    <w:p w14:paraId="777275CE" w14:textId="65D855BB" w:rsidR="004D0733" w:rsidRPr="00846769" w:rsidRDefault="001A7B77" w:rsidP="004D0733">
      <w:pPr>
        <w:autoSpaceDE w:val="0"/>
        <w:autoSpaceDN w:val="0"/>
        <w:adjustRightInd w:val="0"/>
        <w:rPr>
          <w:rFonts w:cstheme="minorHAnsi"/>
        </w:rPr>
      </w:pPr>
      <w:r w:rsidRPr="00846769">
        <w:lastRenderedPageBreak/>
        <w:t xml:space="preserve">Please refer to the current version of the </w:t>
      </w:r>
      <w:hyperlink r:id="rId82" w:history="1">
        <w:r w:rsidRPr="00846769">
          <w:rPr>
            <w:rStyle w:val="Hyperlink"/>
          </w:rPr>
          <w:t>NEBRA</w:t>
        </w:r>
      </w:hyperlink>
      <w:r w:rsidRPr="00846769">
        <w:t xml:space="preserve"> or contact the NEBRA custodian </w:t>
      </w:r>
      <w:hyperlink r:id="rId83" w:history="1">
        <w:r w:rsidRPr="00846769">
          <w:rPr>
            <w:rStyle w:val="Hyperlink"/>
            <w:lang w:eastAsia="ja-JP"/>
          </w:rPr>
          <w:t>nebra@aff.gov.au</w:t>
        </w:r>
      </w:hyperlink>
      <w:r w:rsidRPr="00846769">
        <w:rPr>
          <w:lang w:eastAsia="ja-JP"/>
        </w:rPr>
        <w:t xml:space="preserve"> </w:t>
      </w:r>
      <w:r w:rsidRPr="00846769">
        <w:rPr>
          <w:rFonts w:cstheme="minorHAnsi"/>
        </w:rPr>
        <w:t>for more information as the NEBRA may be periodically revised.</w:t>
      </w:r>
    </w:p>
    <w:p w14:paraId="2F7EFA01" w14:textId="3068D469" w:rsidR="006939E1" w:rsidRPr="00846769" w:rsidRDefault="006D23BA" w:rsidP="001F279D">
      <w:pPr>
        <w:pStyle w:val="Heading3"/>
        <w:numPr>
          <w:ilvl w:val="1"/>
          <w:numId w:val="4"/>
        </w:numPr>
        <w:rPr>
          <w:lang w:eastAsia="ja-JP"/>
        </w:rPr>
      </w:pPr>
      <w:bookmarkStart w:id="83" w:name="_Toc191998653"/>
      <w:r w:rsidRPr="00846769">
        <w:rPr>
          <w:lang w:eastAsia="ja-JP"/>
        </w:rPr>
        <w:t>Decision points</w:t>
      </w:r>
      <w:bookmarkEnd w:id="83"/>
    </w:p>
    <w:p w14:paraId="20718C6F" w14:textId="1A8130D9" w:rsidR="006D23BA" w:rsidRPr="00846769" w:rsidRDefault="006D23BA" w:rsidP="00BF317B">
      <w:pPr>
        <w:rPr>
          <w:lang w:eastAsia="ja-JP"/>
        </w:rPr>
      </w:pPr>
      <w:r w:rsidRPr="00846769">
        <w:rPr>
          <w:lang w:eastAsia="ja-JP"/>
        </w:rPr>
        <w:t xml:space="preserve">Decision points </w:t>
      </w:r>
      <w:r w:rsidR="003B54EE">
        <w:rPr>
          <w:lang w:eastAsia="ja-JP"/>
        </w:rPr>
        <w:t xml:space="preserve">in a biosecurity response </w:t>
      </w:r>
      <w:r w:rsidR="00A46A3D" w:rsidRPr="00846769">
        <w:rPr>
          <w:lang w:eastAsia="ja-JP"/>
        </w:rPr>
        <w:t xml:space="preserve">may </w:t>
      </w:r>
      <w:r w:rsidRPr="00846769">
        <w:rPr>
          <w:lang w:eastAsia="ja-JP"/>
        </w:rPr>
        <w:t>include decisions to stand</w:t>
      </w:r>
      <w:r w:rsidR="00E95577">
        <w:rPr>
          <w:lang w:eastAsia="ja-JP"/>
        </w:rPr>
        <w:t>-</w:t>
      </w:r>
      <w:r w:rsidRPr="00846769">
        <w:rPr>
          <w:lang w:eastAsia="ja-JP"/>
        </w:rPr>
        <w:t>down eradication or control operations</w:t>
      </w:r>
      <w:r w:rsidR="003B54EE">
        <w:rPr>
          <w:lang w:eastAsia="ja-JP"/>
        </w:rPr>
        <w:t xml:space="preserve"> and transition the response to management, or to declare the pest as absent/eradicated. </w:t>
      </w:r>
    </w:p>
    <w:p w14:paraId="6CB00AF3" w14:textId="724A6DBB" w:rsidR="006939E1" w:rsidRPr="00846769" w:rsidRDefault="00B5740F" w:rsidP="00BF317B">
      <w:pPr>
        <w:rPr>
          <w:rFonts w:cstheme="minorHAnsi"/>
        </w:rPr>
      </w:pPr>
      <w:r w:rsidRPr="00846769">
        <w:rPr>
          <w:rFonts w:cstheme="minorHAnsi"/>
        </w:rPr>
        <w:t>Detection of any</w:t>
      </w:r>
      <w:r w:rsidR="007E0C98" w:rsidRPr="00846769">
        <w:rPr>
          <w:rFonts w:cstheme="minorHAnsi"/>
        </w:rPr>
        <w:t xml:space="preserve"> suspected</w:t>
      </w:r>
      <w:r w:rsidRPr="00846769">
        <w:rPr>
          <w:rFonts w:cstheme="minorHAnsi"/>
        </w:rPr>
        <w:t xml:space="preserve"> </w:t>
      </w:r>
      <w:r w:rsidR="007E0C98" w:rsidRPr="00846769">
        <w:rPr>
          <w:rFonts w:cstheme="minorHAnsi"/>
        </w:rPr>
        <w:t xml:space="preserve">introduced </w:t>
      </w:r>
      <w:r w:rsidRPr="00846769">
        <w:rPr>
          <w:rFonts w:cstheme="minorHAnsi"/>
        </w:rPr>
        <w:t xml:space="preserve">marine bivalve not known to occur in Australia should initiate an investigation phase. This phase will likely be run concurrently with the initial control actions if initial indications are that the infestation is limited. If the emergency investigation revealed that the incursion was potentially eradicable then the </w:t>
      </w:r>
      <w:r w:rsidR="00A46A3D" w:rsidRPr="00846769">
        <w:rPr>
          <w:rFonts w:cstheme="minorHAnsi"/>
        </w:rPr>
        <w:t>i</w:t>
      </w:r>
      <w:r w:rsidRPr="00846769">
        <w:rPr>
          <w:rFonts w:cstheme="minorHAnsi"/>
        </w:rPr>
        <w:t xml:space="preserve">ncident </w:t>
      </w:r>
      <w:r w:rsidR="00A46A3D" w:rsidRPr="00846769">
        <w:rPr>
          <w:rFonts w:cstheme="minorHAnsi"/>
        </w:rPr>
        <w:t>m</w:t>
      </w:r>
      <w:r w:rsidRPr="00846769">
        <w:rPr>
          <w:rFonts w:cstheme="minorHAnsi"/>
        </w:rPr>
        <w:t>anager will prepare a NBIRP and forward to CCIMPE for urgent consideration.</w:t>
      </w:r>
    </w:p>
    <w:p w14:paraId="66938DDB" w14:textId="799385C8" w:rsidR="006D23BA" w:rsidRPr="00846769" w:rsidRDefault="006D23BA" w:rsidP="006D23BA">
      <w:pPr>
        <w:rPr>
          <w:lang w:eastAsia="ja-JP"/>
        </w:rPr>
      </w:pPr>
      <w:r w:rsidRPr="00846769">
        <w:rPr>
          <w:lang w:eastAsia="ja-JP"/>
        </w:rPr>
        <w:t>Management of a marine pest emergency of national significance has three phases of activation:</w:t>
      </w:r>
    </w:p>
    <w:p w14:paraId="45B60451" w14:textId="059E828D" w:rsidR="006D23BA" w:rsidRPr="00846769" w:rsidRDefault="006D23BA" w:rsidP="00A46A3D">
      <w:pPr>
        <w:pStyle w:val="ListParagraph"/>
        <w:numPr>
          <w:ilvl w:val="6"/>
          <w:numId w:val="4"/>
        </w:numPr>
        <w:ind w:left="284" w:hanging="284"/>
      </w:pPr>
      <w:hyperlink w:anchor="_Investigation_phase" w:history="1">
        <w:r w:rsidRPr="00846769">
          <w:rPr>
            <w:rStyle w:val="Hyperlink"/>
          </w:rPr>
          <w:t>investigation</w:t>
        </w:r>
      </w:hyperlink>
      <w:r w:rsidRPr="00846769">
        <w:t xml:space="preserve"> and </w:t>
      </w:r>
      <w:hyperlink w:anchor="_Alert_phase" w:history="1">
        <w:r w:rsidRPr="00846769">
          <w:rPr>
            <w:rStyle w:val="Hyperlink"/>
          </w:rPr>
          <w:t>alert phase</w:t>
        </w:r>
      </w:hyperlink>
    </w:p>
    <w:p w14:paraId="72D077A2" w14:textId="6E733870" w:rsidR="006D23BA" w:rsidRPr="00846769" w:rsidRDefault="006D23BA" w:rsidP="00A46A3D">
      <w:pPr>
        <w:pStyle w:val="ListParagraph"/>
        <w:numPr>
          <w:ilvl w:val="6"/>
          <w:numId w:val="4"/>
        </w:numPr>
        <w:ind w:left="284" w:hanging="284"/>
      </w:pPr>
      <w:hyperlink w:anchor="_Operations_phase" w:history="1">
        <w:r w:rsidRPr="00846769">
          <w:rPr>
            <w:rStyle w:val="Hyperlink"/>
          </w:rPr>
          <w:t>operation</w:t>
        </w:r>
        <w:r w:rsidR="00A46A3D" w:rsidRPr="00846769">
          <w:rPr>
            <w:rStyle w:val="Hyperlink"/>
          </w:rPr>
          <w:t>s</w:t>
        </w:r>
        <w:r w:rsidRPr="00846769">
          <w:rPr>
            <w:rStyle w:val="Hyperlink"/>
          </w:rPr>
          <w:t xml:space="preserve"> phase</w:t>
        </w:r>
      </w:hyperlink>
    </w:p>
    <w:p w14:paraId="428A6462" w14:textId="2C609027" w:rsidR="006D23BA" w:rsidRPr="00846769" w:rsidRDefault="006D23BA" w:rsidP="00A46A3D">
      <w:pPr>
        <w:pStyle w:val="ListParagraph"/>
        <w:numPr>
          <w:ilvl w:val="6"/>
          <w:numId w:val="4"/>
        </w:numPr>
        <w:ind w:left="284" w:hanging="284"/>
      </w:pPr>
      <w:hyperlink w:anchor="_Stand_down_phase" w:history="1">
        <w:r w:rsidRPr="00846769">
          <w:rPr>
            <w:rStyle w:val="Hyperlink"/>
          </w:rPr>
          <w:t>stand</w:t>
        </w:r>
        <w:r w:rsidR="00E95577">
          <w:rPr>
            <w:rStyle w:val="Hyperlink"/>
          </w:rPr>
          <w:t>-</w:t>
        </w:r>
        <w:r w:rsidRPr="00846769">
          <w:rPr>
            <w:rStyle w:val="Hyperlink"/>
          </w:rPr>
          <w:t>down phase.</w:t>
        </w:r>
      </w:hyperlink>
    </w:p>
    <w:p w14:paraId="6E524E52" w14:textId="716645E8" w:rsidR="006D23BA" w:rsidRPr="00846769" w:rsidRDefault="006D23BA" w:rsidP="00BF317B">
      <w:pPr>
        <w:rPr>
          <w:rFonts w:cstheme="minorHAnsi"/>
          <w:color w:val="000000"/>
        </w:rPr>
      </w:pPr>
      <w:r w:rsidRPr="00846769">
        <w:rPr>
          <w:lang w:eastAsia="ja-JP"/>
        </w:rPr>
        <w:t>Further details on decision points can be found in the</w:t>
      </w:r>
      <w:r w:rsidRPr="00846769">
        <w:t xml:space="preserve"> </w:t>
      </w:r>
      <w:hyperlink r:id="rId84" w:history="1">
        <w:r w:rsidRPr="00846769">
          <w:rPr>
            <w:rStyle w:val="Hyperlink"/>
            <w:lang w:eastAsia="ja-JP"/>
          </w:rPr>
          <w:t>BIMS: Marine pest version</w:t>
        </w:r>
      </w:hyperlink>
      <w:r w:rsidRPr="00846769">
        <w:rPr>
          <w:lang w:eastAsia="ja-JP"/>
        </w:rPr>
        <w:t>.</w:t>
      </w:r>
      <w:r w:rsidRPr="00846769">
        <w:rPr>
          <w:color w:val="000000"/>
        </w:rPr>
        <w:t xml:space="preserve"> </w:t>
      </w:r>
      <w:r w:rsidRPr="00846769">
        <w:rPr>
          <w:rFonts w:cstheme="minorHAnsi"/>
          <w:color w:val="000000"/>
        </w:rPr>
        <w:t>It is important to note that not all detections of marine pests will initiate a response involving all three phases. For example, the detection of invasive marine bivalves on a vessel may involve a truncated response.</w:t>
      </w:r>
    </w:p>
    <w:p w14:paraId="2D7661C0" w14:textId="4394FE43" w:rsidR="00A669E5" w:rsidRPr="00846769" w:rsidRDefault="007944F5" w:rsidP="00A04E26">
      <w:pPr>
        <w:pStyle w:val="Heading4"/>
        <w:numPr>
          <w:ilvl w:val="2"/>
          <w:numId w:val="43"/>
        </w:numPr>
      </w:pPr>
      <w:r w:rsidRPr="00846769">
        <w:t xml:space="preserve">Determining the </w:t>
      </w:r>
      <w:proofErr w:type="gramStart"/>
      <w:r w:rsidRPr="00846769">
        <w:t>current status</w:t>
      </w:r>
      <w:proofErr w:type="gramEnd"/>
      <w:r w:rsidRPr="00846769">
        <w:t xml:space="preserve"> of marine pests</w:t>
      </w:r>
    </w:p>
    <w:p w14:paraId="19A4B129" w14:textId="524EAFF6" w:rsidR="00205FA3" w:rsidRPr="00846769" w:rsidRDefault="008F5E3B" w:rsidP="001C69F1">
      <w:pPr>
        <w:autoSpaceDE w:val="0"/>
        <w:autoSpaceDN w:val="0"/>
        <w:adjustRightInd w:val="0"/>
        <w:rPr>
          <w:rFonts w:cstheme="minorHAnsi"/>
        </w:rPr>
      </w:pPr>
      <w:r w:rsidRPr="00846769">
        <w:rPr>
          <w:rFonts w:cstheme="minorHAnsi"/>
        </w:rPr>
        <w:t xml:space="preserve">The </w:t>
      </w:r>
      <w:proofErr w:type="gramStart"/>
      <w:r w:rsidRPr="00846769">
        <w:rPr>
          <w:rFonts w:cstheme="minorHAnsi"/>
        </w:rPr>
        <w:t>c</w:t>
      </w:r>
      <w:r w:rsidR="007944F5" w:rsidRPr="00846769">
        <w:rPr>
          <w:rFonts w:cstheme="minorHAnsi"/>
        </w:rPr>
        <w:t>urrent status</w:t>
      </w:r>
      <w:proofErr w:type="gramEnd"/>
      <w:r w:rsidR="007944F5" w:rsidRPr="00846769">
        <w:rPr>
          <w:rFonts w:cstheme="minorHAnsi"/>
        </w:rPr>
        <w:t xml:space="preserve"> of marine pests (previously called ‘proof of freedom</w:t>
      </w:r>
      <w:r w:rsidR="007944F5" w:rsidRPr="00846769">
        <w:rPr>
          <w:rStyle w:val="FootnoteReference"/>
          <w:rFonts w:cstheme="minorHAnsi"/>
        </w:rPr>
        <w:footnoteReference w:id="3"/>
      </w:r>
      <w:r w:rsidR="007944F5" w:rsidRPr="00846769">
        <w:rPr>
          <w:rFonts w:cstheme="minorHAnsi"/>
        </w:rPr>
        <w:t xml:space="preserve">’) </w:t>
      </w:r>
      <w:r w:rsidR="001C69F1" w:rsidRPr="00846769">
        <w:rPr>
          <w:rFonts w:cstheme="minorHAnsi"/>
        </w:rPr>
        <w:t>aims to demonstrate to an agreed level of confidence that a pest</w:t>
      </w:r>
      <w:r w:rsidR="003B54EE">
        <w:rPr>
          <w:rFonts w:cstheme="minorHAnsi"/>
        </w:rPr>
        <w:t xml:space="preserve"> </w:t>
      </w:r>
      <w:r w:rsidR="001C69F1" w:rsidRPr="00846769">
        <w:rPr>
          <w:rFonts w:cstheme="minorHAnsi"/>
        </w:rPr>
        <w:t xml:space="preserve">is at a low enough abundance that it can be regarded as effectively </w:t>
      </w:r>
      <w:r w:rsidR="003A5977">
        <w:rPr>
          <w:rFonts w:cstheme="minorHAnsi"/>
        </w:rPr>
        <w:t xml:space="preserve">absent, </w:t>
      </w:r>
      <w:r w:rsidR="0004422F">
        <w:rPr>
          <w:rFonts w:cstheme="minorHAnsi"/>
        </w:rPr>
        <w:t>i.e.</w:t>
      </w:r>
      <w:r w:rsidR="003A5977">
        <w:rPr>
          <w:rFonts w:cstheme="minorHAnsi"/>
        </w:rPr>
        <w:t xml:space="preserve"> eradicated in the context of an incursion</w:t>
      </w:r>
      <w:r w:rsidR="001C69F1" w:rsidRPr="00846769">
        <w:rPr>
          <w:rFonts w:cstheme="minorHAnsi"/>
        </w:rPr>
        <w:t xml:space="preserve">. </w:t>
      </w:r>
      <w:r w:rsidR="00015D0A">
        <w:rPr>
          <w:rFonts w:cstheme="minorHAnsi"/>
        </w:rPr>
        <w:t xml:space="preserve">This requires a </w:t>
      </w:r>
      <w:r w:rsidR="001C69F1" w:rsidRPr="00846769">
        <w:rPr>
          <w:rFonts w:cstheme="minorHAnsi"/>
        </w:rPr>
        <w:t xml:space="preserve">robust and intensive surveillance program during the operations phase of the response. The purpose </w:t>
      </w:r>
      <w:r w:rsidRPr="00846769">
        <w:rPr>
          <w:rFonts w:cstheme="minorHAnsi"/>
        </w:rPr>
        <w:t>of determining marine pest status is</w:t>
      </w:r>
      <w:r w:rsidR="001C69F1" w:rsidRPr="00846769">
        <w:rPr>
          <w:rFonts w:cstheme="minorHAnsi"/>
        </w:rPr>
        <w:t xml:space="preserve"> to inform future decisions, mainly whether a response can be stood down once the</w:t>
      </w:r>
      <w:r w:rsidR="007944F5" w:rsidRPr="00846769">
        <w:rPr>
          <w:rFonts w:cstheme="minorHAnsi"/>
        </w:rPr>
        <w:t xml:space="preserve"> associated </w:t>
      </w:r>
      <w:r w:rsidR="001C69F1" w:rsidRPr="00846769">
        <w:rPr>
          <w:rFonts w:cstheme="minorHAnsi"/>
        </w:rPr>
        <w:t xml:space="preserve">surveillance is complete, or whether further ongoing management is required. The outcome of surveillance </w:t>
      </w:r>
      <w:r w:rsidRPr="00846769">
        <w:rPr>
          <w:rFonts w:cstheme="minorHAnsi"/>
        </w:rPr>
        <w:t xml:space="preserve">for marine pest status </w:t>
      </w:r>
      <w:r w:rsidR="001C69F1" w:rsidRPr="00846769">
        <w:rPr>
          <w:rFonts w:cstheme="minorHAnsi"/>
        </w:rPr>
        <w:t xml:space="preserve">may influence management actions such as movement restrictions, ballast water and biofouling management. </w:t>
      </w:r>
      <w:bookmarkStart w:id="84" w:name="_Hlk187245769"/>
      <w:r w:rsidR="00E166E6" w:rsidRPr="00846769">
        <w:rPr>
          <w:rFonts w:cstheme="minorHAnsi"/>
        </w:rPr>
        <w:t xml:space="preserve">See </w:t>
      </w:r>
      <w:hyperlink w:anchor="_Delimitation,_surveillance,_and" w:history="1">
        <w:r w:rsidR="00E166E6" w:rsidRPr="00846769">
          <w:rPr>
            <w:rStyle w:val="Hyperlink"/>
            <w:rFonts w:cstheme="minorHAnsi"/>
          </w:rPr>
          <w:t xml:space="preserve">Section </w:t>
        </w:r>
        <w:r w:rsidR="00205FA3" w:rsidRPr="00846769">
          <w:rPr>
            <w:rStyle w:val="Hyperlink"/>
            <w:rFonts w:cstheme="minorHAnsi"/>
          </w:rPr>
          <w:t>4</w:t>
        </w:r>
      </w:hyperlink>
      <w:r w:rsidR="00205FA3" w:rsidRPr="00846769">
        <w:rPr>
          <w:rFonts w:cstheme="minorHAnsi"/>
        </w:rPr>
        <w:t xml:space="preserve"> </w:t>
      </w:r>
      <w:r w:rsidR="00E166E6" w:rsidRPr="00846769">
        <w:rPr>
          <w:rFonts w:cstheme="minorHAnsi"/>
        </w:rPr>
        <w:t xml:space="preserve">for more information on </w:t>
      </w:r>
      <w:bookmarkEnd w:id="84"/>
      <w:r w:rsidR="00E050EE">
        <w:rPr>
          <w:rFonts w:cstheme="minorHAnsi"/>
        </w:rPr>
        <w:t xml:space="preserve">surveillance and delimitation. </w:t>
      </w:r>
    </w:p>
    <w:p w14:paraId="7FFDCB80" w14:textId="35BB8188" w:rsidR="00D6539E" w:rsidRDefault="001C69F1" w:rsidP="001C69F1">
      <w:pPr>
        <w:autoSpaceDE w:val="0"/>
        <w:autoSpaceDN w:val="0"/>
        <w:adjustRightInd w:val="0"/>
        <w:rPr>
          <w:rFonts w:cstheme="minorHAnsi"/>
        </w:rPr>
      </w:pPr>
      <w:r w:rsidRPr="00846769">
        <w:rPr>
          <w:rFonts w:cstheme="minorHAnsi"/>
        </w:rPr>
        <w:t xml:space="preserve">The </w:t>
      </w:r>
      <w:r w:rsidRPr="00846769">
        <w:t>Marine Pest Sectoral Committee (</w:t>
      </w:r>
      <w:r w:rsidRPr="00846769">
        <w:rPr>
          <w:rFonts w:cstheme="minorHAnsi"/>
        </w:rPr>
        <w:t xml:space="preserve">MPSC) has developed national </w:t>
      </w:r>
      <w:r w:rsidRPr="00846769">
        <w:rPr>
          <w:i/>
          <w:iCs/>
        </w:rPr>
        <w:t xml:space="preserve">Policy principles for determining the </w:t>
      </w:r>
      <w:proofErr w:type="gramStart"/>
      <w:r w:rsidRPr="00846769">
        <w:rPr>
          <w:i/>
          <w:iCs/>
        </w:rPr>
        <w:t>current status</w:t>
      </w:r>
      <w:proofErr w:type="gramEnd"/>
      <w:r w:rsidRPr="00846769">
        <w:rPr>
          <w:i/>
          <w:iCs/>
        </w:rPr>
        <w:t xml:space="preserve"> of marine pests</w:t>
      </w:r>
      <w:r w:rsidRPr="00846769">
        <w:t xml:space="preserve"> (</w:t>
      </w:r>
      <w:hyperlink w:anchor="_Appendix_B:_Policy" w:history="1">
        <w:r w:rsidRPr="00846769">
          <w:rPr>
            <w:rStyle w:val="Hyperlink"/>
          </w:rPr>
          <w:t xml:space="preserve">Appendix </w:t>
        </w:r>
        <w:r w:rsidR="00205FA3" w:rsidRPr="00846769">
          <w:rPr>
            <w:rStyle w:val="Hyperlink"/>
          </w:rPr>
          <w:t>B</w:t>
        </w:r>
      </w:hyperlink>
      <w:r w:rsidRPr="00846769">
        <w:t>). The policy principles provide stakeholders (governments, industry</w:t>
      </w:r>
      <w:r w:rsidR="00C50273" w:rsidRPr="00846769">
        <w:t>,</w:t>
      </w:r>
      <w:r w:rsidRPr="00846769">
        <w:t xml:space="preserve"> and others) with nationally agreed and flexible principles for determining the status (likelihood of presence/absence) of marine pests in defined areas within Australia.</w:t>
      </w:r>
      <w:r w:rsidRPr="00846769">
        <w:rPr>
          <w:rFonts w:cstheme="minorHAnsi"/>
        </w:rPr>
        <w:t xml:space="preserve"> </w:t>
      </w:r>
    </w:p>
    <w:p w14:paraId="7BE4BA79" w14:textId="27DA6267" w:rsidR="001C69F1" w:rsidRPr="00846769" w:rsidRDefault="001C69F1" w:rsidP="001C69F1">
      <w:pPr>
        <w:autoSpaceDE w:val="0"/>
        <w:autoSpaceDN w:val="0"/>
        <w:adjustRightInd w:val="0"/>
        <w:rPr>
          <w:rFonts w:cstheme="minorHAnsi"/>
        </w:rPr>
      </w:pPr>
      <w:r w:rsidRPr="00846769">
        <w:rPr>
          <w:rFonts w:cstheme="minorHAnsi"/>
        </w:rPr>
        <w:lastRenderedPageBreak/>
        <w:t xml:space="preserve">Responses that are cost-shared under the </w:t>
      </w:r>
      <w:hyperlink r:id="rId85" w:history="1">
        <w:r w:rsidRPr="00846769">
          <w:rPr>
            <w:rStyle w:val="Hyperlink"/>
            <w:rFonts w:cstheme="minorHAnsi"/>
          </w:rPr>
          <w:t>NEBRA</w:t>
        </w:r>
      </w:hyperlink>
      <w:r w:rsidRPr="00846769">
        <w:rPr>
          <w:rFonts w:cstheme="minorHAnsi"/>
        </w:rPr>
        <w:t xml:space="preserve"> require a </w:t>
      </w:r>
      <w:r w:rsidR="007E6E95" w:rsidRPr="00846769">
        <w:rPr>
          <w:rFonts w:cstheme="minorHAnsi"/>
        </w:rPr>
        <w:t>‘</w:t>
      </w:r>
      <w:r w:rsidRPr="00846769">
        <w:rPr>
          <w:rFonts w:cstheme="minorHAnsi"/>
        </w:rPr>
        <w:t>proof of freedom</w:t>
      </w:r>
      <w:r w:rsidR="007E6E95" w:rsidRPr="00846769">
        <w:rPr>
          <w:rFonts w:cstheme="minorHAnsi"/>
        </w:rPr>
        <w:t>’</w:t>
      </w:r>
      <w:r w:rsidRPr="00846769">
        <w:rPr>
          <w:rFonts w:cstheme="minorHAnsi"/>
        </w:rPr>
        <w:t xml:space="preserve"> phase if eradication is thought to have been achieved. The </w:t>
      </w:r>
      <w:r w:rsidRPr="00846769">
        <w:t>NEBRA custodian</w:t>
      </w:r>
      <w:r w:rsidRPr="00846769">
        <w:rPr>
          <w:rFonts w:cstheme="minorHAnsi"/>
        </w:rPr>
        <w:t xml:space="preserve"> (</w:t>
      </w:r>
      <w:hyperlink r:id="rId86" w:history="1">
        <w:r w:rsidRPr="00846769">
          <w:rPr>
            <w:rStyle w:val="Hyperlink"/>
            <w:rFonts w:cstheme="minorHAnsi"/>
          </w:rPr>
          <w:t>nebra@aff.gov.au</w:t>
        </w:r>
      </w:hyperlink>
      <w:r w:rsidRPr="00846769">
        <w:rPr>
          <w:rFonts w:cstheme="minorHAnsi"/>
        </w:rPr>
        <w:t>) can provide guidance on developing surveillance programs</w:t>
      </w:r>
      <w:r w:rsidR="007E6E95" w:rsidRPr="00846769">
        <w:rPr>
          <w:rFonts w:cstheme="minorHAnsi"/>
        </w:rPr>
        <w:t xml:space="preserve"> for marine pest status</w:t>
      </w:r>
      <w:r w:rsidRPr="00846769">
        <w:rPr>
          <w:rFonts w:cstheme="minorHAnsi"/>
        </w:rPr>
        <w:t xml:space="preserve"> on request.  </w:t>
      </w:r>
    </w:p>
    <w:p w14:paraId="10D2ADDE" w14:textId="4ECA03E9" w:rsidR="001C69F1" w:rsidRPr="00846769" w:rsidRDefault="001C69F1" w:rsidP="001C69F1">
      <w:pPr>
        <w:autoSpaceDE w:val="0"/>
        <w:autoSpaceDN w:val="0"/>
        <w:adjustRightInd w:val="0"/>
        <w:rPr>
          <w:rFonts w:cstheme="minorHAnsi"/>
        </w:rPr>
      </w:pPr>
      <w:r w:rsidRPr="00846769">
        <w:rPr>
          <w:rFonts w:cstheme="minorHAnsi"/>
        </w:rPr>
        <w:t>Ultimately</w:t>
      </w:r>
      <w:r w:rsidR="0094752C" w:rsidRPr="00846769">
        <w:rPr>
          <w:rFonts w:cstheme="minorHAnsi"/>
        </w:rPr>
        <w:t>,</w:t>
      </w:r>
      <w:r w:rsidRPr="00846769">
        <w:rPr>
          <w:rFonts w:cstheme="minorHAnsi"/>
        </w:rPr>
        <w:t xml:space="preserve"> surveillance </w:t>
      </w:r>
      <w:r w:rsidR="00205FA3" w:rsidRPr="00846769">
        <w:rPr>
          <w:rFonts w:cstheme="minorHAnsi"/>
        </w:rPr>
        <w:t>to determine</w:t>
      </w:r>
      <w:r w:rsidR="008F5E3B" w:rsidRPr="00846769">
        <w:rPr>
          <w:rFonts w:cstheme="minorHAnsi"/>
        </w:rPr>
        <w:t xml:space="preserve"> marine pest status </w:t>
      </w:r>
      <w:r w:rsidRPr="00846769">
        <w:rPr>
          <w:rFonts w:cstheme="minorHAnsi"/>
        </w:rPr>
        <w:t xml:space="preserve">will depend upon the context and requirement. CCIMPE can provide advice and connection to expertise to assist in developing </w:t>
      </w:r>
      <w:r w:rsidR="00A80DD3">
        <w:rPr>
          <w:rFonts w:cstheme="minorHAnsi"/>
        </w:rPr>
        <w:t>a</w:t>
      </w:r>
      <w:r w:rsidR="00D6539E">
        <w:rPr>
          <w:rFonts w:cstheme="minorHAnsi"/>
        </w:rPr>
        <w:t xml:space="preserve"> </w:t>
      </w:r>
      <w:r w:rsidRPr="00846769">
        <w:rPr>
          <w:rFonts w:cstheme="minorHAnsi"/>
        </w:rPr>
        <w:t>surveillance plan</w:t>
      </w:r>
      <w:r w:rsidR="00D6539E">
        <w:rPr>
          <w:rFonts w:cstheme="minorHAnsi"/>
        </w:rPr>
        <w:t xml:space="preserve"> to assess marine pest status during an incursion. </w:t>
      </w:r>
    </w:p>
    <w:p w14:paraId="04094E8A" w14:textId="20B0010E" w:rsidR="001F279D" w:rsidRPr="00846769" w:rsidRDefault="001F279D" w:rsidP="001F279D">
      <w:pPr>
        <w:pStyle w:val="Heading3"/>
        <w:numPr>
          <w:ilvl w:val="1"/>
          <w:numId w:val="4"/>
        </w:numPr>
        <w:rPr>
          <w:lang w:eastAsia="ja-JP"/>
        </w:rPr>
      </w:pPr>
      <w:bookmarkStart w:id="85" w:name="_Toc191998654"/>
      <w:r w:rsidRPr="00846769">
        <w:rPr>
          <w:lang w:eastAsia="ja-JP"/>
        </w:rPr>
        <w:t>Health, safety</w:t>
      </w:r>
      <w:r w:rsidR="00930CCD" w:rsidRPr="00846769">
        <w:rPr>
          <w:lang w:eastAsia="ja-JP"/>
        </w:rPr>
        <w:t>,</w:t>
      </w:r>
      <w:r w:rsidRPr="00846769">
        <w:rPr>
          <w:lang w:eastAsia="ja-JP"/>
        </w:rPr>
        <w:t xml:space="preserve"> and environment</w:t>
      </w:r>
      <w:bookmarkEnd w:id="85"/>
    </w:p>
    <w:p w14:paraId="222531F0" w14:textId="7029F6B9" w:rsidR="00C50273" w:rsidRPr="00846769" w:rsidRDefault="001F279D" w:rsidP="00C50273">
      <w:pPr>
        <w:pStyle w:val="Heading4"/>
        <w:numPr>
          <w:ilvl w:val="2"/>
          <w:numId w:val="4"/>
        </w:numPr>
      </w:pPr>
      <w:r w:rsidRPr="00846769">
        <w:t xml:space="preserve">Safety of response personnel </w:t>
      </w:r>
    </w:p>
    <w:p w14:paraId="2B2FFCFD" w14:textId="77777777" w:rsidR="001F279D" w:rsidRPr="00846769" w:rsidRDefault="001F279D" w:rsidP="001F279D">
      <w:r w:rsidRPr="00846769">
        <w:t xml:space="preserve">The safety of personnel involved in response activities is paramount. Handling certain aquatic animals may be dangerous. Many methods for response activities also involve divers working under water or in outdoor environments. Personnel may work extended hours to achieve control and eradication. Fatigue in personnel can compromise their safety and that of others, particularly if they are working with machinery or in dangerous environments. </w:t>
      </w:r>
    </w:p>
    <w:p w14:paraId="162FF4F0" w14:textId="4B606138" w:rsidR="00C50273" w:rsidRPr="00846769" w:rsidRDefault="001F279D" w:rsidP="00C50273">
      <w:pPr>
        <w:pStyle w:val="Heading4"/>
        <w:numPr>
          <w:ilvl w:val="2"/>
          <w:numId w:val="4"/>
        </w:numPr>
      </w:pPr>
      <w:r w:rsidRPr="00846769">
        <w:t>Work health and safety during a response</w:t>
      </w:r>
    </w:p>
    <w:p w14:paraId="5C798A9F" w14:textId="4EB8A8FD" w:rsidR="001F279D" w:rsidRPr="00846769" w:rsidRDefault="001F279D" w:rsidP="001F279D">
      <w:pPr>
        <w:rPr>
          <w:rFonts w:cstheme="minorHAnsi"/>
        </w:rPr>
      </w:pPr>
      <w:r w:rsidRPr="00846769">
        <w:t>All operations associated with a marine pest incursion must consider relevant Commonwealth, state</w:t>
      </w:r>
      <w:r w:rsidR="002620B0">
        <w:t>,</w:t>
      </w:r>
      <w:r w:rsidRPr="00846769">
        <w:t xml:space="preserve"> and territory government work health and safety (WHS) requirements, standard operating procedures (SOPs) and safety data sheets (SDS) for response activities, including </w:t>
      </w:r>
      <w:r w:rsidR="00FD18AC">
        <w:t xml:space="preserve">when </w:t>
      </w:r>
      <w:r w:rsidRPr="00846769">
        <w:t>handling chemicals and samples</w:t>
      </w:r>
      <w:r w:rsidR="00FD18AC">
        <w:t xml:space="preserve"> (e.g. </w:t>
      </w:r>
      <w:r w:rsidRPr="00846769">
        <w:t>chlorine in liquid form can cause severe burns and is highly toxic if swallowed or inhaled</w:t>
      </w:r>
      <w:r w:rsidR="00FD18AC">
        <w:t>)</w:t>
      </w:r>
      <w:r w:rsidRPr="00846769">
        <w:t>. Operational staff should be appropriately trained in the safe handling and application of dangerous chemicals. Further information on the hazards, safe handling, emergency procedures</w:t>
      </w:r>
      <w:r w:rsidR="00205FA3" w:rsidRPr="00846769">
        <w:t>,</w:t>
      </w:r>
      <w:r w:rsidRPr="00846769">
        <w:t xml:space="preserve"> and disposal of chemicals is available on the SDS, which should be available to staff working with a chemical. </w:t>
      </w:r>
    </w:p>
    <w:p w14:paraId="7D182CDC" w14:textId="77777777" w:rsidR="006A63DA" w:rsidRPr="00846769" w:rsidRDefault="006A63DA" w:rsidP="006A63DA">
      <w:pPr>
        <w:pStyle w:val="Heading4"/>
        <w:numPr>
          <w:ilvl w:val="2"/>
          <w:numId w:val="4"/>
        </w:numPr>
      </w:pPr>
      <w:r w:rsidRPr="00846769">
        <w:t>Environmental considerations</w:t>
      </w:r>
    </w:p>
    <w:p w14:paraId="39B2A7BC" w14:textId="717D08F3" w:rsidR="001F279D" w:rsidRPr="00846769" w:rsidRDefault="001F279D" w:rsidP="00C50273">
      <w:pPr>
        <w:pStyle w:val="ListBullet"/>
        <w:numPr>
          <w:ilvl w:val="0"/>
          <w:numId w:val="0"/>
        </w:numPr>
        <w:spacing w:before="0"/>
      </w:pPr>
      <w:r w:rsidRPr="00846769">
        <w:t xml:space="preserve">When a response takes place there may be considerable waste generated which </w:t>
      </w:r>
      <w:r w:rsidR="00015D0A">
        <w:t xml:space="preserve">requires </w:t>
      </w:r>
      <w:r w:rsidRPr="00846769">
        <w:t xml:space="preserve">consideration prior to </w:t>
      </w:r>
      <w:r w:rsidR="00015D0A">
        <w:t xml:space="preserve">the </w:t>
      </w:r>
      <w:r w:rsidR="00015D0A" w:rsidRPr="00846769">
        <w:t>commenc</w:t>
      </w:r>
      <w:r w:rsidR="00015D0A">
        <w:t>ement of response</w:t>
      </w:r>
      <w:r w:rsidR="00FD18AC">
        <w:t xml:space="preserve"> activities</w:t>
      </w:r>
      <w:r w:rsidRPr="00846769">
        <w:t>. Certain techniques will generate large quantities of plastic wastes or involve chemical applications, some of which may have residual effects (</w:t>
      </w:r>
      <w:r w:rsidR="0004422F">
        <w:t>e.g.</w:t>
      </w:r>
      <w:r w:rsidRPr="00846769">
        <w:t xml:space="preserve"> cupric compounds). Disposal of large quantities of organic wastes needs careful consideration and appropriate disposal areas and transport corridors identified. </w:t>
      </w:r>
      <w:r w:rsidR="00FD18AC">
        <w:t xml:space="preserve">When handling or destroying invasive marine bivalves, care must be taken to prevent induced spawning, and all biological material collected and filtered out to avoid reinfesting the marine environment. </w:t>
      </w:r>
      <w:r w:rsidRPr="00846769">
        <w:t xml:space="preserve">See </w:t>
      </w:r>
      <w:hyperlink w:anchor="_Methods_for_treating" w:history="1">
        <w:r w:rsidRPr="00846769">
          <w:rPr>
            <w:rStyle w:val="Hyperlink"/>
          </w:rPr>
          <w:t>Section 6</w:t>
        </w:r>
      </w:hyperlink>
      <w:r w:rsidRPr="00846769">
        <w:t xml:space="preserve"> for more information</w:t>
      </w:r>
      <w:r w:rsidR="00205FA3" w:rsidRPr="00846769">
        <w:t xml:space="preserve"> on disposal</w:t>
      </w:r>
      <w:r w:rsidRPr="00846769">
        <w:t>.</w:t>
      </w:r>
    </w:p>
    <w:p w14:paraId="15D99976" w14:textId="1890ADCC" w:rsidR="001F279D" w:rsidRPr="00846769" w:rsidRDefault="001F279D" w:rsidP="001F279D">
      <w:pPr>
        <w:pStyle w:val="ListBullet"/>
        <w:numPr>
          <w:ilvl w:val="0"/>
          <w:numId w:val="0"/>
        </w:numPr>
      </w:pPr>
      <w:r w:rsidRPr="00846769">
        <w:t xml:space="preserve">Response actions may have impacts on non-target species within the response area and an environmental impacts assessment should include non-target species. This may include threatened or listed </w:t>
      </w:r>
      <w:r w:rsidR="0034304C" w:rsidRPr="00846769">
        <w:t xml:space="preserve">native </w:t>
      </w:r>
      <w:r w:rsidRPr="00846769">
        <w:t xml:space="preserve">species and culturally </w:t>
      </w:r>
      <w:r w:rsidR="0034304C" w:rsidRPr="00846769">
        <w:t xml:space="preserve">or economically </w:t>
      </w:r>
      <w:r w:rsidRPr="00846769">
        <w:t>significant species.</w:t>
      </w:r>
    </w:p>
    <w:p w14:paraId="37078E4C" w14:textId="31F96BF5" w:rsidR="00936C15" w:rsidRPr="00846769" w:rsidRDefault="001F279D" w:rsidP="001F279D">
      <w:pPr>
        <w:pStyle w:val="ListBullet"/>
        <w:numPr>
          <w:ilvl w:val="0"/>
          <w:numId w:val="0"/>
        </w:numPr>
        <w:sectPr w:rsidR="00936C15" w:rsidRPr="00846769" w:rsidSect="000B412A">
          <w:pgSz w:w="11906" w:h="16838"/>
          <w:pgMar w:top="1440" w:right="1440" w:bottom="1440" w:left="1440" w:header="708" w:footer="708" w:gutter="0"/>
          <w:cols w:space="708"/>
          <w:docGrid w:linePitch="360"/>
        </w:sectPr>
      </w:pPr>
      <w:r w:rsidRPr="00846769">
        <w:t>Response actions also need to consider the surrounding environment. Some high priority areas such as reserves, Sea Country, national parks</w:t>
      </w:r>
      <w:r w:rsidR="00930CCD" w:rsidRPr="00846769">
        <w:t>,</w:t>
      </w:r>
      <w:r w:rsidRPr="00846769">
        <w:t xml:space="preserve"> and Ramsar wetlands will need consideration as to what methods of management are most appropriate. Effective communication </w:t>
      </w:r>
      <w:r w:rsidR="00015D0A">
        <w:t>regarding</w:t>
      </w:r>
      <w:r w:rsidRPr="00846769">
        <w:t xml:space="preserve"> public access</w:t>
      </w:r>
      <w:r w:rsidR="00160093">
        <w:t xml:space="preserve"> to locations</w:t>
      </w:r>
      <w:r w:rsidRPr="00846769">
        <w:t xml:space="preserve">, including potential restrictions, </w:t>
      </w:r>
      <w:r w:rsidR="00160093">
        <w:t>and</w:t>
      </w:r>
      <w:r w:rsidRPr="00846769">
        <w:t xml:space="preserve"> when</w:t>
      </w:r>
      <w:r w:rsidR="00205FA3" w:rsidRPr="00846769">
        <w:t xml:space="preserve"> </w:t>
      </w:r>
      <w:r w:rsidR="00160093">
        <w:t xml:space="preserve">response </w:t>
      </w:r>
      <w:r w:rsidR="00205FA3" w:rsidRPr="00846769">
        <w:t>activities</w:t>
      </w:r>
      <w:r w:rsidRPr="00846769">
        <w:t xml:space="preserve"> will be completed is crucial.</w:t>
      </w:r>
    </w:p>
    <w:p w14:paraId="22FBD56B" w14:textId="3B5DA509" w:rsidR="006939E1" w:rsidRPr="00846769" w:rsidRDefault="00B5740F" w:rsidP="00A04E26">
      <w:pPr>
        <w:pStyle w:val="Heading2"/>
        <w:ind w:left="709" w:hanging="709"/>
      </w:pPr>
      <w:bookmarkStart w:id="86" w:name="_Toc68614584"/>
      <w:bookmarkStart w:id="87" w:name="_Toc69120155"/>
      <w:bookmarkStart w:id="88" w:name="_Toc68614585"/>
      <w:bookmarkStart w:id="89" w:name="_Toc69120156"/>
      <w:bookmarkStart w:id="90" w:name="_Toc68614586"/>
      <w:bookmarkStart w:id="91" w:name="_Toc69120157"/>
      <w:bookmarkStart w:id="92" w:name="_Toc68614587"/>
      <w:bookmarkStart w:id="93" w:name="_Toc69120158"/>
      <w:bookmarkStart w:id="94" w:name="_Toc68614588"/>
      <w:bookmarkStart w:id="95" w:name="_Toc69120159"/>
      <w:bookmarkStart w:id="96" w:name="_Toc68614589"/>
      <w:bookmarkStart w:id="97" w:name="_Toc69120160"/>
      <w:bookmarkStart w:id="98" w:name="_Toc68614590"/>
      <w:bookmarkStart w:id="99" w:name="_Toc69120161"/>
      <w:bookmarkStart w:id="100" w:name="_Toc68614591"/>
      <w:bookmarkStart w:id="101" w:name="_Toc69120162"/>
      <w:bookmarkStart w:id="102" w:name="_Toc68614592"/>
      <w:bookmarkStart w:id="103" w:name="_Toc69120163"/>
      <w:bookmarkStart w:id="104" w:name="_Toc68614593"/>
      <w:bookmarkStart w:id="105" w:name="_Toc69120164"/>
      <w:bookmarkStart w:id="106" w:name="_Toc68614594"/>
      <w:bookmarkStart w:id="107" w:name="_Toc69120165"/>
      <w:bookmarkStart w:id="108" w:name="_Toc68614595"/>
      <w:bookmarkStart w:id="109" w:name="_Toc69120166"/>
      <w:bookmarkStart w:id="110" w:name="_Toc68614596"/>
      <w:bookmarkStart w:id="111" w:name="_Toc69120167"/>
      <w:bookmarkStart w:id="112" w:name="_Toc68614597"/>
      <w:bookmarkStart w:id="113" w:name="_Toc69120168"/>
      <w:bookmarkStart w:id="114" w:name="_Toc68614598"/>
      <w:bookmarkStart w:id="115" w:name="_Toc69120169"/>
      <w:bookmarkStart w:id="116" w:name="_Toc68614599"/>
      <w:bookmarkStart w:id="117" w:name="_Toc69120170"/>
      <w:bookmarkStart w:id="118" w:name="_Toc68614600"/>
      <w:bookmarkStart w:id="119" w:name="_Toc69120171"/>
      <w:bookmarkStart w:id="120" w:name="_Toc68614601"/>
      <w:bookmarkStart w:id="121" w:name="_Toc69120172"/>
      <w:bookmarkStart w:id="122" w:name="_Toc68614602"/>
      <w:bookmarkStart w:id="123" w:name="_Toc69120173"/>
      <w:bookmarkStart w:id="124" w:name="_Toc68614603"/>
      <w:bookmarkStart w:id="125" w:name="_Toc69120174"/>
      <w:bookmarkStart w:id="126" w:name="_Toc68614604"/>
      <w:bookmarkStart w:id="127" w:name="_Toc69120175"/>
      <w:bookmarkStart w:id="128" w:name="_Toc68614605"/>
      <w:bookmarkStart w:id="129" w:name="_Toc69120176"/>
      <w:bookmarkStart w:id="130" w:name="_Toc68614606"/>
      <w:bookmarkStart w:id="131" w:name="_Toc69120177"/>
      <w:bookmarkStart w:id="132" w:name="_Toc68614607"/>
      <w:bookmarkStart w:id="133" w:name="_Toc69120178"/>
      <w:bookmarkStart w:id="134" w:name="_Toc68614608"/>
      <w:bookmarkStart w:id="135" w:name="_Toc69120179"/>
      <w:bookmarkStart w:id="136" w:name="_Toc68614609"/>
      <w:bookmarkStart w:id="137" w:name="_Toc69120180"/>
      <w:bookmarkStart w:id="138" w:name="_Toc68614610"/>
      <w:bookmarkStart w:id="139" w:name="_Toc69120181"/>
      <w:bookmarkStart w:id="140" w:name="_Toc68614611"/>
      <w:bookmarkStart w:id="141" w:name="_Toc69120182"/>
      <w:bookmarkStart w:id="142" w:name="_Toc68614612"/>
      <w:bookmarkStart w:id="143" w:name="_Toc69120183"/>
      <w:bookmarkStart w:id="144" w:name="_Toc68614613"/>
      <w:bookmarkStart w:id="145" w:name="_Toc69120184"/>
      <w:bookmarkStart w:id="146" w:name="_Toc68614614"/>
      <w:bookmarkStart w:id="147" w:name="_Toc69120185"/>
      <w:bookmarkStart w:id="148" w:name="_Toc68614615"/>
      <w:bookmarkStart w:id="149" w:name="_Toc69120186"/>
      <w:bookmarkStart w:id="150" w:name="_Toc68614616"/>
      <w:bookmarkStart w:id="151" w:name="_Toc69120187"/>
      <w:bookmarkStart w:id="152" w:name="_Toc68614617"/>
      <w:bookmarkStart w:id="153" w:name="_Toc69120188"/>
      <w:bookmarkStart w:id="154" w:name="_Toc68614618"/>
      <w:bookmarkStart w:id="155" w:name="_Toc69120189"/>
      <w:bookmarkStart w:id="156" w:name="_Toc68614619"/>
      <w:bookmarkStart w:id="157" w:name="_Toc69120190"/>
      <w:bookmarkStart w:id="158" w:name="_Toc68614620"/>
      <w:bookmarkStart w:id="159" w:name="_Toc69120191"/>
      <w:bookmarkStart w:id="160" w:name="_Toc68614621"/>
      <w:bookmarkStart w:id="161" w:name="_Toc69120192"/>
      <w:bookmarkStart w:id="162" w:name="_Toc68614622"/>
      <w:bookmarkStart w:id="163" w:name="_Toc69120193"/>
      <w:bookmarkStart w:id="164" w:name="_Toc68614623"/>
      <w:bookmarkStart w:id="165" w:name="_Toc69120194"/>
      <w:bookmarkStart w:id="166" w:name="_Toc68614624"/>
      <w:bookmarkStart w:id="167" w:name="_Toc69120195"/>
      <w:bookmarkStart w:id="168" w:name="_Toc68614625"/>
      <w:bookmarkStart w:id="169" w:name="_Toc69120196"/>
      <w:bookmarkStart w:id="170" w:name="_Toc68614626"/>
      <w:bookmarkStart w:id="171" w:name="_Toc69120197"/>
      <w:bookmarkStart w:id="172" w:name="_Toc68614627"/>
      <w:bookmarkStart w:id="173" w:name="_Toc69120198"/>
      <w:bookmarkStart w:id="174" w:name="_Toc68614628"/>
      <w:bookmarkStart w:id="175" w:name="_Toc69120199"/>
      <w:bookmarkStart w:id="176" w:name="_Toc68614629"/>
      <w:bookmarkStart w:id="177" w:name="_Toc69120200"/>
      <w:bookmarkStart w:id="178" w:name="_Toc68614630"/>
      <w:bookmarkStart w:id="179" w:name="_Toc69120201"/>
      <w:bookmarkStart w:id="180" w:name="_Toc68614631"/>
      <w:bookmarkStart w:id="181" w:name="_Toc69120202"/>
      <w:bookmarkStart w:id="182" w:name="_Toc68614632"/>
      <w:bookmarkStart w:id="183" w:name="_Toc69120203"/>
      <w:bookmarkStart w:id="184" w:name="_Toc68614633"/>
      <w:bookmarkStart w:id="185" w:name="_Toc69120204"/>
      <w:bookmarkStart w:id="186" w:name="_Toc68614634"/>
      <w:bookmarkStart w:id="187" w:name="_Toc69120205"/>
      <w:bookmarkStart w:id="188" w:name="_Toc68614635"/>
      <w:bookmarkStart w:id="189" w:name="_Toc69120206"/>
      <w:bookmarkStart w:id="190" w:name="_Toc68614636"/>
      <w:bookmarkStart w:id="191" w:name="_Toc69120207"/>
      <w:bookmarkStart w:id="192" w:name="_Toc68614637"/>
      <w:bookmarkStart w:id="193" w:name="_Toc69120208"/>
      <w:bookmarkStart w:id="194" w:name="_Toc68614638"/>
      <w:bookmarkStart w:id="195" w:name="_Toc69120209"/>
      <w:bookmarkStart w:id="196" w:name="_Toc68614639"/>
      <w:bookmarkStart w:id="197" w:name="_Toc69120210"/>
      <w:bookmarkStart w:id="198" w:name="_Toc68614640"/>
      <w:bookmarkStart w:id="199" w:name="_Toc69120211"/>
      <w:bookmarkStart w:id="200" w:name="_Toc68614641"/>
      <w:bookmarkStart w:id="201" w:name="_Toc69120212"/>
      <w:bookmarkStart w:id="202" w:name="_Toc68614642"/>
      <w:bookmarkStart w:id="203" w:name="_Toc69120213"/>
      <w:bookmarkStart w:id="204" w:name="_Toc68614643"/>
      <w:bookmarkStart w:id="205" w:name="_Toc69120214"/>
      <w:bookmarkStart w:id="206" w:name="_Toc68614644"/>
      <w:bookmarkStart w:id="207" w:name="_Toc69120215"/>
      <w:bookmarkStart w:id="208" w:name="_Toc68614645"/>
      <w:bookmarkStart w:id="209" w:name="_Toc69120216"/>
      <w:bookmarkStart w:id="210" w:name="_Toc68614646"/>
      <w:bookmarkStart w:id="211" w:name="_Toc69120217"/>
      <w:bookmarkStart w:id="212" w:name="_Toc68614647"/>
      <w:bookmarkStart w:id="213" w:name="_Toc69120218"/>
      <w:bookmarkStart w:id="214" w:name="_Toc68614648"/>
      <w:bookmarkStart w:id="215" w:name="_Toc69120219"/>
      <w:bookmarkStart w:id="216" w:name="_Toc68614649"/>
      <w:bookmarkStart w:id="217" w:name="_Toc69120220"/>
      <w:bookmarkStart w:id="218" w:name="_Toc68614650"/>
      <w:bookmarkStart w:id="219" w:name="_Toc69120221"/>
      <w:bookmarkStart w:id="220" w:name="_Toc68614651"/>
      <w:bookmarkStart w:id="221" w:name="_Toc69120222"/>
      <w:bookmarkStart w:id="222" w:name="_Toc68614652"/>
      <w:bookmarkStart w:id="223" w:name="_Toc69120223"/>
      <w:bookmarkStart w:id="224" w:name="_Toc68614653"/>
      <w:bookmarkStart w:id="225" w:name="_Toc69120224"/>
      <w:bookmarkStart w:id="226" w:name="_Toc68614654"/>
      <w:bookmarkStart w:id="227" w:name="_Toc69120225"/>
      <w:bookmarkStart w:id="228" w:name="_Toc68614655"/>
      <w:bookmarkStart w:id="229" w:name="_Toc69120226"/>
      <w:bookmarkStart w:id="230" w:name="_Toc68614656"/>
      <w:bookmarkStart w:id="231" w:name="_Toc69120227"/>
      <w:bookmarkStart w:id="232" w:name="_Toc68614657"/>
      <w:bookmarkStart w:id="233" w:name="_Toc69120228"/>
      <w:bookmarkStart w:id="234" w:name="_Toc68614658"/>
      <w:bookmarkStart w:id="235" w:name="_Toc69120229"/>
      <w:bookmarkStart w:id="236" w:name="_Toc68614659"/>
      <w:bookmarkStart w:id="237" w:name="_Toc69120230"/>
      <w:bookmarkStart w:id="238" w:name="_Toc68614660"/>
      <w:bookmarkStart w:id="239" w:name="_Toc69120231"/>
      <w:bookmarkStart w:id="240" w:name="_Toc68614661"/>
      <w:bookmarkStart w:id="241" w:name="_Toc69120232"/>
      <w:bookmarkStart w:id="242" w:name="_Toc68614662"/>
      <w:bookmarkStart w:id="243" w:name="_Toc69120233"/>
      <w:bookmarkStart w:id="244" w:name="_Toc68614663"/>
      <w:bookmarkStart w:id="245" w:name="_Toc69120234"/>
      <w:bookmarkStart w:id="246" w:name="_Toc68614664"/>
      <w:bookmarkStart w:id="247" w:name="_Toc69120235"/>
      <w:bookmarkStart w:id="248" w:name="_Toc68614665"/>
      <w:bookmarkStart w:id="249" w:name="_Toc69120236"/>
      <w:bookmarkStart w:id="250" w:name="_Toc68614666"/>
      <w:bookmarkStart w:id="251" w:name="_Toc69120237"/>
      <w:bookmarkStart w:id="252" w:name="_Toc68614667"/>
      <w:bookmarkStart w:id="253" w:name="_Toc69120238"/>
      <w:bookmarkStart w:id="254" w:name="_Toc68614668"/>
      <w:bookmarkStart w:id="255" w:name="_Toc69120239"/>
      <w:bookmarkStart w:id="256" w:name="_Toc68614669"/>
      <w:bookmarkStart w:id="257" w:name="_Toc69120240"/>
      <w:bookmarkStart w:id="258" w:name="_Toc68614670"/>
      <w:bookmarkStart w:id="259" w:name="_Toc69120241"/>
      <w:bookmarkStart w:id="260" w:name="_Toc68614671"/>
      <w:bookmarkStart w:id="261" w:name="_Toc69120242"/>
      <w:bookmarkStart w:id="262" w:name="_Toc68614672"/>
      <w:bookmarkStart w:id="263" w:name="_Toc69120243"/>
      <w:bookmarkStart w:id="264" w:name="_Toc68614673"/>
      <w:bookmarkStart w:id="265" w:name="_Toc69120244"/>
      <w:bookmarkStart w:id="266" w:name="_Toc68614674"/>
      <w:bookmarkStart w:id="267" w:name="_Toc69120245"/>
      <w:bookmarkStart w:id="268" w:name="_Toc68614675"/>
      <w:bookmarkStart w:id="269" w:name="_Toc69120246"/>
      <w:bookmarkStart w:id="270" w:name="_Toc68614676"/>
      <w:bookmarkStart w:id="271" w:name="_Toc69120247"/>
      <w:bookmarkStart w:id="272" w:name="_Toc68614677"/>
      <w:bookmarkStart w:id="273" w:name="_Toc69120248"/>
      <w:bookmarkStart w:id="274" w:name="_Toc68614678"/>
      <w:bookmarkStart w:id="275" w:name="_Toc69120249"/>
      <w:bookmarkStart w:id="276" w:name="_Toc68614679"/>
      <w:bookmarkStart w:id="277" w:name="_Toc69120250"/>
      <w:bookmarkStart w:id="278" w:name="_Toc68614680"/>
      <w:bookmarkStart w:id="279" w:name="_Toc69120251"/>
      <w:bookmarkStart w:id="280" w:name="_Toc68614681"/>
      <w:bookmarkStart w:id="281" w:name="_Toc69120252"/>
      <w:bookmarkStart w:id="282" w:name="_Toc68614682"/>
      <w:bookmarkStart w:id="283" w:name="_Toc69120253"/>
      <w:bookmarkStart w:id="284" w:name="_Toc68614683"/>
      <w:bookmarkStart w:id="285" w:name="_Toc69120254"/>
      <w:bookmarkStart w:id="286" w:name="_Pest_pathways_and"/>
      <w:bookmarkStart w:id="287" w:name="_Pathways_and_vectors"/>
      <w:bookmarkStart w:id="288" w:name="_Toc43120301"/>
      <w:bookmarkStart w:id="289" w:name="_Ref56088912"/>
      <w:bookmarkStart w:id="290" w:name="_Ref64444507"/>
      <w:bookmarkStart w:id="291" w:name="_Toc87599095"/>
      <w:bookmarkStart w:id="292" w:name="_Toc19199865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846769">
        <w:lastRenderedPageBreak/>
        <w:t>Pathways and vectors</w:t>
      </w:r>
      <w:bookmarkEnd w:id="288"/>
      <w:bookmarkEnd w:id="289"/>
      <w:bookmarkEnd w:id="290"/>
      <w:bookmarkEnd w:id="291"/>
      <w:r w:rsidR="0057383C" w:rsidRPr="00846769">
        <w:t xml:space="preserve"> of introduction and spread</w:t>
      </w:r>
      <w:bookmarkEnd w:id="292"/>
    </w:p>
    <w:p w14:paraId="1832396B" w14:textId="48AF58FD" w:rsidR="00ED22B7" w:rsidRPr="006A1811" w:rsidRDefault="00ED22B7" w:rsidP="00BF317B">
      <w:pPr>
        <w:rPr>
          <w:rFonts w:cstheme="minorHAnsi"/>
        </w:rPr>
      </w:pPr>
      <w:bookmarkStart w:id="293" w:name="_Hlk170686988"/>
      <w:r w:rsidRPr="00846769">
        <w:rPr>
          <w:rFonts w:cstheme="minorHAnsi"/>
        </w:rPr>
        <w:t>Introduction pathways for marine pests can be either primary or secondary. A primary pathway moves species to new regions across biogeographic barriers, whereas a secondary pathway is the spread and dispersal of introduced species between points within or between neighbouring regions (</w:t>
      </w:r>
      <w:r w:rsidRPr="006A1811">
        <w:rPr>
          <w:rFonts w:cstheme="minorHAnsi"/>
        </w:rPr>
        <w:t xml:space="preserve">Harrower et al. 2018). </w:t>
      </w:r>
      <w:r w:rsidRPr="006A1811">
        <w:t>Once introduced into Australia, marine pests may subsequently spread to new locations by various vectors. Vectors are the physical means, agent, or mechanism that facilitates the transfer of organisms, or their propagules, from one place to another</w:t>
      </w:r>
      <w:r w:rsidR="00160093" w:rsidRPr="006A1811">
        <w:t>.</w:t>
      </w:r>
    </w:p>
    <w:p w14:paraId="47B3E6AC" w14:textId="78B07E02" w:rsidR="00C0239D" w:rsidRPr="006A1811" w:rsidRDefault="00C0239D" w:rsidP="00C0239D">
      <w:pPr>
        <w:keepNext/>
        <w:rPr>
          <w:lang w:eastAsia="ja-JP"/>
        </w:rPr>
      </w:pPr>
      <w:r w:rsidRPr="006A1811">
        <w:rPr>
          <w:rFonts w:cstheme="minorHAnsi"/>
        </w:rPr>
        <w:t xml:space="preserve">Details of pathways and vectors for the introduction and spread of </w:t>
      </w:r>
      <w:r w:rsidR="00930CCD" w:rsidRPr="006A1811">
        <w:rPr>
          <w:rFonts w:cstheme="minorHAnsi"/>
        </w:rPr>
        <w:t>invasive marine bivalves to and</w:t>
      </w:r>
      <w:r w:rsidRPr="006A1811">
        <w:rPr>
          <w:rFonts w:cstheme="minorHAnsi"/>
        </w:rPr>
        <w:t xml:space="preserve"> </w:t>
      </w:r>
      <w:r w:rsidR="00930CCD" w:rsidRPr="006A1811">
        <w:rPr>
          <w:rFonts w:cstheme="minorHAnsi"/>
        </w:rPr>
        <w:t>throughout</w:t>
      </w:r>
      <w:r w:rsidRPr="006A1811">
        <w:rPr>
          <w:rFonts w:cstheme="minorHAnsi"/>
        </w:rPr>
        <w:t xml:space="preserve"> Australia are provided in this section. </w:t>
      </w:r>
      <w:r w:rsidR="003B3CB7" w:rsidRPr="006A1811">
        <w:rPr>
          <w:lang w:eastAsia="ja-JP"/>
        </w:rPr>
        <w:t>Vectors considered to have the highest risk of introducing invasive marine bivalves to Australian waters are:</w:t>
      </w:r>
    </w:p>
    <w:p w14:paraId="5BA52362" w14:textId="09F5CA97" w:rsidR="00C0239D" w:rsidRPr="006A1811" w:rsidRDefault="00C0239D" w:rsidP="00C0239D">
      <w:pPr>
        <w:pStyle w:val="ListBullet"/>
      </w:pPr>
      <w:r w:rsidRPr="006A1811">
        <w:t xml:space="preserve">transport of biofouling on </w:t>
      </w:r>
      <w:r w:rsidR="006A63DA" w:rsidRPr="006A1811">
        <w:t xml:space="preserve">seagoing vessels </w:t>
      </w:r>
      <w:r w:rsidRPr="006A1811">
        <w:t xml:space="preserve">and other maritime infrastructure </w:t>
      </w:r>
    </w:p>
    <w:p w14:paraId="694B4AB4" w14:textId="77777777" w:rsidR="00C0239D" w:rsidRPr="006A1811" w:rsidRDefault="00C0239D" w:rsidP="00C0239D">
      <w:pPr>
        <w:pStyle w:val="ListBullet"/>
        <w:rPr>
          <w:lang w:eastAsia="ja-JP"/>
        </w:rPr>
      </w:pPr>
      <w:r w:rsidRPr="006A1811">
        <w:t>discharge of ballast water.</w:t>
      </w:r>
    </w:p>
    <w:p w14:paraId="087DCF02" w14:textId="5CC4259D" w:rsidR="00C0239D" w:rsidRPr="006A1811" w:rsidRDefault="003B3CB7" w:rsidP="00C0239D">
      <w:pPr>
        <w:rPr>
          <w:lang w:eastAsia="ja-JP"/>
        </w:rPr>
      </w:pPr>
      <w:r w:rsidRPr="006A1811">
        <w:rPr>
          <w:lang w:eastAsia="ja-JP"/>
        </w:rPr>
        <w:t>Invasive marine</w:t>
      </w:r>
      <w:r w:rsidR="00C0239D" w:rsidRPr="006A1811">
        <w:rPr>
          <w:lang w:eastAsia="ja-JP"/>
        </w:rPr>
        <w:t xml:space="preserve"> bivalves can also be introduced and spread by:</w:t>
      </w:r>
    </w:p>
    <w:p w14:paraId="5D7B3D9E" w14:textId="5AAB98C3" w:rsidR="00C0239D" w:rsidRPr="006A1811" w:rsidRDefault="00C0239D" w:rsidP="00C0239D">
      <w:pPr>
        <w:pStyle w:val="ListBullet"/>
        <w:rPr>
          <w:lang w:eastAsia="ja-JP"/>
        </w:rPr>
      </w:pPr>
      <w:r w:rsidRPr="006A1811">
        <w:rPr>
          <w:lang w:eastAsia="ja-JP"/>
        </w:rPr>
        <w:t>fisheries, aquaculture, and the ornamental trade</w:t>
      </w:r>
      <w:r w:rsidR="009F716D" w:rsidRPr="006A1811">
        <w:rPr>
          <w:lang w:eastAsia="ja-JP"/>
        </w:rPr>
        <w:t xml:space="preserve"> (deliberate or accidental)</w:t>
      </w:r>
    </w:p>
    <w:p w14:paraId="1E31281A" w14:textId="22FDE23F" w:rsidR="00160093" w:rsidRPr="006A1811" w:rsidRDefault="00015D0A" w:rsidP="00E96A4C">
      <w:pPr>
        <w:pStyle w:val="ListBullet"/>
        <w:rPr>
          <w:lang w:eastAsia="ja-JP"/>
        </w:rPr>
      </w:pPr>
      <w:r w:rsidRPr="006A1811">
        <w:rPr>
          <w:lang w:eastAsia="ja-JP"/>
        </w:rPr>
        <w:t xml:space="preserve">transport </w:t>
      </w:r>
      <w:r w:rsidR="00E96A4C" w:rsidRPr="006A1811">
        <w:rPr>
          <w:lang w:eastAsia="ja-JP"/>
        </w:rPr>
        <w:t>via recreational vessels and</w:t>
      </w:r>
      <w:r w:rsidRPr="006A1811">
        <w:rPr>
          <w:lang w:eastAsia="ja-JP"/>
        </w:rPr>
        <w:t xml:space="preserve"> bilge water</w:t>
      </w:r>
      <w:r w:rsidR="00160093" w:rsidRPr="006A1811">
        <w:rPr>
          <w:lang w:eastAsia="ja-JP"/>
        </w:rPr>
        <w:t xml:space="preserve"> </w:t>
      </w:r>
      <w:r w:rsidR="00E96A4C" w:rsidRPr="006A1811">
        <w:rPr>
          <w:lang w:eastAsia="ja-JP"/>
        </w:rPr>
        <w:t>(</w:t>
      </w:r>
      <w:bookmarkStart w:id="294" w:name="_Hlk187269243"/>
      <w:r w:rsidR="00E96A4C" w:rsidRPr="006A1811">
        <w:rPr>
          <w:lang w:eastAsia="ja-JP"/>
        </w:rPr>
        <w:t>Fletcher et al. 2017; Fletcher et al. 2021</w:t>
      </w:r>
      <w:bookmarkEnd w:id="294"/>
      <w:r w:rsidR="00E96A4C" w:rsidRPr="006A1811">
        <w:rPr>
          <w:lang w:eastAsia="ja-JP"/>
        </w:rPr>
        <w:t>)</w:t>
      </w:r>
    </w:p>
    <w:p w14:paraId="5BF7B196" w14:textId="56B43880" w:rsidR="00C0239D" w:rsidRPr="00846769" w:rsidRDefault="00C0239D" w:rsidP="00C0239D">
      <w:pPr>
        <w:pStyle w:val="ListBullet"/>
        <w:rPr>
          <w:lang w:eastAsia="ja-JP"/>
        </w:rPr>
      </w:pPr>
      <w:r w:rsidRPr="00846769">
        <w:rPr>
          <w:lang w:eastAsia="ja-JP"/>
        </w:rPr>
        <w:t>natural dispersal (</w:t>
      </w:r>
      <w:r w:rsidR="0004422F">
        <w:rPr>
          <w:lang w:eastAsia="ja-JP"/>
        </w:rPr>
        <w:t>e.g.</w:t>
      </w:r>
      <w:r w:rsidR="009F716D" w:rsidRPr="00846769">
        <w:rPr>
          <w:lang w:eastAsia="ja-JP"/>
        </w:rPr>
        <w:t xml:space="preserve"> ocean</w:t>
      </w:r>
      <w:r w:rsidRPr="00846769">
        <w:rPr>
          <w:lang w:eastAsia="ja-JP"/>
        </w:rPr>
        <w:t xml:space="preserve"> currents</w:t>
      </w:r>
      <w:bookmarkEnd w:id="293"/>
      <w:r w:rsidRPr="00846769">
        <w:rPr>
          <w:lang w:eastAsia="ja-JP"/>
        </w:rPr>
        <w:t>)</w:t>
      </w:r>
    </w:p>
    <w:p w14:paraId="3D46478C" w14:textId="773CE615" w:rsidR="00C0239D" w:rsidRPr="00846769" w:rsidRDefault="00C0239D" w:rsidP="00BF317B">
      <w:pPr>
        <w:pStyle w:val="ListBullet"/>
        <w:rPr>
          <w:lang w:eastAsia="ja-JP"/>
        </w:rPr>
      </w:pPr>
      <w:r w:rsidRPr="00846769">
        <w:rPr>
          <w:lang w:eastAsia="ja-JP"/>
        </w:rPr>
        <w:t>debris and flotsam.</w:t>
      </w:r>
    </w:p>
    <w:p w14:paraId="4DD5359D" w14:textId="7E0B217B" w:rsidR="00CC2DEE" w:rsidRPr="00846769" w:rsidRDefault="000144F5" w:rsidP="00CC2DEE">
      <w:pPr>
        <w:pStyle w:val="ListBullet"/>
        <w:numPr>
          <w:ilvl w:val="0"/>
          <w:numId w:val="0"/>
        </w:numPr>
      </w:pPr>
      <w:r>
        <w:rPr>
          <w:highlight w:val="yellow"/>
        </w:rPr>
        <w:fldChar w:fldCharType="begin"/>
      </w:r>
      <w:r>
        <w:rPr>
          <w:highlight w:val="yellow"/>
        </w:rPr>
        <w:instrText xml:space="preserve"> REF _Ref187269939 \h </w:instrText>
      </w:r>
      <w:r>
        <w:rPr>
          <w:highlight w:val="yellow"/>
        </w:rPr>
      </w:r>
      <w:r>
        <w:rPr>
          <w:highlight w:val="yellow"/>
        </w:rPr>
        <w:fldChar w:fldCharType="separate"/>
      </w:r>
      <w:r w:rsidRPr="00846769">
        <w:t>Table 2</w:t>
      </w:r>
      <w:r>
        <w:rPr>
          <w:highlight w:val="yellow"/>
        </w:rPr>
        <w:fldChar w:fldCharType="end"/>
      </w:r>
      <w:r w:rsidR="009F716D" w:rsidRPr="00846769">
        <w:t xml:space="preserve"> </w:t>
      </w:r>
      <w:r w:rsidR="00CC2DEE" w:rsidRPr="00846769">
        <w:t>presents a summary of known pathways and vectors for</w:t>
      </w:r>
      <w:r w:rsidR="007E5089" w:rsidRPr="00846769">
        <w:t xml:space="preserve"> introduction and translocation</w:t>
      </w:r>
      <w:r w:rsidR="00CC2DEE" w:rsidRPr="00846769">
        <w:t xml:space="preserve"> </w:t>
      </w:r>
      <w:r w:rsidR="007E5089" w:rsidRPr="00846769">
        <w:t xml:space="preserve">of </w:t>
      </w:r>
      <w:r w:rsidR="00CC2DEE" w:rsidRPr="00846769">
        <w:t xml:space="preserve">invasive marine bivalves to Australia. These same </w:t>
      </w:r>
      <w:r w:rsidR="00E51A4A" w:rsidRPr="00846769">
        <w:t>pathways and vectors</w:t>
      </w:r>
      <w:r w:rsidR="00CC2DEE" w:rsidRPr="00846769">
        <w:t xml:space="preserve"> for introductions are likely modes of transport for other bivalve species</w:t>
      </w:r>
      <w:r w:rsidR="007E5089" w:rsidRPr="00846769">
        <w:t xml:space="preserve"> not included in this manual</w:t>
      </w:r>
      <w:r w:rsidR="00CC2DEE" w:rsidRPr="00846769">
        <w:t xml:space="preserve">. </w:t>
      </w:r>
    </w:p>
    <w:p w14:paraId="06A29FFB" w14:textId="6A39158A" w:rsidR="007E5089" w:rsidRPr="00846769" w:rsidRDefault="007E5089" w:rsidP="007E5089">
      <w:pPr>
        <w:rPr>
          <w:lang w:eastAsia="ja-JP"/>
        </w:rPr>
      </w:pPr>
      <w:r w:rsidRPr="00846769">
        <w:rPr>
          <w:lang w:eastAsia="ja-JP"/>
        </w:rPr>
        <w:t xml:space="preserve">Bivalves can be transported over large distances and introduced into new areas as larval stages or as adults. </w:t>
      </w:r>
      <w:r w:rsidR="006A63DA" w:rsidRPr="17A389D9">
        <w:rPr>
          <w:lang w:eastAsia="ja-JP"/>
        </w:rPr>
        <w:t xml:space="preserve">It </w:t>
      </w:r>
      <w:r w:rsidR="000144F5">
        <w:rPr>
          <w:lang w:eastAsia="ja-JP"/>
        </w:rPr>
        <w:t>is often unclear</w:t>
      </w:r>
      <w:r w:rsidR="006A63DA" w:rsidRPr="17A389D9">
        <w:rPr>
          <w:lang w:eastAsia="ja-JP"/>
        </w:rPr>
        <w:t xml:space="preserve"> </w:t>
      </w:r>
      <w:r w:rsidRPr="00846769">
        <w:rPr>
          <w:lang w:eastAsia="ja-JP"/>
        </w:rPr>
        <w:t xml:space="preserve">what the specific vector is for introduction unless the bivalve was directly observed being introduced by the vector. Biofouling is a common pathway for introduction and bivalves are often observed attached to hull surfaces and niche areas during vessel inspections or other underwater activities. </w:t>
      </w:r>
    </w:p>
    <w:p w14:paraId="7379AC35" w14:textId="15D675BE" w:rsidR="006A63DA" w:rsidRPr="00846769" w:rsidRDefault="006A63DA" w:rsidP="006A63DA">
      <w:r>
        <w:t>The</w:t>
      </w:r>
      <w:r w:rsidRPr="00846769">
        <w:t xml:space="preserve"> </w:t>
      </w:r>
      <w:r>
        <w:t xml:space="preserve">most common vectors for </w:t>
      </w:r>
      <w:r w:rsidRPr="00846769">
        <w:t xml:space="preserve">transporting invasive </w:t>
      </w:r>
      <w:r>
        <w:t xml:space="preserve">marine bivalves are biofouling and ballast water associated with vessel movements. </w:t>
      </w:r>
      <w:r w:rsidRPr="00846769">
        <w:t>Vessels that may be at port for prolonged periods are susceptible to fouling organisms, and bivalves such as</w:t>
      </w:r>
      <w:r>
        <w:t xml:space="preserve"> </w:t>
      </w:r>
      <w:r w:rsidRPr="5285F9FC">
        <w:rPr>
          <w:i/>
          <w:iCs/>
        </w:rPr>
        <w:t xml:space="preserve">Perna </w:t>
      </w:r>
      <w:r>
        <w:t xml:space="preserve">spp. </w:t>
      </w:r>
      <w:r w:rsidRPr="00846769">
        <w:t xml:space="preserve">are frequently found on vessel hulls and niches. </w:t>
      </w:r>
      <w:r w:rsidR="000144F5">
        <w:t xml:space="preserve">Both commercial and recreational vessels can transport invasive marine bivalves.  </w:t>
      </w:r>
    </w:p>
    <w:p w14:paraId="27E00F04" w14:textId="0D17380D" w:rsidR="007E5089" w:rsidRPr="00846769" w:rsidRDefault="007E5089" w:rsidP="007E5089">
      <w:r w:rsidRPr="00846769">
        <w:t xml:space="preserve">Bivalves are an important food source and form substantial aquaculture industries </w:t>
      </w:r>
      <w:r w:rsidR="00E51A4A" w:rsidRPr="00846769">
        <w:t>globally</w:t>
      </w:r>
      <w:r w:rsidRPr="00846769">
        <w:t xml:space="preserve">. There are numerous historical reports of intentional introductions of invasive marine bivalves for the purposes of establishing aquaculture for human consumption. </w:t>
      </w:r>
      <w:r w:rsidR="003B3CB7" w:rsidRPr="00846769">
        <w:t xml:space="preserve">Today, deliberate introductions of bivalves to establish aquaculture </w:t>
      </w:r>
      <w:r w:rsidRPr="00846769">
        <w:t xml:space="preserve">is </w:t>
      </w:r>
      <w:r w:rsidR="003B3CB7" w:rsidRPr="00846769">
        <w:t>unlikely</w:t>
      </w:r>
      <w:r w:rsidRPr="00846769">
        <w:t xml:space="preserve"> to be an important pathway into Australia because of </w:t>
      </w:r>
      <w:hyperlink r:id="rId87" w:history="1">
        <w:r w:rsidR="00287F50" w:rsidRPr="00287F50">
          <w:rPr>
            <w:rStyle w:val="Hyperlink"/>
          </w:rPr>
          <w:t>strict import requirements for bivalves and bivalve products</w:t>
        </w:r>
      </w:hyperlink>
      <w:r w:rsidR="00287F50" w:rsidRPr="00846769">
        <w:t>.</w:t>
      </w:r>
      <w:r w:rsidR="003B3CB7" w:rsidRPr="00846769">
        <w:t xml:space="preserve"> </w:t>
      </w:r>
      <w:r w:rsidR="006A63DA" w:rsidRPr="00846769">
        <w:t>However</w:t>
      </w:r>
      <w:r w:rsidR="006A63DA">
        <w:t>,</w:t>
      </w:r>
      <w:r w:rsidR="000144F5">
        <w:t xml:space="preserve"> for invasive</w:t>
      </w:r>
      <w:r w:rsidR="0068745D">
        <w:t xml:space="preserve"> marine</w:t>
      </w:r>
      <w:r w:rsidR="000144F5">
        <w:t xml:space="preserve"> bivalves </w:t>
      </w:r>
      <w:r w:rsidR="000144F5">
        <w:lastRenderedPageBreak/>
        <w:t>already established in Australia,</w:t>
      </w:r>
      <w:r w:rsidR="006A63DA">
        <w:t xml:space="preserve"> </w:t>
      </w:r>
      <w:r w:rsidR="000144F5">
        <w:t>deliberate movements of these bivalves for fisheries or aquaculture</w:t>
      </w:r>
      <w:r w:rsidR="0068745D">
        <w:t xml:space="preserve"> purposes </w:t>
      </w:r>
      <w:r w:rsidR="000144F5">
        <w:t xml:space="preserve">may </w:t>
      </w:r>
      <w:r w:rsidR="0027499C">
        <w:t xml:space="preserve">cause </w:t>
      </w:r>
      <w:r w:rsidR="000144F5">
        <w:t>secondary spread</w:t>
      </w:r>
      <w:r w:rsidR="006A63DA">
        <w:t xml:space="preserve">. </w:t>
      </w:r>
    </w:p>
    <w:p w14:paraId="74EB80C8" w14:textId="1777721A" w:rsidR="00E51A4A" w:rsidRPr="006A1811" w:rsidRDefault="007E5089" w:rsidP="00E51A4A">
      <w:r w:rsidRPr="00846769">
        <w:t xml:space="preserve">Other pathways include natural dispersal of larvae </w:t>
      </w:r>
      <w:r w:rsidR="0068745D">
        <w:t xml:space="preserve">in ocean currents </w:t>
      </w:r>
      <w:r w:rsidRPr="00846769">
        <w:t xml:space="preserve">or passive dispersal via fouled debris and flotsam. These vectors are less likely to introduce marine bivalves into Australia </w:t>
      </w:r>
      <w:r w:rsidR="006A63DA">
        <w:t xml:space="preserve">because Australia </w:t>
      </w:r>
      <w:proofErr w:type="gramStart"/>
      <w:r w:rsidR="006A63DA">
        <w:t xml:space="preserve">is </w:t>
      </w:r>
      <w:r w:rsidR="0068745D">
        <w:t>considered to be</w:t>
      </w:r>
      <w:proofErr w:type="gramEnd"/>
      <w:r w:rsidR="0068745D">
        <w:t xml:space="preserve"> </w:t>
      </w:r>
      <w:r w:rsidR="006A63DA">
        <w:t>geographically isolated</w:t>
      </w:r>
      <w:r w:rsidRPr="00846769">
        <w:t xml:space="preserve">, restricting natural dispersal events. However, </w:t>
      </w:r>
      <w:r w:rsidR="0068745D">
        <w:t xml:space="preserve">parts of northern Australia are susceptible to marine debris from </w:t>
      </w:r>
      <w:r w:rsidR="0068745D" w:rsidRPr="006A1811">
        <w:t>southeast Asia (Wilcox et al. 2015), which can have fouling bivalves attached (</w:t>
      </w:r>
      <w:proofErr w:type="spellStart"/>
      <w:r w:rsidR="0068745D" w:rsidRPr="006A1811">
        <w:t>P</w:t>
      </w:r>
      <w:r w:rsidR="0068745D" w:rsidRPr="006A1811">
        <w:rPr>
          <w:rFonts w:cstheme="minorHAnsi"/>
        </w:rPr>
        <w:t>ó</w:t>
      </w:r>
      <w:r w:rsidR="0068745D" w:rsidRPr="006A1811">
        <w:t>voa</w:t>
      </w:r>
      <w:proofErr w:type="spellEnd"/>
      <w:r w:rsidR="0068745D" w:rsidRPr="006A1811">
        <w:t xml:space="preserve"> et al. 2021). N</w:t>
      </w:r>
      <w:r w:rsidRPr="006A1811">
        <w:t>atural dispersal and marine debris can facilitate secondary spread at localised scales (</w:t>
      </w:r>
      <w:r w:rsidR="0004422F" w:rsidRPr="006A1811">
        <w:t>i.e.</w:t>
      </w:r>
      <w:r w:rsidRPr="006A1811">
        <w:t xml:space="preserve"> within an embayment, estuary, or marina)</w:t>
      </w:r>
      <w:r w:rsidR="0068745D" w:rsidRPr="006A1811">
        <w:t xml:space="preserve">. </w:t>
      </w:r>
      <w:r w:rsidR="003B3CB7" w:rsidRPr="006A1811">
        <w:t xml:space="preserve">Recreational vessels travelling between marinas at localised scales may also be a source of secondary spread. </w:t>
      </w:r>
    </w:p>
    <w:p w14:paraId="25B20303" w14:textId="585561C0" w:rsidR="00E51A4A" w:rsidRPr="00846769" w:rsidRDefault="00E51A4A" w:rsidP="00E51A4A">
      <w:r w:rsidRPr="006A1811">
        <w:t>Once introduced into Australia</w:t>
      </w:r>
      <w:r w:rsidR="0068745D" w:rsidRPr="006A1811">
        <w:t xml:space="preserve"> via a primary pathway</w:t>
      </w:r>
      <w:r w:rsidRPr="006A1811">
        <w:t>, invasive marine bivalves may subsequently spread to new locations</w:t>
      </w:r>
      <w:r w:rsidR="0068745D" w:rsidRPr="006A1811">
        <w:t xml:space="preserve"> within Australia</w:t>
      </w:r>
      <w:r w:rsidRPr="006A1811">
        <w:t xml:space="preserve"> by the same vectors that introduced them, or another secondary pathway. </w:t>
      </w:r>
      <w:r w:rsidRPr="006A1811">
        <w:rPr>
          <w:rFonts w:cstheme="minorHAnsi"/>
        </w:rPr>
        <w:t>DNA sequencing of invasive bivalves can enable the provenance or potential source location to be more easily identified (Dias et al. 2018).</w:t>
      </w:r>
      <w:r w:rsidRPr="00846769">
        <w:rPr>
          <w:rFonts w:cstheme="minorHAnsi"/>
        </w:rPr>
        <w:t xml:space="preserve"> </w:t>
      </w:r>
    </w:p>
    <w:p w14:paraId="392A4FB3" w14:textId="400E91FE" w:rsidR="00E51A4A" w:rsidRPr="00846769" w:rsidRDefault="00E51A4A" w:rsidP="00E51A4A">
      <w:r w:rsidRPr="00846769">
        <w:t xml:space="preserve">Some bivalves have life history strategies that make them more likely to spread including long-lived larval stages, broad environmental tolerances, occupation of shallow water habitats where they are more likely to encounter vessels, or by being part of a fouling community that colonises vessels. </w:t>
      </w:r>
      <w:r w:rsidR="002A564E" w:rsidRPr="00846769">
        <w:t>I</w:t>
      </w:r>
      <w:r w:rsidRPr="00846769">
        <w:t xml:space="preserve">nvasive marine bivalves such as </w:t>
      </w:r>
      <w:r w:rsidR="00015D0A" w:rsidRPr="00846769">
        <w:rPr>
          <w:i/>
        </w:rPr>
        <w:t>M</w:t>
      </w:r>
      <w:r w:rsidR="00015D0A">
        <w:rPr>
          <w:i/>
        </w:rPr>
        <w:t>.</w:t>
      </w:r>
      <w:r w:rsidR="00015D0A" w:rsidRPr="00846769">
        <w:rPr>
          <w:i/>
        </w:rPr>
        <w:t xml:space="preserve"> </w:t>
      </w:r>
      <w:r w:rsidRPr="00846769">
        <w:rPr>
          <w:i/>
        </w:rPr>
        <w:t>sallei</w:t>
      </w:r>
      <w:r w:rsidRPr="00846769">
        <w:t xml:space="preserve">, </w:t>
      </w:r>
      <w:r w:rsidRPr="00846769">
        <w:rPr>
          <w:i/>
        </w:rPr>
        <w:t xml:space="preserve">Perna </w:t>
      </w:r>
      <w:r w:rsidRPr="00846769">
        <w:t xml:space="preserve">spp., </w:t>
      </w:r>
      <w:r w:rsidR="00015D0A" w:rsidRPr="00846769">
        <w:rPr>
          <w:i/>
        </w:rPr>
        <w:t>M</w:t>
      </w:r>
      <w:r w:rsidR="00015D0A">
        <w:rPr>
          <w:i/>
        </w:rPr>
        <w:t>.</w:t>
      </w:r>
      <w:r w:rsidR="00015D0A" w:rsidRPr="00846769">
        <w:rPr>
          <w:i/>
        </w:rPr>
        <w:t xml:space="preserve"> </w:t>
      </w:r>
      <w:r w:rsidRPr="00846769">
        <w:rPr>
          <w:i/>
        </w:rPr>
        <w:t xml:space="preserve">strigata, </w:t>
      </w:r>
      <w:r w:rsidR="00015D0A" w:rsidRPr="00846769">
        <w:rPr>
          <w:i/>
        </w:rPr>
        <w:t>P</w:t>
      </w:r>
      <w:r w:rsidR="00015D0A">
        <w:rPr>
          <w:i/>
        </w:rPr>
        <w:t xml:space="preserve">. </w:t>
      </w:r>
      <w:r w:rsidRPr="00846769">
        <w:rPr>
          <w:i/>
        </w:rPr>
        <w:t>amurensis</w:t>
      </w:r>
      <w:r w:rsidRPr="00846769">
        <w:t xml:space="preserve"> and </w:t>
      </w:r>
      <w:r w:rsidRPr="00846769">
        <w:rPr>
          <w:i/>
        </w:rPr>
        <w:t>M</w:t>
      </w:r>
      <w:r w:rsidR="00015D0A">
        <w:rPr>
          <w:i/>
        </w:rPr>
        <w:t>.</w:t>
      </w:r>
      <w:r w:rsidRPr="00846769">
        <w:rPr>
          <w:i/>
        </w:rPr>
        <w:t xml:space="preserve"> japonica </w:t>
      </w:r>
      <w:r w:rsidRPr="00846769">
        <w:t xml:space="preserve">all possess biological traits that increase the likelihood of successful invasions. </w:t>
      </w:r>
    </w:p>
    <w:p w14:paraId="6FF31A7B" w14:textId="1EE94C4A" w:rsidR="00E51A4A" w:rsidRPr="00846769" w:rsidRDefault="00E51A4A" w:rsidP="00BF317B">
      <w:pPr>
        <w:sectPr w:rsidR="00E51A4A" w:rsidRPr="00846769" w:rsidSect="001D1D74">
          <w:pgSz w:w="11906" w:h="16838"/>
          <w:pgMar w:top="1440" w:right="1440" w:bottom="1440" w:left="1440" w:header="708" w:footer="708" w:gutter="0"/>
          <w:cols w:space="708"/>
          <w:docGrid w:linePitch="360"/>
        </w:sectPr>
      </w:pPr>
      <w:bookmarkStart w:id="295" w:name="_Hlk170687727"/>
      <w:bookmarkStart w:id="296" w:name="_Hlk187308511"/>
      <w:r w:rsidRPr="00846769">
        <w:t>Details of pathways and vectors for the introduction and spread of invasive marine bivalves to and throughout Australia are provided below.</w:t>
      </w:r>
      <w:bookmarkEnd w:id="295"/>
      <w:r w:rsidR="001E12D3">
        <w:t xml:space="preserve"> Notably, this section covers the different mechanisms underpinning these vectors. Further information on managing these vectors and associated policies and guidelines are found in </w:t>
      </w:r>
      <w:hyperlink w:anchor="_Management_of_infested" w:history="1">
        <w:r w:rsidR="001E12D3" w:rsidRPr="001E12D3">
          <w:rPr>
            <w:rStyle w:val="Hyperlink"/>
          </w:rPr>
          <w:t>Section 3.3.</w:t>
        </w:r>
      </w:hyperlink>
    </w:p>
    <w:p w14:paraId="06E0F03C" w14:textId="47785D51" w:rsidR="00232FA0" w:rsidRPr="00846769" w:rsidRDefault="00232FA0" w:rsidP="00232FA0">
      <w:pPr>
        <w:pStyle w:val="Caption"/>
      </w:pPr>
      <w:bookmarkStart w:id="297" w:name="_Ref187269939"/>
      <w:bookmarkStart w:id="298" w:name="_Toc191999497"/>
      <w:bookmarkEnd w:id="296"/>
      <w:r w:rsidRPr="00846769">
        <w:lastRenderedPageBreak/>
        <w:t xml:space="preserve">Table </w:t>
      </w:r>
      <w:r w:rsidRPr="00846769">
        <w:fldChar w:fldCharType="begin"/>
      </w:r>
      <w:r w:rsidRPr="00846769">
        <w:instrText xml:space="preserve"> SEQ Table \* ARABIC </w:instrText>
      </w:r>
      <w:r w:rsidRPr="00846769">
        <w:fldChar w:fldCharType="separate"/>
      </w:r>
      <w:r w:rsidR="005E4F41">
        <w:rPr>
          <w:noProof/>
        </w:rPr>
        <w:t>2</w:t>
      </w:r>
      <w:r w:rsidRPr="00846769">
        <w:fldChar w:fldCharType="end"/>
      </w:r>
      <w:bookmarkEnd w:id="297"/>
      <w:r w:rsidRPr="00846769">
        <w:t xml:space="preserve"> </w:t>
      </w:r>
      <w:bookmarkStart w:id="299" w:name="_Ref65067394"/>
      <w:bookmarkStart w:id="300" w:name="_Ref65067708"/>
      <w:r w:rsidRPr="00846769">
        <w:t xml:space="preserve">Summary of the pathways </w:t>
      </w:r>
      <w:r w:rsidR="00047E37">
        <w:t xml:space="preserve">and vectors </w:t>
      </w:r>
      <w:r w:rsidRPr="00846769">
        <w:t>which transport invasive marine bivalve species into and within Australia</w:t>
      </w:r>
      <w:bookmarkEnd w:id="299"/>
      <w:bookmarkEnd w:id="300"/>
      <w:bookmarkEnd w:id="298"/>
    </w:p>
    <w:tbl>
      <w:tblPr>
        <w:tblStyle w:val="TableGrid"/>
        <w:tblW w:w="13960" w:type="dxa"/>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1420"/>
        <w:gridCol w:w="1698"/>
        <w:gridCol w:w="1152"/>
        <w:gridCol w:w="1331"/>
        <w:gridCol w:w="1168"/>
        <w:gridCol w:w="1132"/>
        <w:gridCol w:w="1352"/>
        <w:gridCol w:w="1228"/>
        <w:gridCol w:w="1633"/>
        <w:gridCol w:w="1846"/>
      </w:tblGrid>
      <w:tr w:rsidR="00545633" w:rsidRPr="00846769" w14:paraId="69BDECF4" w14:textId="77777777" w:rsidTr="007A2D7B">
        <w:trPr>
          <w:cantSplit/>
          <w:trHeight w:val="574"/>
          <w:tblHeader/>
        </w:trPr>
        <w:tc>
          <w:tcPr>
            <w:tcW w:w="1420" w:type="dxa"/>
            <w:tcBorders>
              <w:bottom w:val="single" w:sz="4" w:space="0" w:color="auto"/>
            </w:tcBorders>
            <w:shd w:val="clear" w:color="auto" w:fill="FFFFFF" w:themeFill="background1"/>
            <w:vAlign w:val="center"/>
          </w:tcPr>
          <w:p w14:paraId="75BA0EB4" w14:textId="62F17728" w:rsidR="000407FA" w:rsidRPr="00846769" w:rsidRDefault="000407FA" w:rsidP="000407FA">
            <w:pPr>
              <w:pStyle w:val="TableText"/>
              <w:rPr>
                <w:rFonts w:cstheme="minorHAnsi"/>
                <w:b/>
                <w:bCs/>
              </w:rPr>
            </w:pPr>
            <w:bookmarkStart w:id="301" w:name="Table_2"/>
            <w:bookmarkEnd w:id="301"/>
            <w:r w:rsidRPr="00846769">
              <w:rPr>
                <w:rFonts w:cstheme="minorHAnsi"/>
                <w:b/>
                <w:bCs/>
              </w:rPr>
              <w:t>Pathway</w:t>
            </w:r>
          </w:p>
        </w:tc>
        <w:tc>
          <w:tcPr>
            <w:tcW w:w="1698" w:type="dxa"/>
            <w:shd w:val="clear" w:color="auto" w:fill="FFFFFF" w:themeFill="background1"/>
            <w:vAlign w:val="center"/>
          </w:tcPr>
          <w:p w14:paraId="7DD3003B" w14:textId="3C41F8BA" w:rsidR="000407FA" w:rsidRPr="00846769" w:rsidRDefault="000407FA" w:rsidP="000407FA">
            <w:pPr>
              <w:pStyle w:val="TableText"/>
              <w:rPr>
                <w:rFonts w:cstheme="minorHAnsi"/>
                <w:b/>
                <w:bCs/>
              </w:rPr>
            </w:pPr>
            <w:r w:rsidRPr="00846769">
              <w:rPr>
                <w:rFonts w:cstheme="minorHAnsi"/>
                <w:b/>
                <w:bCs/>
              </w:rPr>
              <w:t>Vector description</w:t>
            </w:r>
          </w:p>
        </w:tc>
        <w:tc>
          <w:tcPr>
            <w:tcW w:w="1152" w:type="dxa"/>
            <w:shd w:val="clear" w:color="auto" w:fill="FFFFFF" w:themeFill="background1"/>
          </w:tcPr>
          <w:p w14:paraId="09B261F3" w14:textId="6730ED1F" w:rsidR="000407FA" w:rsidRPr="00846769" w:rsidRDefault="000407FA" w:rsidP="000407FA">
            <w:pPr>
              <w:pStyle w:val="TableText"/>
              <w:rPr>
                <w:rStyle w:val="Emphasis"/>
                <w:b/>
                <w:bCs/>
              </w:rPr>
            </w:pPr>
            <w:r w:rsidRPr="00846769">
              <w:rPr>
                <w:rStyle w:val="Emphasis"/>
                <w:rFonts w:cstheme="minorHAnsi"/>
                <w:b/>
                <w:bCs/>
              </w:rPr>
              <w:t>Arcuatula senhousia</w:t>
            </w:r>
          </w:p>
        </w:tc>
        <w:tc>
          <w:tcPr>
            <w:tcW w:w="1331" w:type="dxa"/>
            <w:shd w:val="clear" w:color="auto" w:fill="FFFFFF" w:themeFill="background1"/>
            <w:vAlign w:val="center"/>
          </w:tcPr>
          <w:p w14:paraId="7CA8113A" w14:textId="3164863D" w:rsidR="000407FA" w:rsidRPr="00B840C5" w:rsidRDefault="000407FA" w:rsidP="000407FA">
            <w:pPr>
              <w:pStyle w:val="TableText"/>
              <w:rPr>
                <w:rStyle w:val="Emphasis"/>
                <w:b/>
                <w:bCs/>
                <w:vertAlign w:val="superscript"/>
              </w:rPr>
            </w:pPr>
            <w:r w:rsidRPr="00846769">
              <w:rPr>
                <w:rStyle w:val="Emphasis"/>
                <w:b/>
                <w:bCs/>
              </w:rPr>
              <w:t xml:space="preserve">Magallana </w:t>
            </w:r>
            <w:proofErr w:type="spellStart"/>
            <w:proofErr w:type="gramStart"/>
            <w:r w:rsidRPr="00846769">
              <w:rPr>
                <w:rStyle w:val="Emphasis"/>
                <w:b/>
                <w:bCs/>
                <w:i w:val="0"/>
                <w:iCs w:val="0"/>
              </w:rPr>
              <w:t>spp.</w:t>
            </w:r>
            <w:r w:rsidR="0027499C">
              <w:rPr>
                <w:rStyle w:val="Emphasis"/>
                <w:b/>
                <w:bCs/>
                <w:i w:val="0"/>
                <w:iCs w:val="0"/>
                <w:vertAlign w:val="superscript"/>
              </w:rPr>
              <w:t>a</w:t>
            </w:r>
            <w:proofErr w:type="spellEnd"/>
            <w:proofErr w:type="gramEnd"/>
          </w:p>
        </w:tc>
        <w:tc>
          <w:tcPr>
            <w:tcW w:w="1168" w:type="dxa"/>
            <w:shd w:val="clear" w:color="auto" w:fill="FFFFFF" w:themeFill="background1"/>
            <w:vAlign w:val="center"/>
          </w:tcPr>
          <w:p w14:paraId="5313ABDC" w14:textId="296AE73C" w:rsidR="000407FA" w:rsidRPr="00B840C5" w:rsidRDefault="000407FA" w:rsidP="000407FA">
            <w:pPr>
              <w:pStyle w:val="TableText"/>
              <w:rPr>
                <w:rStyle w:val="Emphasis"/>
                <w:b/>
                <w:bCs/>
                <w:vertAlign w:val="superscript"/>
              </w:rPr>
            </w:pPr>
            <w:r w:rsidRPr="00846769">
              <w:rPr>
                <w:rStyle w:val="Emphasis"/>
                <w:b/>
                <w:bCs/>
              </w:rPr>
              <w:t xml:space="preserve">Mya </w:t>
            </w:r>
            <w:proofErr w:type="spellStart"/>
            <w:proofErr w:type="gramStart"/>
            <w:r w:rsidRPr="00846769">
              <w:rPr>
                <w:rStyle w:val="Emphasis"/>
                <w:b/>
                <w:bCs/>
                <w:i w:val="0"/>
                <w:iCs w:val="0"/>
              </w:rPr>
              <w:t>spp.</w:t>
            </w:r>
            <w:r w:rsidR="0027499C">
              <w:rPr>
                <w:rStyle w:val="Emphasis"/>
                <w:b/>
                <w:bCs/>
                <w:i w:val="0"/>
                <w:iCs w:val="0"/>
                <w:vertAlign w:val="superscript"/>
              </w:rPr>
              <w:t>b</w:t>
            </w:r>
            <w:proofErr w:type="spellEnd"/>
            <w:proofErr w:type="gramEnd"/>
          </w:p>
        </w:tc>
        <w:tc>
          <w:tcPr>
            <w:tcW w:w="1132" w:type="dxa"/>
            <w:shd w:val="clear" w:color="auto" w:fill="FFFFFF" w:themeFill="background1"/>
            <w:vAlign w:val="center"/>
          </w:tcPr>
          <w:p w14:paraId="6AD5F87A" w14:textId="386D821E" w:rsidR="000407FA" w:rsidRPr="00846769" w:rsidRDefault="000407FA" w:rsidP="000407FA">
            <w:pPr>
              <w:pStyle w:val="TableText"/>
              <w:rPr>
                <w:rStyle w:val="Emphasis"/>
                <w:b/>
                <w:bCs/>
              </w:rPr>
            </w:pPr>
            <w:r w:rsidRPr="00846769">
              <w:rPr>
                <w:rFonts w:cstheme="minorHAnsi"/>
                <w:b/>
                <w:bCs/>
                <w:i/>
                <w:iCs/>
              </w:rPr>
              <w:t>Mytella strigata</w:t>
            </w:r>
          </w:p>
        </w:tc>
        <w:tc>
          <w:tcPr>
            <w:tcW w:w="1352" w:type="dxa"/>
            <w:shd w:val="clear" w:color="auto" w:fill="FFFFFF" w:themeFill="background1"/>
            <w:vAlign w:val="center"/>
          </w:tcPr>
          <w:p w14:paraId="22BCC68E" w14:textId="4940A658" w:rsidR="000407FA" w:rsidRPr="00846769" w:rsidRDefault="000407FA" w:rsidP="000407FA">
            <w:pPr>
              <w:pStyle w:val="TableText"/>
              <w:rPr>
                <w:rFonts w:eastAsiaTheme="minorHAnsi"/>
                <w:b/>
                <w:bCs/>
              </w:rPr>
            </w:pPr>
            <w:r w:rsidRPr="00846769">
              <w:rPr>
                <w:rStyle w:val="Emphasis"/>
                <w:b/>
                <w:bCs/>
              </w:rPr>
              <w:t>Mytilopsis sallei</w:t>
            </w:r>
          </w:p>
        </w:tc>
        <w:tc>
          <w:tcPr>
            <w:tcW w:w="1228" w:type="dxa"/>
            <w:shd w:val="clear" w:color="auto" w:fill="FFFFFF" w:themeFill="background1"/>
            <w:vAlign w:val="center"/>
          </w:tcPr>
          <w:p w14:paraId="3F19F773" w14:textId="13A76590" w:rsidR="000407FA" w:rsidRPr="00B840C5" w:rsidRDefault="000407FA" w:rsidP="000407FA">
            <w:pPr>
              <w:pStyle w:val="TableText"/>
              <w:rPr>
                <w:rFonts w:eastAsiaTheme="minorHAnsi"/>
                <w:b/>
                <w:bCs/>
                <w:i/>
                <w:iCs/>
                <w:vertAlign w:val="superscript"/>
              </w:rPr>
            </w:pPr>
            <w:r w:rsidRPr="00846769">
              <w:rPr>
                <w:rStyle w:val="Emphasis"/>
                <w:b/>
                <w:bCs/>
              </w:rPr>
              <w:t xml:space="preserve">Perna </w:t>
            </w:r>
            <w:proofErr w:type="spellStart"/>
            <w:r w:rsidRPr="00846769">
              <w:rPr>
                <w:rStyle w:val="Emphasis"/>
                <w:b/>
                <w:bCs/>
                <w:i w:val="0"/>
                <w:iCs w:val="0"/>
              </w:rPr>
              <w:t>spp.</w:t>
            </w:r>
            <w:r w:rsidR="0027499C">
              <w:rPr>
                <w:rStyle w:val="Emphasis"/>
                <w:b/>
                <w:bCs/>
                <w:i w:val="0"/>
                <w:iCs w:val="0"/>
                <w:vertAlign w:val="superscript"/>
              </w:rPr>
              <w:t>c</w:t>
            </w:r>
            <w:proofErr w:type="spellEnd"/>
          </w:p>
        </w:tc>
        <w:tc>
          <w:tcPr>
            <w:tcW w:w="1633" w:type="dxa"/>
            <w:shd w:val="clear" w:color="auto" w:fill="FFFFFF" w:themeFill="background1"/>
            <w:vAlign w:val="center"/>
          </w:tcPr>
          <w:p w14:paraId="69FCC571" w14:textId="3E5B8F8B" w:rsidR="000407FA" w:rsidRPr="00846769" w:rsidRDefault="000407FA" w:rsidP="000407FA">
            <w:pPr>
              <w:pStyle w:val="TableText"/>
              <w:rPr>
                <w:rFonts w:eastAsiaTheme="minorHAnsi"/>
                <w:b/>
                <w:bCs/>
                <w:i/>
                <w:iCs/>
              </w:rPr>
            </w:pPr>
            <w:r w:rsidRPr="00846769">
              <w:rPr>
                <w:rStyle w:val="Emphasis"/>
                <w:b/>
                <w:bCs/>
              </w:rPr>
              <w:t>Potamocorbula amurensis</w:t>
            </w:r>
          </w:p>
        </w:tc>
        <w:tc>
          <w:tcPr>
            <w:tcW w:w="1846" w:type="dxa"/>
            <w:shd w:val="clear" w:color="auto" w:fill="FFFFFF" w:themeFill="background1"/>
          </w:tcPr>
          <w:p w14:paraId="0797E878" w14:textId="77777777" w:rsidR="000407FA" w:rsidRPr="00846769" w:rsidRDefault="000407FA" w:rsidP="000407FA">
            <w:pPr>
              <w:pStyle w:val="TableText"/>
              <w:rPr>
                <w:rStyle w:val="Emphasis"/>
                <w:rFonts w:cstheme="minorHAnsi"/>
                <w:b/>
                <w:bCs/>
              </w:rPr>
            </w:pPr>
            <w:r w:rsidRPr="00846769">
              <w:rPr>
                <w:rStyle w:val="Emphasis"/>
                <w:rFonts w:cstheme="minorHAnsi"/>
                <w:b/>
                <w:bCs/>
              </w:rPr>
              <w:t>Varicorbula gibba</w:t>
            </w:r>
          </w:p>
        </w:tc>
      </w:tr>
      <w:tr w:rsidR="007A2D7B" w:rsidRPr="00846769" w14:paraId="362DC9EB" w14:textId="77777777" w:rsidTr="007A2D7B">
        <w:trPr>
          <w:trHeight w:val="347"/>
        </w:trPr>
        <w:tc>
          <w:tcPr>
            <w:tcW w:w="1420" w:type="dxa"/>
            <w:tcBorders>
              <w:bottom w:val="single" w:sz="4" w:space="0" w:color="auto"/>
            </w:tcBorders>
            <w:shd w:val="clear" w:color="auto" w:fill="FFFFFF" w:themeFill="background1"/>
          </w:tcPr>
          <w:p w14:paraId="363830AC" w14:textId="77777777" w:rsidR="000407FA" w:rsidRPr="00D841D3" w:rsidRDefault="000407FA" w:rsidP="00047E37">
            <w:pPr>
              <w:pStyle w:val="TableText"/>
              <w:rPr>
                <w:rFonts w:cstheme="minorHAnsi"/>
                <w:szCs w:val="18"/>
              </w:rPr>
            </w:pPr>
            <w:r w:rsidRPr="00D841D3">
              <w:rPr>
                <w:rFonts w:cstheme="minorHAnsi"/>
                <w:szCs w:val="18"/>
              </w:rPr>
              <w:t>Vessels</w:t>
            </w:r>
          </w:p>
        </w:tc>
        <w:tc>
          <w:tcPr>
            <w:tcW w:w="1698" w:type="dxa"/>
            <w:shd w:val="clear" w:color="auto" w:fill="FFFFFF" w:themeFill="background1"/>
          </w:tcPr>
          <w:p w14:paraId="24AFFCC5" w14:textId="2B8122F7" w:rsidR="000407FA" w:rsidRPr="00D841D3" w:rsidRDefault="000407FA" w:rsidP="00047E37">
            <w:pPr>
              <w:pStyle w:val="TableText"/>
              <w:rPr>
                <w:rFonts w:cstheme="minorHAnsi"/>
                <w:szCs w:val="18"/>
              </w:rPr>
            </w:pPr>
            <w:r w:rsidRPr="00D841D3">
              <w:rPr>
                <w:rFonts w:cstheme="minorHAnsi"/>
                <w:szCs w:val="18"/>
              </w:rPr>
              <w:t>Biofouling</w:t>
            </w:r>
            <w:r w:rsidR="00D841D3" w:rsidRPr="00D841D3">
              <w:rPr>
                <w:rFonts w:cstheme="minorHAnsi"/>
                <w:szCs w:val="18"/>
              </w:rPr>
              <w:t xml:space="preserve"> (including niche areas)</w:t>
            </w:r>
          </w:p>
        </w:tc>
        <w:tc>
          <w:tcPr>
            <w:tcW w:w="1152" w:type="dxa"/>
            <w:shd w:val="clear" w:color="auto" w:fill="FFFFFF" w:themeFill="background1"/>
          </w:tcPr>
          <w:p w14:paraId="76A0D143" w14:textId="5B05AD3B" w:rsidR="000407FA" w:rsidRPr="00D06DB9" w:rsidRDefault="000407FA" w:rsidP="00047E37">
            <w:pPr>
              <w:pStyle w:val="TableText"/>
              <w:rPr>
                <w:rFonts w:cstheme="minorHAnsi"/>
                <w:szCs w:val="18"/>
              </w:rPr>
            </w:pPr>
            <w:r w:rsidRPr="00D841D3">
              <w:rPr>
                <w:rFonts w:cstheme="minorHAnsi"/>
                <w:szCs w:val="18"/>
              </w:rPr>
              <w:t>Yes</w:t>
            </w:r>
          </w:p>
        </w:tc>
        <w:tc>
          <w:tcPr>
            <w:tcW w:w="1331" w:type="dxa"/>
            <w:shd w:val="clear" w:color="auto" w:fill="FFFFFF" w:themeFill="background1"/>
          </w:tcPr>
          <w:p w14:paraId="4AF53574" w14:textId="46099D51" w:rsidR="000407FA" w:rsidRPr="00D06DB9" w:rsidRDefault="000407FA" w:rsidP="00047E37">
            <w:pPr>
              <w:pStyle w:val="TableText"/>
              <w:rPr>
                <w:rFonts w:cstheme="minorHAnsi"/>
                <w:szCs w:val="18"/>
              </w:rPr>
            </w:pPr>
            <w:r w:rsidRPr="00D841D3">
              <w:rPr>
                <w:rFonts w:cstheme="minorHAnsi"/>
                <w:szCs w:val="18"/>
              </w:rPr>
              <w:t>Yes</w:t>
            </w:r>
          </w:p>
        </w:tc>
        <w:tc>
          <w:tcPr>
            <w:tcW w:w="1168" w:type="dxa"/>
            <w:shd w:val="clear" w:color="auto" w:fill="FFFFFF" w:themeFill="background1"/>
          </w:tcPr>
          <w:p w14:paraId="1B2C4A09" w14:textId="3C750A2C" w:rsidR="000407FA" w:rsidRPr="00D06DB9" w:rsidRDefault="00DB3648" w:rsidP="00047E37">
            <w:pPr>
              <w:pStyle w:val="TableText"/>
              <w:rPr>
                <w:rFonts w:cstheme="minorHAnsi"/>
                <w:szCs w:val="18"/>
              </w:rPr>
            </w:pPr>
            <w:r>
              <w:rPr>
                <w:rFonts w:cstheme="minorHAnsi"/>
                <w:szCs w:val="18"/>
              </w:rPr>
              <w:t>Yes</w:t>
            </w:r>
          </w:p>
        </w:tc>
        <w:tc>
          <w:tcPr>
            <w:tcW w:w="1132" w:type="dxa"/>
            <w:shd w:val="clear" w:color="auto" w:fill="FFFFFF" w:themeFill="background1"/>
          </w:tcPr>
          <w:p w14:paraId="77971C6D" w14:textId="5C257BF5" w:rsidR="000407FA" w:rsidRPr="00D06DB9" w:rsidRDefault="000407FA" w:rsidP="00047E37">
            <w:pPr>
              <w:pStyle w:val="TableText"/>
              <w:rPr>
                <w:rFonts w:cstheme="minorHAnsi"/>
                <w:szCs w:val="18"/>
              </w:rPr>
            </w:pPr>
            <w:r w:rsidRPr="00D841D3">
              <w:rPr>
                <w:rFonts w:cstheme="minorHAnsi"/>
                <w:szCs w:val="18"/>
              </w:rPr>
              <w:t>Yes</w:t>
            </w:r>
          </w:p>
        </w:tc>
        <w:tc>
          <w:tcPr>
            <w:tcW w:w="1352" w:type="dxa"/>
            <w:shd w:val="clear" w:color="auto" w:fill="FFFFFF" w:themeFill="background1"/>
          </w:tcPr>
          <w:p w14:paraId="0E80D395" w14:textId="6BBA15AD" w:rsidR="000407FA" w:rsidRPr="00D841D3" w:rsidRDefault="000407FA" w:rsidP="00047E37">
            <w:pPr>
              <w:pStyle w:val="TableText"/>
              <w:rPr>
                <w:rFonts w:cstheme="minorHAnsi"/>
                <w:szCs w:val="18"/>
              </w:rPr>
            </w:pPr>
            <w:r w:rsidRPr="00D841D3">
              <w:rPr>
                <w:rFonts w:cstheme="minorHAnsi"/>
                <w:szCs w:val="18"/>
              </w:rPr>
              <w:t>Yes</w:t>
            </w:r>
          </w:p>
        </w:tc>
        <w:tc>
          <w:tcPr>
            <w:tcW w:w="1228" w:type="dxa"/>
            <w:shd w:val="clear" w:color="auto" w:fill="FFFFFF" w:themeFill="background1"/>
          </w:tcPr>
          <w:p w14:paraId="7F41AF93" w14:textId="77777777" w:rsidR="000407FA" w:rsidRPr="00D841D3" w:rsidRDefault="000407FA" w:rsidP="00047E37">
            <w:pPr>
              <w:pStyle w:val="TableText"/>
              <w:rPr>
                <w:rFonts w:cstheme="minorHAnsi"/>
                <w:szCs w:val="18"/>
              </w:rPr>
            </w:pPr>
            <w:r w:rsidRPr="00D841D3">
              <w:rPr>
                <w:rFonts w:cstheme="minorHAnsi"/>
                <w:szCs w:val="18"/>
              </w:rPr>
              <w:t>Yes</w:t>
            </w:r>
          </w:p>
        </w:tc>
        <w:tc>
          <w:tcPr>
            <w:tcW w:w="1633" w:type="dxa"/>
            <w:shd w:val="clear" w:color="auto" w:fill="FFFFFF" w:themeFill="background1"/>
          </w:tcPr>
          <w:p w14:paraId="2487743B" w14:textId="711401FD" w:rsidR="000407FA" w:rsidRPr="00D841D3" w:rsidRDefault="00DB3648" w:rsidP="00047E37">
            <w:pPr>
              <w:pStyle w:val="TableText"/>
              <w:rPr>
                <w:rFonts w:cstheme="minorHAnsi"/>
                <w:szCs w:val="18"/>
              </w:rPr>
            </w:pPr>
            <w:r>
              <w:rPr>
                <w:rFonts w:cstheme="minorHAnsi"/>
                <w:szCs w:val="18"/>
              </w:rPr>
              <w:t>Yes</w:t>
            </w:r>
          </w:p>
        </w:tc>
        <w:tc>
          <w:tcPr>
            <w:tcW w:w="1846" w:type="dxa"/>
            <w:shd w:val="clear" w:color="auto" w:fill="FFFFFF" w:themeFill="background1"/>
          </w:tcPr>
          <w:p w14:paraId="78537EA0" w14:textId="279D361B" w:rsidR="000407FA" w:rsidRPr="00D841D3" w:rsidRDefault="00EF4BDC" w:rsidP="00047E37">
            <w:pPr>
              <w:pStyle w:val="TableText"/>
              <w:rPr>
                <w:rFonts w:cstheme="minorHAnsi"/>
                <w:szCs w:val="18"/>
              </w:rPr>
            </w:pPr>
            <w:r w:rsidRPr="00D841D3">
              <w:rPr>
                <w:rFonts w:cstheme="minorHAnsi"/>
                <w:szCs w:val="18"/>
              </w:rPr>
              <w:t>No</w:t>
            </w:r>
          </w:p>
        </w:tc>
      </w:tr>
      <w:tr w:rsidR="007A2D7B" w:rsidRPr="00846769" w14:paraId="70CC4A07" w14:textId="77777777" w:rsidTr="007A2D7B">
        <w:trPr>
          <w:trHeight w:val="149"/>
        </w:trPr>
        <w:tc>
          <w:tcPr>
            <w:tcW w:w="1420" w:type="dxa"/>
            <w:tcBorders>
              <w:top w:val="single" w:sz="4" w:space="0" w:color="auto"/>
              <w:bottom w:val="single" w:sz="4" w:space="0" w:color="auto"/>
            </w:tcBorders>
            <w:shd w:val="clear" w:color="auto" w:fill="FFFFFF" w:themeFill="background1"/>
          </w:tcPr>
          <w:p w14:paraId="15A817B6" w14:textId="0B70FA0B" w:rsidR="000407FA" w:rsidRPr="00D841D3" w:rsidRDefault="00D841D3" w:rsidP="00047E37">
            <w:pPr>
              <w:pStyle w:val="TableText"/>
              <w:rPr>
                <w:rFonts w:cstheme="minorHAnsi"/>
                <w:szCs w:val="18"/>
              </w:rPr>
            </w:pPr>
            <w:r>
              <w:rPr>
                <w:rFonts w:cstheme="minorHAnsi"/>
                <w:szCs w:val="18"/>
              </w:rPr>
              <w:t>Vessels</w:t>
            </w:r>
          </w:p>
        </w:tc>
        <w:tc>
          <w:tcPr>
            <w:tcW w:w="1698" w:type="dxa"/>
            <w:shd w:val="clear" w:color="auto" w:fill="FFFFFF" w:themeFill="background1"/>
          </w:tcPr>
          <w:p w14:paraId="6CA264B3" w14:textId="77777777" w:rsidR="000407FA" w:rsidRPr="00D841D3" w:rsidRDefault="000407FA" w:rsidP="00047E37">
            <w:pPr>
              <w:pStyle w:val="TableText"/>
              <w:rPr>
                <w:rFonts w:cstheme="minorHAnsi"/>
                <w:szCs w:val="18"/>
              </w:rPr>
            </w:pPr>
            <w:r w:rsidRPr="00D841D3">
              <w:rPr>
                <w:rFonts w:cstheme="minorHAnsi"/>
                <w:szCs w:val="18"/>
              </w:rPr>
              <w:t>Ballast</w:t>
            </w:r>
          </w:p>
        </w:tc>
        <w:tc>
          <w:tcPr>
            <w:tcW w:w="1152" w:type="dxa"/>
            <w:shd w:val="clear" w:color="auto" w:fill="FFFFFF" w:themeFill="background1"/>
          </w:tcPr>
          <w:p w14:paraId="2976B94D" w14:textId="03D3A1A7" w:rsidR="000407FA" w:rsidRPr="00D06DB9" w:rsidRDefault="000407FA" w:rsidP="00047E37">
            <w:pPr>
              <w:pStyle w:val="TableText"/>
              <w:rPr>
                <w:rFonts w:cstheme="minorHAnsi"/>
                <w:szCs w:val="18"/>
              </w:rPr>
            </w:pPr>
            <w:r w:rsidRPr="00D841D3">
              <w:rPr>
                <w:rFonts w:cstheme="minorHAnsi"/>
                <w:szCs w:val="18"/>
              </w:rPr>
              <w:t>Yes</w:t>
            </w:r>
          </w:p>
        </w:tc>
        <w:tc>
          <w:tcPr>
            <w:tcW w:w="1331" w:type="dxa"/>
            <w:shd w:val="clear" w:color="auto" w:fill="FFFFFF" w:themeFill="background1"/>
          </w:tcPr>
          <w:p w14:paraId="602A1442" w14:textId="79E514B9" w:rsidR="000407FA" w:rsidRPr="00D06DB9" w:rsidRDefault="000407FA" w:rsidP="00047E37">
            <w:pPr>
              <w:pStyle w:val="TableText"/>
              <w:rPr>
                <w:rFonts w:cstheme="minorHAnsi"/>
                <w:szCs w:val="18"/>
              </w:rPr>
            </w:pPr>
            <w:r w:rsidRPr="00D841D3">
              <w:rPr>
                <w:rFonts w:cstheme="minorHAnsi"/>
                <w:szCs w:val="18"/>
              </w:rPr>
              <w:t>Yes</w:t>
            </w:r>
          </w:p>
        </w:tc>
        <w:tc>
          <w:tcPr>
            <w:tcW w:w="1168" w:type="dxa"/>
            <w:shd w:val="clear" w:color="auto" w:fill="FFFFFF" w:themeFill="background1"/>
          </w:tcPr>
          <w:p w14:paraId="42C1AF14" w14:textId="537DA2BC" w:rsidR="000407FA" w:rsidRPr="00D06DB9" w:rsidRDefault="000407FA" w:rsidP="00047E37">
            <w:pPr>
              <w:pStyle w:val="TableText"/>
              <w:rPr>
                <w:rFonts w:cstheme="minorHAnsi"/>
                <w:szCs w:val="18"/>
              </w:rPr>
            </w:pPr>
            <w:r w:rsidRPr="00D841D3">
              <w:rPr>
                <w:rFonts w:cstheme="minorHAnsi"/>
                <w:szCs w:val="18"/>
              </w:rPr>
              <w:t>Yes</w:t>
            </w:r>
          </w:p>
        </w:tc>
        <w:tc>
          <w:tcPr>
            <w:tcW w:w="1132" w:type="dxa"/>
            <w:shd w:val="clear" w:color="auto" w:fill="FFFFFF" w:themeFill="background1"/>
          </w:tcPr>
          <w:p w14:paraId="2999FD99" w14:textId="251155A6" w:rsidR="000407FA" w:rsidRPr="00D06DB9" w:rsidRDefault="000407FA" w:rsidP="00047E37">
            <w:pPr>
              <w:pStyle w:val="TableText"/>
              <w:rPr>
                <w:rFonts w:cstheme="minorHAnsi"/>
                <w:szCs w:val="18"/>
              </w:rPr>
            </w:pPr>
            <w:r w:rsidRPr="00D841D3">
              <w:rPr>
                <w:rFonts w:cstheme="minorHAnsi"/>
                <w:szCs w:val="18"/>
              </w:rPr>
              <w:t>Yes</w:t>
            </w:r>
          </w:p>
        </w:tc>
        <w:tc>
          <w:tcPr>
            <w:tcW w:w="1352" w:type="dxa"/>
            <w:shd w:val="clear" w:color="auto" w:fill="FFFFFF" w:themeFill="background1"/>
          </w:tcPr>
          <w:p w14:paraId="2CFE2116" w14:textId="78B6F009" w:rsidR="000407FA" w:rsidRPr="00D841D3" w:rsidRDefault="00E95577" w:rsidP="00047E37">
            <w:pPr>
              <w:pStyle w:val="TableText"/>
              <w:rPr>
                <w:rFonts w:cstheme="minorHAnsi"/>
                <w:szCs w:val="18"/>
              </w:rPr>
            </w:pPr>
            <w:proofErr w:type="spellStart"/>
            <w:r>
              <w:rPr>
                <w:rFonts w:cstheme="minorHAnsi"/>
                <w:szCs w:val="18"/>
              </w:rPr>
              <w:t>Yes</w:t>
            </w:r>
            <w:r w:rsidR="0027499C" w:rsidRPr="00B840C5">
              <w:rPr>
                <w:rFonts w:cstheme="minorHAnsi"/>
                <w:b/>
                <w:bCs/>
                <w:szCs w:val="18"/>
                <w:vertAlign w:val="superscript"/>
              </w:rPr>
              <w:t>d</w:t>
            </w:r>
            <w:proofErr w:type="spellEnd"/>
          </w:p>
        </w:tc>
        <w:tc>
          <w:tcPr>
            <w:tcW w:w="1228" w:type="dxa"/>
            <w:shd w:val="clear" w:color="auto" w:fill="FFFFFF" w:themeFill="background1"/>
          </w:tcPr>
          <w:p w14:paraId="2C481EC9" w14:textId="77777777" w:rsidR="000407FA" w:rsidRPr="00D841D3" w:rsidRDefault="000407FA" w:rsidP="00047E37">
            <w:pPr>
              <w:pStyle w:val="TableText"/>
              <w:rPr>
                <w:rFonts w:cstheme="minorHAnsi"/>
                <w:szCs w:val="18"/>
              </w:rPr>
            </w:pPr>
            <w:r w:rsidRPr="00D841D3">
              <w:rPr>
                <w:rFonts w:cstheme="minorHAnsi"/>
                <w:szCs w:val="18"/>
              </w:rPr>
              <w:t>Yes</w:t>
            </w:r>
          </w:p>
        </w:tc>
        <w:tc>
          <w:tcPr>
            <w:tcW w:w="1633" w:type="dxa"/>
            <w:shd w:val="clear" w:color="auto" w:fill="FFFFFF" w:themeFill="background1"/>
          </w:tcPr>
          <w:p w14:paraId="3F3FD104" w14:textId="77777777" w:rsidR="000407FA" w:rsidRPr="00D841D3" w:rsidRDefault="000407FA" w:rsidP="00047E37">
            <w:pPr>
              <w:pStyle w:val="TableText"/>
              <w:rPr>
                <w:rFonts w:cstheme="minorHAnsi"/>
                <w:szCs w:val="18"/>
              </w:rPr>
            </w:pPr>
            <w:r w:rsidRPr="00D841D3">
              <w:rPr>
                <w:rFonts w:cstheme="minorHAnsi"/>
                <w:szCs w:val="18"/>
              </w:rPr>
              <w:t>Yes</w:t>
            </w:r>
          </w:p>
        </w:tc>
        <w:tc>
          <w:tcPr>
            <w:tcW w:w="1846" w:type="dxa"/>
            <w:shd w:val="clear" w:color="auto" w:fill="FFFFFF" w:themeFill="background1"/>
          </w:tcPr>
          <w:p w14:paraId="7973F6B4" w14:textId="77777777" w:rsidR="000407FA" w:rsidRPr="00D841D3" w:rsidRDefault="000407FA" w:rsidP="00047E37">
            <w:pPr>
              <w:pStyle w:val="TableText"/>
              <w:rPr>
                <w:rFonts w:cstheme="minorHAnsi"/>
                <w:szCs w:val="18"/>
              </w:rPr>
            </w:pPr>
            <w:r w:rsidRPr="00D841D3">
              <w:rPr>
                <w:rFonts w:cstheme="minorHAnsi"/>
                <w:szCs w:val="18"/>
              </w:rPr>
              <w:t>Yes</w:t>
            </w:r>
          </w:p>
        </w:tc>
      </w:tr>
      <w:tr w:rsidR="00545633" w:rsidRPr="00846769" w14:paraId="6FF09CF2" w14:textId="77777777" w:rsidTr="007A2D7B">
        <w:trPr>
          <w:trHeight w:val="1027"/>
        </w:trPr>
        <w:tc>
          <w:tcPr>
            <w:tcW w:w="1420" w:type="dxa"/>
            <w:tcBorders>
              <w:bottom w:val="single" w:sz="4" w:space="0" w:color="auto"/>
            </w:tcBorders>
            <w:shd w:val="clear" w:color="auto" w:fill="FFFFFF" w:themeFill="background1"/>
          </w:tcPr>
          <w:p w14:paraId="1128AB19" w14:textId="77777777" w:rsidR="00D841D3" w:rsidRPr="00D841D3" w:rsidRDefault="00D841D3" w:rsidP="00047E37">
            <w:pPr>
              <w:pStyle w:val="TableText"/>
              <w:rPr>
                <w:rFonts w:cstheme="minorHAnsi"/>
                <w:szCs w:val="18"/>
              </w:rPr>
            </w:pPr>
            <w:r w:rsidRPr="00D841D3">
              <w:rPr>
                <w:rFonts w:cstheme="minorHAnsi"/>
                <w:szCs w:val="18"/>
              </w:rPr>
              <w:t>Fisheries and aquaculture</w:t>
            </w:r>
          </w:p>
        </w:tc>
        <w:tc>
          <w:tcPr>
            <w:tcW w:w="1698" w:type="dxa"/>
            <w:shd w:val="clear" w:color="auto" w:fill="FFFFFF" w:themeFill="background1"/>
          </w:tcPr>
          <w:p w14:paraId="6038A6C3" w14:textId="77777777" w:rsidR="00D841D3" w:rsidRPr="00D841D3" w:rsidRDefault="00D841D3" w:rsidP="00047E37">
            <w:pPr>
              <w:pStyle w:val="TableText"/>
              <w:rPr>
                <w:rFonts w:cstheme="minorHAnsi"/>
                <w:szCs w:val="18"/>
              </w:rPr>
            </w:pPr>
            <w:r w:rsidRPr="00D841D3">
              <w:rPr>
                <w:rFonts w:cstheme="minorHAnsi"/>
                <w:szCs w:val="18"/>
              </w:rPr>
              <w:t>Accidental translocation with aquaculture stock movement</w:t>
            </w:r>
          </w:p>
        </w:tc>
        <w:tc>
          <w:tcPr>
            <w:tcW w:w="1152" w:type="dxa"/>
            <w:shd w:val="clear" w:color="auto" w:fill="FFFFFF" w:themeFill="background1"/>
          </w:tcPr>
          <w:p w14:paraId="13C16F76" w14:textId="720CD9B8" w:rsidR="00D841D3" w:rsidRPr="00D06DB9" w:rsidRDefault="00D841D3" w:rsidP="00047E37">
            <w:pPr>
              <w:pStyle w:val="TableText"/>
              <w:rPr>
                <w:rFonts w:cstheme="minorHAnsi"/>
                <w:szCs w:val="18"/>
              </w:rPr>
            </w:pPr>
            <w:r w:rsidRPr="00D841D3">
              <w:rPr>
                <w:rFonts w:cstheme="minorHAnsi"/>
                <w:szCs w:val="18"/>
              </w:rPr>
              <w:t>Yes</w:t>
            </w:r>
          </w:p>
        </w:tc>
        <w:tc>
          <w:tcPr>
            <w:tcW w:w="1331" w:type="dxa"/>
            <w:shd w:val="clear" w:color="auto" w:fill="FFFFFF" w:themeFill="background1"/>
          </w:tcPr>
          <w:p w14:paraId="2E61519B" w14:textId="4418813D" w:rsidR="00D841D3" w:rsidRPr="00D06DB9" w:rsidRDefault="00D841D3" w:rsidP="00047E37">
            <w:pPr>
              <w:pStyle w:val="TableText"/>
              <w:rPr>
                <w:rFonts w:cstheme="minorHAnsi"/>
                <w:szCs w:val="18"/>
              </w:rPr>
            </w:pPr>
            <w:r w:rsidRPr="00D841D3">
              <w:rPr>
                <w:rFonts w:cstheme="minorHAnsi"/>
                <w:szCs w:val="18"/>
              </w:rPr>
              <w:t>Yes</w:t>
            </w:r>
          </w:p>
        </w:tc>
        <w:tc>
          <w:tcPr>
            <w:tcW w:w="1168" w:type="dxa"/>
            <w:shd w:val="clear" w:color="auto" w:fill="FFFFFF" w:themeFill="background1"/>
          </w:tcPr>
          <w:p w14:paraId="703B0BA0" w14:textId="3AD97EDF" w:rsidR="00D841D3" w:rsidRPr="00D06DB9" w:rsidRDefault="00D841D3" w:rsidP="00047E37">
            <w:pPr>
              <w:pStyle w:val="TableText"/>
              <w:rPr>
                <w:rFonts w:cstheme="minorHAnsi"/>
                <w:szCs w:val="18"/>
              </w:rPr>
            </w:pPr>
            <w:r w:rsidRPr="00D841D3">
              <w:rPr>
                <w:rFonts w:cstheme="minorHAnsi"/>
                <w:szCs w:val="18"/>
              </w:rPr>
              <w:t>Yes</w:t>
            </w:r>
          </w:p>
        </w:tc>
        <w:tc>
          <w:tcPr>
            <w:tcW w:w="1132" w:type="dxa"/>
            <w:shd w:val="clear" w:color="auto" w:fill="FFFFFF" w:themeFill="background1"/>
          </w:tcPr>
          <w:p w14:paraId="27E244B7" w14:textId="60B483A6" w:rsidR="00D841D3" w:rsidRPr="00D06DB9" w:rsidRDefault="00D841D3" w:rsidP="00047E37">
            <w:pPr>
              <w:pStyle w:val="TableText"/>
              <w:rPr>
                <w:rFonts w:cstheme="minorHAnsi"/>
                <w:szCs w:val="18"/>
              </w:rPr>
            </w:pPr>
            <w:r w:rsidRPr="00D841D3">
              <w:rPr>
                <w:rFonts w:cstheme="minorHAnsi"/>
                <w:szCs w:val="18"/>
              </w:rPr>
              <w:t>Yes</w:t>
            </w:r>
          </w:p>
        </w:tc>
        <w:tc>
          <w:tcPr>
            <w:tcW w:w="1352" w:type="dxa"/>
            <w:shd w:val="clear" w:color="auto" w:fill="FFFFFF" w:themeFill="background1"/>
          </w:tcPr>
          <w:p w14:paraId="78626805" w14:textId="704C5AFD" w:rsidR="00D841D3" w:rsidRPr="00D841D3" w:rsidRDefault="00D841D3" w:rsidP="00047E37">
            <w:pPr>
              <w:pStyle w:val="TableText"/>
              <w:rPr>
                <w:rFonts w:cstheme="minorHAnsi"/>
                <w:szCs w:val="18"/>
              </w:rPr>
            </w:pPr>
            <w:r w:rsidRPr="00D841D3">
              <w:rPr>
                <w:rFonts w:cstheme="minorHAnsi"/>
                <w:szCs w:val="18"/>
              </w:rPr>
              <w:t>Yes</w:t>
            </w:r>
          </w:p>
        </w:tc>
        <w:tc>
          <w:tcPr>
            <w:tcW w:w="1228" w:type="dxa"/>
            <w:shd w:val="clear" w:color="auto" w:fill="FFFFFF" w:themeFill="background1"/>
          </w:tcPr>
          <w:p w14:paraId="723D7835" w14:textId="77777777" w:rsidR="00D841D3" w:rsidRPr="00D841D3" w:rsidRDefault="00D841D3" w:rsidP="00047E37">
            <w:pPr>
              <w:pStyle w:val="TableText"/>
              <w:rPr>
                <w:rFonts w:cstheme="minorHAnsi"/>
                <w:szCs w:val="18"/>
              </w:rPr>
            </w:pPr>
            <w:r w:rsidRPr="00D841D3">
              <w:rPr>
                <w:rFonts w:cstheme="minorHAnsi"/>
                <w:szCs w:val="18"/>
              </w:rPr>
              <w:t>Yes</w:t>
            </w:r>
          </w:p>
        </w:tc>
        <w:tc>
          <w:tcPr>
            <w:tcW w:w="1633" w:type="dxa"/>
            <w:shd w:val="clear" w:color="auto" w:fill="FFFFFF" w:themeFill="background1"/>
          </w:tcPr>
          <w:p w14:paraId="2641C2F2" w14:textId="77777777" w:rsidR="00D841D3" w:rsidRPr="00D841D3" w:rsidRDefault="00D841D3" w:rsidP="00047E37">
            <w:pPr>
              <w:pStyle w:val="TableText"/>
              <w:rPr>
                <w:rFonts w:cstheme="minorHAnsi"/>
                <w:szCs w:val="18"/>
              </w:rPr>
            </w:pPr>
            <w:r w:rsidRPr="00D841D3">
              <w:rPr>
                <w:rFonts w:cstheme="minorHAnsi"/>
                <w:szCs w:val="18"/>
              </w:rPr>
              <w:t>Yes</w:t>
            </w:r>
          </w:p>
        </w:tc>
        <w:tc>
          <w:tcPr>
            <w:tcW w:w="1846" w:type="dxa"/>
            <w:shd w:val="clear" w:color="auto" w:fill="FFFFFF" w:themeFill="background1"/>
          </w:tcPr>
          <w:p w14:paraId="0D78D784" w14:textId="77777777" w:rsidR="00D841D3" w:rsidRPr="00D841D3" w:rsidRDefault="00D841D3" w:rsidP="00047E37">
            <w:pPr>
              <w:pStyle w:val="TableText"/>
              <w:rPr>
                <w:rFonts w:cstheme="minorHAnsi"/>
                <w:szCs w:val="18"/>
              </w:rPr>
            </w:pPr>
            <w:r w:rsidRPr="00D841D3">
              <w:rPr>
                <w:rFonts w:cstheme="minorHAnsi"/>
                <w:szCs w:val="18"/>
              </w:rPr>
              <w:t>No</w:t>
            </w:r>
          </w:p>
        </w:tc>
      </w:tr>
      <w:tr w:rsidR="00545633" w:rsidRPr="00846769" w14:paraId="3707D012" w14:textId="77777777" w:rsidTr="007A2D7B">
        <w:trPr>
          <w:trHeight w:val="149"/>
        </w:trPr>
        <w:tc>
          <w:tcPr>
            <w:tcW w:w="1420" w:type="dxa"/>
            <w:tcBorders>
              <w:top w:val="single" w:sz="4" w:space="0" w:color="auto"/>
              <w:bottom w:val="single" w:sz="4" w:space="0" w:color="auto"/>
            </w:tcBorders>
            <w:shd w:val="clear" w:color="auto" w:fill="FFFFFF" w:themeFill="background1"/>
          </w:tcPr>
          <w:p w14:paraId="7CC1E061" w14:textId="3F08D271" w:rsidR="00D841D3" w:rsidRPr="00D841D3" w:rsidRDefault="00D841D3" w:rsidP="00047E37">
            <w:pPr>
              <w:pStyle w:val="TableText"/>
              <w:rPr>
                <w:rFonts w:cstheme="minorHAnsi"/>
                <w:szCs w:val="18"/>
              </w:rPr>
            </w:pPr>
            <w:r w:rsidRPr="00D841D3">
              <w:rPr>
                <w:rFonts w:cstheme="minorHAnsi"/>
                <w:szCs w:val="18"/>
              </w:rPr>
              <w:t>Fisheries and aquaculture</w:t>
            </w:r>
          </w:p>
        </w:tc>
        <w:tc>
          <w:tcPr>
            <w:tcW w:w="1698" w:type="dxa"/>
            <w:shd w:val="clear" w:color="auto" w:fill="FFFFFF" w:themeFill="background1"/>
          </w:tcPr>
          <w:p w14:paraId="34C9DBCE" w14:textId="77777777" w:rsidR="00D841D3" w:rsidRPr="00D841D3" w:rsidRDefault="00D841D3" w:rsidP="00047E37">
            <w:pPr>
              <w:pStyle w:val="TableText"/>
              <w:rPr>
                <w:rFonts w:cstheme="minorHAnsi"/>
                <w:szCs w:val="18"/>
              </w:rPr>
            </w:pPr>
            <w:r w:rsidRPr="00D841D3">
              <w:rPr>
                <w:rFonts w:cstheme="minorHAnsi"/>
                <w:szCs w:val="18"/>
              </w:rPr>
              <w:t>Accidental translocation with fishing products, for example bait</w:t>
            </w:r>
          </w:p>
        </w:tc>
        <w:tc>
          <w:tcPr>
            <w:tcW w:w="1152" w:type="dxa"/>
            <w:shd w:val="clear" w:color="auto" w:fill="FFFFFF" w:themeFill="background1"/>
          </w:tcPr>
          <w:p w14:paraId="1DC17D45" w14:textId="72095E3A" w:rsidR="00D841D3" w:rsidRPr="00D06DB9" w:rsidRDefault="00D841D3" w:rsidP="00047E37">
            <w:pPr>
              <w:pStyle w:val="TableText"/>
              <w:rPr>
                <w:rFonts w:cstheme="minorHAnsi"/>
                <w:szCs w:val="18"/>
              </w:rPr>
            </w:pPr>
            <w:r w:rsidRPr="00D841D3">
              <w:rPr>
                <w:rFonts w:cstheme="minorHAnsi"/>
                <w:szCs w:val="18"/>
              </w:rPr>
              <w:t>Yes</w:t>
            </w:r>
          </w:p>
        </w:tc>
        <w:tc>
          <w:tcPr>
            <w:tcW w:w="1331" w:type="dxa"/>
            <w:shd w:val="clear" w:color="auto" w:fill="FFFFFF" w:themeFill="background1"/>
          </w:tcPr>
          <w:p w14:paraId="027B5614" w14:textId="7B22D1EE" w:rsidR="00D841D3" w:rsidRPr="00D06DB9" w:rsidRDefault="00D841D3" w:rsidP="00047E37">
            <w:pPr>
              <w:pStyle w:val="TableText"/>
              <w:rPr>
                <w:rFonts w:cstheme="minorHAnsi"/>
                <w:szCs w:val="18"/>
              </w:rPr>
            </w:pPr>
            <w:r w:rsidRPr="00D841D3">
              <w:rPr>
                <w:rFonts w:cstheme="minorHAnsi"/>
                <w:szCs w:val="18"/>
              </w:rPr>
              <w:t>Yes</w:t>
            </w:r>
          </w:p>
        </w:tc>
        <w:tc>
          <w:tcPr>
            <w:tcW w:w="1168" w:type="dxa"/>
            <w:shd w:val="clear" w:color="auto" w:fill="FFFFFF" w:themeFill="background1"/>
          </w:tcPr>
          <w:p w14:paraId="6004D2EA" w14:textId="44E50B9A" w:rsidR="00D841D3" w:rsidRPr="00D06DB9" w:rsidRDefault="00D841D3" w:rsidP="00047E37">
            <w:pPr>
              <w:pStyle w:val="TableText"/>
              <w:rPr>
                <w:rFonts w:cstheme="minorHAnsi"/>
                <w:szCs w:val="18"/>
              </w:rPr>
            </w:pPr>
            <w:r w:rsidRPr="00D841D3">
              <w:rPr>
                <w:rFonts w:cstheme="minorHAnsi"/>
                <w:szCs w:val="18"/>
              </w:rPr>
              <w:t>Yes</w:t>
            </w:r>
          </w:p>
        </w:tc>
        <w:tc>
          <w:tcPr>
            <w:tcW w:w="1132" w:type="dxa"/>
            <w:shd w:val="clear" w:color="auto" w:fill="FFFFFF" w:themeFill="background1"/>
          </w:tcPr>
          <w:p w14:paraId="0A2282AD" w14:textId="082B65D4" w:rsidR="00D841D3" w:rsidRPr="00D06DB9" w:rsidRDefault="00D841D3" w:rsidP="00047E37">
            <w:pPr>
              <w:pStyle w:val="TableText"/>
              <w:rPr>
                <w:rFonts w:cstheme="minorHAnsi"/>
                <w:szCs w:val="18"/>
              </w:rPr>
            </w:pPr>
            <w:r w:rsidRPr="00D841D3">
              <w:rPr>
                <w:rFonts w:cstheme="minorHAnsi"/>
                <w:szCs w:val="18"/>
              </w:rPr>
              <w:t>No</w:t>
            </w:r>
          </w:p>
        </w:tc>
        <w:tc>
          <w:tcPr>
            <w:tcW w:w="1352" w:type="dxa"/>
            <w:shd w:val="clear" w:color="auto" w:fill="FFFFFF" w:themeFill="background1"/>
          </w:tcPr>
          <w:p w14:paraId="3F023D56" w14:textId="3B23FCB2" w:rsidR="00D841D3" w:rsidRPr="00D841D3" w:rsidRDefault="00D841D3" w:rsidP="00047E37">
            <w:pPr>
              <w:pStyle w:val="TableText"/>
              <w:rPr>
                <w:rFonts w:cstheme="minorHAnsi"/>
                <w:szCs w:val="18"/>
              </w:rPr>
            </w:pPr>
            <w:r w:rsidRPr="00D841D3">
              <w:rPr>
                <w:rFonts w:cstheme="minorHAnsi"/>
                <w:szCs w:val="18"/>
              </w:rPr>
              <w:t>Yes</w:t>
            </w:r>
          </w:p>
        </w:tc>
        <w:tc>
          <w:tcPr>
            <w:tcW w:w="1228" w:type="dxa"/>
            <w:shd w:val="clear" w:color="auto" w:fill="FFFFFF" w:themeFill="background1"/>
          </w:tcPr>
          <w:p w14:paraId="53F7DB5E" w14:textId="77777777" w:rsidR="00D841D3" w:rsidRPr="00D841D3" w:rsidRDefault="00D841D3" w:rsidP="00047E37">
            <w:pPr>
              <w:pStyle w:val="TableText"/>
              <w:rPr>
                <w:rFonts w:cstheme="minorHAnsi"/>
                <w:szCs w:val="18"/>
              </w:rPr>
            </w:pPr>
            <w:r w:rsidRPr="00D841D3">
              <w:rPr>
                <w:rFonts w:cstheme="minorHAnsi"/>
                <w:szCs w:val="18"/>
              </w:rPr>
              <w:t>No</w:t>
            </w:r>
          </w:p>
        </w:tc>
        <w:tc>
          <w:tcPr>
            <w:tcW w:w="1633" w:type="dxa"/>
            <w:shd w:val="clear" w:color="auto" w:fill="FFFFFF" w:themeFill="background1"/>
          </w:tcPr>
          <w:p w14:paraId="41AB8DFF" w14:textId="77777777" w:rsidR="00D841D3" w:rsidRPr="00D841D3" w:rsidRDefault="00D841D3" w:rsidP="00047E37">
            <w:pPr>
              <w:pStyle w:val="TableText"/>
              <w:rPr>
                <w:rFonts w:cstheme="minorHAnsi"/>
                <w:szCs w:val="18"/>
              </w:rPr>
            </w:pPr>
            <w:r w:rsidRPr="00D841D3">
              <w:rPr>
                <w:rFonts w:cstheme="minorHAnsi"/>
                <w:szCs w:val="18"/>
              </w:rPr>
              <w:t>No</w:t>
            </w:r>
          </w:p>
        </w:tc>
        <w:tc>
          <w:tcPr>
            <w:tcW w:w="1846" w:type="dxa"/>
            <w:shd w:val="clear" w:color="auto" w:fill="FFFFFF" w:themeFill="background1"/>
          </w:tcPr>
          <w:p w14:paraId="4E4B3A49" w14:textId="77777777" w:rsidR="00D841D3" w:rsidRPr="00D841D3" w:rsidRDefault="00D841D3" w:rsidP="00047E37">
            <w:pPr>
              <w:pStyle w:val="TableText"/>
              <w:rPr>
                <w:rFonts w:cstheme="minorHAnsi"/>
                <w:szCs w:val="18"/>
              </w:rPr>
            </w:pPr>
            <w:r w:rsidRPr="00D841D3">
              <w:rPr>
                <w:rFonts w:cstheme="minorHAnsi"/>
                <w:szCs w:val="18"/>
              </w:rPr>
              <w:t>No</w:t>
            </w:r>
          </w:p>
        </w:tc>
      </w:tr>
      <w:tr w:rsidR="00545633" w:rsidRPr="00846769" w14:paraId="6D39A8B0" w14:textId="77777777" w:rsidTr="007A2D7B">
        <w:trPr>
          <w:trHeight w:val="149"/>
        </w:trPr>
        <w:tc>
          <w:tcPr>
            <w:tcW w:w="1420" w:type="dxa"/>
            <w:tcBorders>
              <w:top w:val="single" w:sz="4" w:space="0" w:color="auto"/>
            </w:tcBorders>
            <w:shd w:val="clear" w:color="auto" w:fill="FFFFFF" w:themeFill="background1"/>
          </w:tcPr>
          <w:p w14:paraId="41C61C4E" w14:textId="1743A307" w:rsidR="00D841D3" w:rsidRPr="00D841D3" w:rsidRDefault="00D841D3" w:rsidP="00047E37">
            <w:pPr>
              <w:pStyle w:val="TableText"/>
              <w:rPr>
                <w:rFonts w:cstheme="minorHAnsi"/>
                <w:szCs w:val="18"/>
              </w:rPr>
            </w:pPr>
            <w:r w:rsidRPr="00D841D3">
              <w:rPr>
                <w:rFonts w:cstheme="minorHAnsi"/>
                <w:szCs w:val="18"/>
              </w:rPr>
              <w:t>Fisheries and aquaculture</w:t>
            </w:r>
          </w:p>
        </w:tc>
        <w:tc>
          <w:tcPr>
            <w:tcW w:w="1698" w:type="dxa"/>
            <w:shd w:val="clear" w:color="auto" w:fill="FFFFFF" w:themeFill="background1"/>
          </w:tcPr>
          <w:p w14:paraId="6838A70A" w14:textId="77777777" w:rsidR="00D841D3" w:rsidRPr="00D841D3" w:rsidRDefault="00D841D3" w:rsidP="00047E37">
            <w:pPr>
              <w:pStyle w:val="TableText"/>
              <w:rPr>
                <w:rFonts w:cstheme="minorHAnsi"/>
                <w:szCs w:val="18"/>
              </w:rPr>
            </w:pPr>
            <w:r w:rsidRPr="00D841D3">
              <w:rPr>
                <w:rFonts w:cstheme="minorHAnsi"/>
                <w:szCs w:val="18"/>
              </w:rPr>
              <w:t>Illegal intentional introduction</w:t>
            </w:r>
          </w:p>
        </w:tc>
        <w:tc>
          <w:tcPr>
            <w:tcW w:w="1152" w:type="dxa"/>
            <w:shd w:val="clear" w:color="auto" w:fill="FFFFFF" w:themeFill="background1"/>
          </w:tcPr>
          <w:p w14:paraId="56DFF0CA" w14:textId="6C70D6F8" w:rsidR="00D841D3" w:rsidRPr="00D06DB9" w:rsidRDefault="00D841D3" w:rsidP="00047E37">
            <w:pPr>
              <w:pStyle w:val="TableText"/>
              <w:rPr>
                <w:rFonts w:cstheme="minorHAnsi"/>
                <w:szCs w:val="18"/>
              </w:rPr>
            </w:pPr>
            <w:r w:rsidRPr="00D841D3">
              <w:rPr>
                <w:rFonts w:cstheme="minorHAnsi"/>
                <w:szCs w:val="18"/>
              </w:rPr>
              <w:t>No</w:t>
            </w:r>
          </w:p>
        </w:tc>
        <w:tc>
          <w:tcPr>
            <w:tcW w:w="1331" w:type="dxa"/>
            <w:shd w:val="clear" w:color="auto" w:fill="FFFFFF" w:themeFill="background1"/>
          </w:tcPr>
          <w:p w14:paraId="6F331F7B" w14:textId="01DC9053" w:rsidR="00D841D3" w:rsidRPr="00D06DB9" w:rsidRDefault="00D841D3" w:rsidP="00047E37">
            <w:pPr>
              <w:pStyle w:val="TableText"/>
              <w:rPr>
                <w:rFonts w:cstheme="minorHAnsi"/>
                <w:szCs w:val="18"/>
              </w:rPr>
            </w:pPr>
            <w:r w:rsidRPr="00D841D3">
              <w:rPr>
                <w:rFonts w:cstheme="minorHAnsi"/>
                <w:szCs w:val="18"/>
              </w:rPr>
              <w:t>Yes</w:t>
            </w:r>
          </w:p>
        </w:tc>
        <w:tc>
          <w:tcPr>
            <w:tcW w:w="1168" w:type="dxa"/>
            <w:shd w:val="clear" w:color="auto" w:fill="FFFFFF" w:themeFill="background1"/>
          </w:tcPr>
          <w:p w14:paraId="3C74345A" w14:textId="21FADD93" w:rsidR="00D841D3" w:rsidRPr="00D06DB9" w:rsidRDefault="00D841D3" w:rsidP="00047E37">
            <w:pPr>
              <w:pStyle w:val="TableText"/>
              <w:rPr>
                <w:rFonts w:cstheme="minorHAnsi"/>
                <w:szCs w:val="18"/>
              </w:rPr>
            </w:pPr>
            <w:r w:rsidRPr="00D841D3">
              <w:rPr>
                <w:rFonts w:cstheme="minorHAnsi"/>
                <w:szCs w:val="18"/>
              </w:rPr>
              <w:t>No</w:t>
            </w:r>
          </w:p>
        </w:tc>
        <w:tc>
          <w:tcPr>
            <w:tcW w:w="1132" w:type="dxa"/>
            <w:shd w:val="clear" w:color="auto" w:fill="FFFFFF" w:themeFill="background1"/>
          </w:tcPr>
          <w:p w14:paraId="1EAECDF3" w14:textId="03EE266C" w:rsidR="00D841D3" w:rsidRPr="00D06DB9" w:rsidRDefault="00D841D3" w:rsidP="00047E37">
            <w:pPr>
              <w:pStyle w:val="TableText"/>
              <w:rPr>
                <w:rFonts w:cstheme="minorHAnsi"/>
                <w:szCs w:val="18"/>
              </w:rPr>
            </w:pPr>
            <w:r w:rsidRPr="00D841D3">
              <w:rPr>
                <w:rFonts w:cstheme="minorHAnsi"/>
                <w:szCs w:val="18"/>
              </w:rPr>
              <w:t>No</w:t>
            </w:r>
          </w:p>
        </w:tc>
        <w:tc>
          <w:tcPr>
            <w:tcW w:w="1352" w:type="dxa"/>
            <w:shd w:val="clear" w:color="auto" w:fill="FFFFFF" w:themeFill="background1"/>
          </w:tcPr>
          <w:p w14:paraId="606D0824" w14:textId="58766A03" w:rsidR="00D841D3" w:rsidRPr="00D841D3" w:rsidRDefault="00D841D3" w:rsidP="00047E37">
            <w:pPr>
              <w:pStyle w:val="TableText"/>
              <w:rPr>
                <w:rFonts w:cstheme="minorHAnsi"/>
                <w:szCs w:val="18"/>
              </w:rPr>
            </w:pPr>
            <w:r w:rsidRPr="00D841D3">
              <w:rPr>
                <w:rFonts w:cstheme="minorHAnsi"/>
                <w:szCs w:val="18"/>
              </w:rPr>
              <w:t>No</w:t>
            </w:r>
          </w:p>
        </w:tc>
        <w:tc>
          <w:tcPr>
            <w:tcW w:w="1228" w:type="dxa"/>
            <w:shd w:val="clear" w:color="auto" w:fill="FFFFFF" w:themeFill="background1"/>
          </w:tcPr>
          <w:p w14:paraId="51DE414B" w14:textId="77777777" w:rsidR="00D841D3" w:rsidRPr="00D841D3" w:rsidRDefault="00D841D3" w:rsidP="00047E37">
            <w:pPr>
              <w:pStyle w:val="TableText"/>
              <w:rPr>
                <w:rFonts w:cstheme="minorHAnsi"/>
                <w:szCs w:val="18"/>
              </w:rPr>
            </w:pPr>
            <w:r w:rsidRPr="00D841D3">
              <w:rPr>
                <w:rFonts w:cstheme="minorHAnsi"/>
                <w:szCs w:val="18"/>
              </w:rPr>
              <w:t>Yes</w:t>
            </w:r>
          </w:p>
        </w:tc>
        <w:tc>
          <w:tcPr>
            <w:tcW w:w="1633" w:type="dxa"/>
            <w:shd w:val="clear" w:color="auto" w:fill="FFFFFF" w:themeFill="background1"/>
          </w:tcPr>
          <w:p w14:paraId="612333E6" w14:textId="77777777" w:rsidR="00D841D3" w:rsidRPr="00D841D3" w:rsidRDefault="00D841D3" w:rsidP="00047E37">
            <w:pPr>
              <w:pStyle w:val="TableText"/>
              <w:rPr>
                <w:rFonts w:cstheme="minorHAnsi"/>
                <w:szCs w:val="18"/>
              </w:rPr>
            </w:pPr>
            <w:r w:rsidRPr="00D841D3">
              <w:rPr>
                <w:rFonts w:cstheme="minorHAnsi"/>
                <w:szCs w:val="18"/>
              </w:rPr>
              <w:t>No</w:t>
            </w:r>
          </w:p>
        </w:tc>
        <w:tc>
          <w:tcPr>
            <w:tcW w:w="1846" w:type="dxa"/>
            <w:shd w:val="clear" w:color="auto" w:fill="FFFFFF" w:themeFill="background1"/>
          </w:tcPr>
          <w:p w14:paraId="62C2FB90" w14:textId="77777777" w:rsidR="00D841D3" w:rsidRPr="00D841D3" w:rsidRDefault="00D841D3" w:rsidP="00047E37">
            <w:pPr>
              <w:pStyle w:val="TableText"/>
              <w:rPr>
                <w:rFonts w:cstheme="minorHAnsi"/>
                <w:szCs w:val="18"/>
              </w:rPr>
            </w:pPr>
            <w:r w:rsidRPr="00D841D3">
              <w:rPr>
                <w:rFonts w:cstheme="minorHAnsi"/>
                <w:szCs w:val="18"/>
              </w:rPr>
              <w:t>No</w:t>
            </w:r>
          </w:p>
        </w:tc>
      </w:tr>
      <w:tr w:rsidR="00A04E26" w:rsidRPr="00846769" w14:paraId="382CC3B2" w14:textId="77777777" w:rsidTr="00A04E26">
        <w:trPr>
          <w:trHeight w:val="800"/>
        </w:trPr>
        <w:tc>
          <w:tcPr>
            <w:tcW w:w="1420" w:type="dxa"/>
            <w:shd w:val="clear" w:color="auto" w:fill="FFFFFF" w:themeFill="background1"/>
          </w:tcPr>
          <w:p w14:paraId="58095EEC" w14:textId="55317290" w:rsidR="006A63DA" w:rsidRPr="00D841D3" w:rsidRDefault="006A63DA" w:rsidP="00047E37">
            <w:pPr>
              <w:pStyle w:val="TableText"/>
              <w:rPr>
                <w:rFonts w:cstheme="minorHAnsi"/>
                <w:szCs w:val="18"/>
              </w:rPr>
            </w:pPr>
            <w:r w:rsidRPr="00D841D3">
              <w:rPr>
                <w:rFonts w:cstheme="minorHAnsi"/>
                <w:szCs w:val="18"/>
              </w:rPr>
              <w:t>Natural dispersal</w:t>
            </w:r>
          </w:p>
        </w:tc>
        <w:tc>
          <w:tcPr>
            <w:tcW w:w="1698" w:type="dxa"/>
            <w:shd w:val="clear" w:color="auto" w:fill="FFFFFF" w:themeFill="background1"/>
          </w:tcPr>
          <w:p w14:paraId="7A8B6EA7" w14:textId="6504E676" w:rsidR="006A63DA" w:rsidRPr="00D841D3" w:rsidRDefault="006A63DA" w:rsidP="00047E37">
            <w:pPr>
              <w:pStyle w:val="TableText"/>
              <w:rPr>
                <w:rFonts w:cstheme="minorHAnsi"/>
                <w:szCs w:val="18"/>
              </w:rPr>
            </w:pPr>
            <w:r w:rsidRPr="00D841D3">
              <w:rPr>
                <w:rFonts w:cstheme="minorHAnsi"/>
                <w:szCs w:val="18"/>
              </w:rPr>
              <w:t>Natural range extension through larvae</w:t>
            </w:r>
          </w:p>
        </w:tc>
        <w:tc>
          <w:tcPr>
            <w:tcW w:w="1152" w:type="dxa"/>
            <w:shd w:val="clear" w:color="auto" w:fill="FFFFFF" w:themeFill="background1"/>
          </w:tcPr>
          <w:p w14:paraId="7A574FA2" w14:textId="080A2924" w:rsidR="006A63DA" w:rsidRPr="00D06DB9" w:rsidRDefault="006A63DA" w:rsidP="00047E37">
            <w:pPr>
              <w:pStyle w:val="TableText"/>
              <w:rPr>
                <w:rFonts w:cstheme="minorHAnsi"/>
                <w:szCs w:val="18"/>
              </w:rPr>
            </w:pPr>
            <w:r w:rsidRPr="00D841D3">
              <w:rPr>
                <w:rFonts w:cstheme="minorHAnsi"/>
                <w:szCs w:val="18"/>
              </w:rPr>
              <w:t>Yes</w:t>
            </w:r>
          </w:p>
        </w:tc>
        <w:tc>
          <w:tcPr>
            <w:tcW w:w="1331" w:type="dxa"/>
            <w:shd w:val="clear" w:color="auto" w:fill="FFFFFF" w:themeFill="background1"/>
          </w:tcPr>
          <w:p w14:paraId="4B70402E" w14:textId="08D90F9E" w:rsidR="006A63DA" w:rsidRPr="00D06DB9" w:rsidRDefault="006A63DA" w:rsidP="00047E37">
            <w:pPr>
              <w:pStyle w:val="TableText"/>
              <w:rPr>
                <w:rFonts w:cstheme="minorHAnsi"/>
                <w:szCs w:val="18"/>
              </w:rPr>
            </w:pPr>
            <w:r w:rsidRPr="00D841D3">
              <w:rPr>
                <w:rFonts w:cstheme="minorHAnsi"/>
                <w:szCs w:val="18"/>
              </w:rPr>
              <w:t>Yes</w:t>
            </w:r>
          </w:p>
        </w:tc>
        <w:tc>
          <w:tcPr>
            <w:tcW w:w="1168" w:type="dxa"/>
            <w:shd w:val="clear" w:color="auto" w:fill="FFFFFF" w:themeFill="background1"/>
          </w:tcPr>
          <w:p w14:paraId="6BCF37A7" w14:textId="0A38C318" w:rsidR="006A63DA" w:rsidRPr="00D06DB9" w:rsidRDefault="006A63DA" w:rsidP="00047E37">
            <w:pPr>
              <w:pStyle w:val="TableText"/>
              <w:rPr>
                <w:rFonts w:cstheme="minorHAnsi"/>
                <w:szCs w:val="18"/>
              </w:rPr>
            </w:pPr>
            <w:r w:rsidRPr="00D841D3">
              <w:rPr>
                <w:rFonts w:cstheme="minorHAnsi"/>
                <w:szCs w:val="18"/>
              </w:rPr>
              <w:t>Yes</w:t>
            </w:r>
          </w:p>
        </w:tc>
        <w:tc>
          <w:tcPr>
            <w:tcW w:w="1132" w:type="dxa"/>
            <w:shd w:val="clear" w:color="auto" w:fill="FFFFFF" w:themeFill="background1"/>
          </w:tcPr>
          <w:p w14:paraId="61DB0E43" w14:textId="3EA12704" w:rsidR="006A63DA" w:rsidRPr="00D06DB9" w:rsidRDefault="006A63DA" w:rsidP="00047E37">
            <w:pPr>
              <w:pStyle w:val="TableText"/>
              <w:rPr>
                <w:rFonts w:cstheme="minorHAnsi"/>
                <w:szCs w:val="18"/>
              </w:rPr>
            </w:pPr>
            <w:r w:rsidRPr="00D841D3">
              <w:rPr>
                <w:rFonts w:cstheme="minorHAnsi"/>
                <w:szCs w:val="18"/>
              </w:rPr>
              <w:t>Yes</w:t>
            </w:r>
          </w:p>
        </w:tc>
        <w:tc>
          <w:tcPr>
            <w:tcW w:w="1352" w:type="dxa"/>
            <w:shd w:val="clear" w:color="auto" w:fill="FFFFFF" w:themeFill="background1"/>
          </w:tcPr>
          <w:p w14:paraId="52210496" w14:textId="4762A03D" w:rsidR="006A63DA" w:rsidRPr="00D841D3" w:rsidRDefault="006A63DA" w:rsidP="00047E37">
            <w:pPr>
              <w:pStyle w:val="TableText"/>
              <w:rPr>
                <w:rFonts w:cstheme="minorHAnsi"/>
                <w:szCs w:val="18"/>
              </w:rPr>
            </w:pPr>
            <w:r w:rsidRPr="00D841D3">
              <w:rPr>
                <w:rFonts w:cstheme="minorHAnsi"/>
                <w:szCs w:val="18"/>
              </w:rPr>
              <w:t>Yes</w:t>
            </w:r>
          </w:p>
        </w:tc>
        <w:tc>
          <w:tcPr>
            <w:tcW w:w="1228" w:type="dxa"/>
            <w:shd w:val="clear" w:color="auto" w:fill="FFFFFF" w:themeFill="background1"/>
          </w:tcPr>
          <w:p w14:paraId="57B9DB83" w14:textId="2DAA318F" w:rsidR="006A63DA" w:rsidRPr="00D841D3" w:rsidRDefault="006A63DA" w:rsidP="00047E37">
            <w:pPr>
              <w:pStyle w:val="TableText"/>
              <w:rPr>
                <w:rFonts w:cstheme="minorHAnsi"/>
                <w:szCs w:val="18"/>
              </w:rPr>
            </w:pPr>
            <w:r w:rsidRPr="00D841D3">
              <w:rPr>
                <w:rFonts w:cstheme="minorHAnsi"/>
                <w:szCs w:val="18"/>
              </w:rPr>
              <w:t>Yes</w:t>
            </w:r>
          </w:p>
        </w:tc>
        <w:tc>
          <w:tcPr>
            <w:tcW w:w="1633" w:type="dxa"/>
            <w:shd w:val="clear" w:color="auto" w:fill="FFFFFF" w:themeFill="background1"/>
          </w:tcPr>
          <w:p w14:paraId="466E7C9F" w14:textId="753BF5EA" w:rsidR="006A63DA" w:rsidRPr="00D841D3" w:rsidRDefault="006A63DA" w:rsidP="00047E37">
            <w:pPr>
              <w:pStyle w:val="TableText"/>
              <w:rPr>
                <w:rFonts w:cstheme="minorHAnsi"/>
                <w:szCs w:val="18"/>
              </w:rPr>
            </w:pPr>
            <w:r w:rsidRPr="00D841D3">
              <w:rPr>
                <w:rFonts w:cstheme="minorHAnsi"/>
                <w:szCs w:val="18"/>
              </w:rPr>
              <w:t>Yes</w:t>
            </w:r>
          </w:p>
        </w:tc>
        <w:tc>
          <w:tcPr>
            <w:tcW w:w="1846" w:type="dxa"/>
            <w:shd w:val="clear" w:color="auto" w:fill="FFFFFF" w:themeFill="background1"/>
          </w:tcPr>
          <w:p w14:paraId="14A5D017" w14:textId="18561057" w:rsidR="006A63DA" w:rsidRPr="00D841D3" w:rsidRDefault="006A63DA" w:rsidP="00047E37">
            <w:pPr>
              <w:pStyle w:val="TableText"/>
              <w:rPr>
                <w:rFonts w:cstheme="minorHAnsi"/>
                <w:szCs w:val="18"/>
              </w:rPr>
            </w:pPr>
            <w:r w:rsidRPr="00D841D3">
              <w:rPr>
                <w:rFonts w:cstheme="minorHAnsi"/>
                <w:szCs w:val="18"/>
              </w:rPr>
              <w:t>Yes</w:t>
            </w:r>
          </w:p>
        </w:tc>
      </w:tr>
      <w:tr w:rsidR="00A04E26" w:rsidRPr="00846769" w14:paraId="575A4AD4" w14:textId="77777777" w:rsidTr="00A04E26">
        <w:trPr>
          <w:trHeight w:val="1027"/>
        </w:trPr>
        <w:tc>
          <w:tcPr>
            <w:tcW w:w="1420" w:type="dxa"/>
            <w:shd w:val="clear" w:color="auto" w:fill="FFFFFF" w:themeFill="background1"/>
          </w:tcPr>
          <w:p w14:paraId="285C4621" w14:textId="77777777" w:rsidR="000407FA" w:rsidRPr="00D841D3" w:rsidRDefault="000407FA" w:rsidP="00047E37">
            <w:pPr>
              <w:pStyle w:val="TableText"/>
              <w:rPr>
                <w:rFonts w:cstheme="minorHAnsi"/>
                <w:szCs w:val="18"/>
              </w:rPr>
            </w:pPr>
            <w:r w:rsidRPr="00D841D3">
              <w:rPr>
                <w:rFonts w:cstheme="minorHAnsi"/>
                <w:szCs w:val="18"/>
              </w:rPr>
              <w:t>Debris and flotsam</w:t>
            </w:r>
          </w:p>
        </w:tc>
        <w:tc>
          <w:tcPr>
            <w:tcW w:w="1698" w:type="dxa"/>
            <w:shd w:val="clear" w:color="auto" w:fill="FFFFFF" w:themeFill="background1"/>
          </w:tcPr>
          <w:p w14:paraId="76FB17E2" w14:textId="77777777" w:rsidR="000407FA" w:rsidRPr="00D841D3" w:rsidRDefault="000407FA" w:rsidP="00047E37">
            <w:pPr>
              <w:pStyle w:val="TableText"/>
              <w:rPr>
                <w:rFonts w:cstheme="minorHAnsi"/>
                <w:szCs w:val="18"/>
              </w:rPr>
            </w:pPr>
            <w:r w:rsidRPr="00D841D3">
              <w:rPr>
                <w:rFonts w:cstheme="minorHAnsi"/>
                <w:szCs w:val="18"/>
              </w:rPr>
              <w:t>Dispersal associated with debris and flotsam</w:t>
            </w:r>
          </w:p>
        </w:tc>
        <w:tc>
          <w:tcPr>
            <w:tcW w:w="1152" w:type="dxa"/>
            <w:shd w:val="clear" w:color="auto" w:fill="FFFFFF" w:themeFill="background1"/>
          </w:tcPr>
          <w:p w14:paraId="762EAF61" w14:textId="0B7F7939" w:rsidR="000407FA" w:rsidRPr="00D06DB9" w:rsidRDefault="000407FA" w:rsidP="00047E37">
            <w:pPr>
              <w:pStyle w:val="TableText"/>
              <w:rPr>
                <w:rFonts w:cstheme="minorHAnsi"/>
                <w:szCs w:val="18"/>
              </w:rPr>
            </w:pPr>
            <w:r w:rsidRPr="00D841D3">
              <w:rPr>
                <w:rFonts w:cstheme="minorHAnsi"/>
                <w:szCs w:val="18"/>
              </w:rPr>
              <w:t>Yes</w:t>
            </w:r>
          </w:p>
        </w:tc>
        <w:tc>
          <w:tcPr>
            <w:tcW w:w="1331" w:type="dxa"/>
            <w:shd w:val="clear" w:color="auto" w:fill="FFFFFF" w:themeFill="background1"/>
          </w:tcPr>
          <w:p w14:paraId="3B3A4981" w14:textId="6AE479F0" w:rsidR="000407FA" w:rsidRPr="00D06DB9" w:rsidRDefault="000407FA" w:rsidP="00047E37">
            <w:pPr>
              <w:pStyle w:val="TableText"/>
              <w:rPr>
                <w:rFonts w:cstheme="minorHAnsi"/>
                <w:szCs w:val="18"/>
              </w:rPr>
            </w:pPr>
            <w:r w:rsidRPr="00D841D3">
              <w:rPr>
                <w:rFonts w:cstheme="minorHAnsi"/>
                <w:szCs w:val="18"/>
              </w:rPr>
              <w:t>Yes</w:t>
            </w:r>
          </w:p>
        </w:tc>
        <w:tc>
          <w:tcPr>
            <w:tcW w:w="1168" w:type="dxa"/>
            <w:shd w:val="clear" w:color="auto" w:fill="FFFFFF" w:themeFill="background1"/>
          </w:tcPr>
          <w:p w14:paraId="449D5773" w14:textId="69C9E3E2" w:rsidR="000407FA" w:rsidRPr="00D06DB9" w:rsidRDefault="000407FA" w:rsidP="00047E37">
            <w:pPr>
              <w:pStyle w:val="TableText"/>
              <w:rPr>
                <w:rFonts w:cstheme="minorHAnsi"/>
                <w:szCs w:val="18"/>
              </w:rPr>
            </w:pPr>
            <w:r w:rsidRPr="00D841D3">
              <w:rPr>
                <w:rFonts w:cstheme="minorHAnsi"/>
                <w:szCs w:val="18"/>
              </w:rPr>
              <w:t>No</w:t>
            </w:r>
          </w:p>
        </w:tc>
        <w:tc>
          <w:tcPr>
            <w:tcW w:w="1132" w:type="dxa"/>
            <w:shd w:val="clear" w:color="auto" w:fill="FFFFFF" w:themeFill="background1"/>
          </w:tcPr>
          <w:p w14:paraId="59933CBE" w14:textId="0230314A" w:rsidR="000407FA" w:rsidRPr="00D06DB9" w:rsidRDefault="000407FA" w:rsidP="00047E37">
            <w:pPr>
              <w:pStyle w:val="TableText"/>
              <w:rPr>
                <w:rFonts w:cstheme="minorHAnsi"/>
                <w:szCs w:val="18"/>
              </w:rPr>
            </w:pPr>
            <w:r w:rsidRPr="00D841D3">
              <w:rPr>
                <w:rFonts w:cstheme="minorHAnsi"/>
                <w:szCs w:val="18"/>
              </w:rPr>
              <w:t>Yes</w:t>
            </w:r>
          </w:p>
        </w:tc>
        <w:tc>
          <w:tcPr>
            <w:tcW w:w="1352" w:type="dxa"/>
            <w:shd w:val="clear" w:color="auto" w:fill="FFFFFF" w:themeFill="background1"/>
          </w:tcPr>
          <w:p w14:paraId="19D02646" w14:textId="7046A610" w:rsidR="000407FA" w:rsidRPr="00D841D3" w:rsidRDefault="000407FA" w:rsidP="00047E37">
            <w:pPr>
              <w:pStyle w:val="TableText"/>
              <w:rPr>
                <w:rFonts w:cstheme="minorHAnsi"/>
                <w:szCs w:val="18"/>
              </w:rPr>
            </w:pPr>
            <w:r w:rsidRPr="00D841D3">
              <w:rPr>
                <w:rFonts w:cstheme="minorHAnsi"/>
                <w:szCs w:val="18"/>
              </w:rPr>
              <w:t>Yes</w:t>
            </w:r>
          </w:p>
        </w:tc>
        <w:tc>
          <w:tcPr>
            <w:tcW w:w="1228" w:type="dxa"/>
            <w:shd w:val="clear" w:color="auto" w:fill="FFFFFF" w:themeFill="background1"/>
          </w:tcPr>
          <w:p w14:paraId="615917EE" w14:textId="77777777" w:rsidR="000407FA" w:rsidRPr="00D841D3" w:rsidRDefault="000407FA" w:rsidP="00047E37">
            <w:pPr>
              <w:pStyle w:val="TableText"/>
              <w:rPr>
                <w:rFonts w:cstheme="minorHAnsi"/>
                <w:szCs w:val="18"/>
              </w:rPr>
            </w:pPr>
            <w:r w:rsidRPr="00D841D3">
              <w:rPr>
                <w:rFonts w:cstheme="minorHAnsi"/>
                <w:szCs w:val="18"/>
              </w:rPr>
              <w:t>Yes</w:t>
            </w:r>
          </w:p>
        </w:tc>
        <w:tc>
          <w:tcPr>
            <w:tcW w:w="1633" w:type="dxa"/>
            <w:shd w:val="clear" w:color="auto" w:fill="FFFFFF" w:themeFill="background1"/>
          </w:tcPr>
          <w:p w14:paraId="0FDC2084" w14:textId="77777777" w:rsidR="000407FA" w:rsidRPr="00D841D3" w:rsidRDefault="000407FA" w:rsidP="00047E37">
            <w:pPr>
              <w:pStyle w:val="TableText"/>
              <w:rPr>
                <w:rFonts w:cstheme="minorHAnsi"/>
                <w:szCs w:val="18"/>
              </w:rPr>
            </w:pPr>
            <w:r w:rsidRPr="00D841D3">
              <w:rPr>
                <w:rFonts w:cstheme="minorHAnsi"/>
                <w:szCs w:val="18"/>
              </w:rPr>
              <w:t>No</w:t>
            </w:r>
          </w:p>
        </w:tc>
        <w:tc>
          <w:tcPr>
            <w:tcW w:w="1846" w:type="dxa"/>
            <w:shd w:val="clear" w:color="auto" w:fill="FFFFFF" w:themeFill="background1"/>
          </w:tcPr>
          <w:p w14:paraId="603B207D" w14:textId="77777777" w:rsidR="000407FA" w:rsidRPr="00D841D3" w:rsidRDefault="000407FA" w:rsidP="00047E37">
            <w:pPr>
              <w:pStyle w:val="TableText"/>
              <w:rPr>
                <w:rFonts w:cstheme="minorHAnsi"/>
                <w:szCs w:val="18"/>
              </w:rPr>
            </w:pPr>
            <w:r w:rsidRPr="00D841D3">
              <w:rPr>
                <w:rFonts w:cstheme="minorHAnsi"/>
                <w:szCs w:val="18"/>
              </w:rPr>
              <w:t>No</w:t>
            </w:r>
          </w:p>
        </w:tc>
      </w:tr>
    </w:tbl>
    <w:p w14:paraId="583CA7A6" w14:textId="77777777" w:rsidR="007A2D7B" w:rsidRPr="00B840C5" w:rsidRDefault="007A2D7B" w:rsidP="007A2D7B">
      <w:pPr>
        <w:pStyle w:val="FootnoteText"/>
        <w:rPr>
          <w:sz w:val="18"/>
          <w:szCs w:val="18"/>
        </w:rPr>
      </w:pPr>
      <w:r w:rsidRPr="00A04E26">
        <w:rPr>
          <w:rStyle w:val="FootnoteReference"/>
          <w:b/>
          <w:bCs/>
          <w:sz w:val="18"/>
          <w:szCs w:val="18"/>
          <w:vertAlign w:val="baseline"/>
        </w:rPr>
        <w:t>a</w:t>
      </w:r>
      <w:r>
        <w:t xml:space="preserve"> </w:t>
      </w:r>
      <w:r w:rsidRPr="00B840C5">
        <w:rPr>
          <w:sz w:val="18"/>
          <w:szCs w:val="18"/>
        </w:rPr>
        <w:t xml:space="preserve">Pathways and vectors will be similar for </w:t>
      </w:r>
      <w:r w:rsidRPr="00B840C5">
        <w:rPr>
          <w:i/>
          <w:iCs/>
          <w:sz w:val="18"/>
          <w:szCs w:val="18"/>
        </w:rPr>
        <w:t xml:space="preserve">Magallana ariakensis, M. bilineata, </w:t>
      </w:r>
      <w:r w:rsidRPr="00B840C5">
        <w:rPr>
          <w:sz w:val="18"/>
          <w:szCs w:val="18"/>
        </w:rPr>
        <w:t xml:space="preserve">and </w:t>
      </w:r>
      <w:r w:rsidRPr="00B840C5">
        <w:rPr>
          <w:i/>
          <w:iCs/>
          <w:sz w:val="18"/>
          <w:szCs w:val="18"/>
        </w:rPr>
        <w:t xml:space="preserve">M. gigas </w:t>
      </w:r>
    </w:p>
    <w:p w14:paraId="29F8824B" w14:textId="77777777" w:rsidR="007A2D7B" w:rsidRPr="00E50FDC" w:rsidRDefault="007A2D7B" w:rsidP="007A2D7B">
      <w:pPr>
        <w:pStyle w:val="FootnoteText"/>
        <w:rPr>
          <w:lang w:val="en-NZ"/>
        </w:rPr>
      </w:pPr>
      <w:r w:rsidRPr="00A04E26">
        <w:rPr>
          <w:rStyle w:val="FootnoteReference"/>
          <w:b/>
          <w:bCs/>
          <w:sz w:val="18"/>
          <w:szCs w:val="18"/>
          <w:vertAlign w:val="baseline"/>
        </w:rPr>
        <w:t>b</w:t>
      </w:r>
      <w:r>
        <w:t xml:space="preserve"> </w:t>
      </w:r>
      <w:r w:rsidRPr="00B840C5">
        <w:rPr>
          <w:sz w:val="18"/>
          <w:szCs w:val="18"/>
          <w:lang w:val="en-NZ"/>
        </w:rPr>
        <w:t xml:space="preserve">Pathways and vectors will be similar for </w:t>
      </w:r>
      <w:r w:rsidRPr="00B840C5">
        <w:rPr>
          <w:i/>
          <w:iCs/>
          <w:sz w:val="18"/>
          <w:szCs w:val="18"/>
          <w:lang w:val="en-NZ"/>
        </w:rPr>
        <w:t xml:space="preserve">Mya arenaria </w:t>
      </w:r>
      <w:r w:rsidRPr="00B840C5">
        <w:rPr>
          <w:sz w:val="18"/>
          <w:szCs w:val="18"/>
          <w:lang w:val="en-NZ"/>
        </w:rPr>
        <w:t xml:space="preserve">and </w:t>
      </w:r>
      <w:r w:rsidRPr="00B840C5">
        <w:rPr>
          <w:i/>
          <w:iCs/>
          <w:sz w:val="18"/>
          <w:szCs w:val="18"/>
          <w:lang w:val="en-NZ"/>
        </w:rPr>
        <w:t>M. japonica</w:t>
      </w:r>
      <w:r w:rsidRPr="00B840C5">
        <w:rPr>
          <w:sz w:val="18"/>
          <w:szCs w:val="18"/>
          <w:lang w:val="en-NZ"/>
        </w:rPr>
        <w:t>.</w:t>
      </w:r>
    </w:p>
    <w:p w14:paraId="3DAB3BCE" w14:textId="77777777" w:rsidR="007A2D7B" w:rsidRPr="001A68FD" w:rsidRDefault="007A2D7B" w:rsidP="007A2D7B">
      <w:pPr>
        <w:pStyle w:val="FootnoteText"/>
        <w:rPr>
          <w:i/>
          <w:iCs/>
          <w:lang w:val="en-NZ"/>
        </w:rPr>
      </w:pPr>
      <w:r w:rsidRPr="00A04E26">
        <w:rPr>
          <w:rStyle w:val="FootnoteReference"/>
          <w:b/>
          <w:bCs/>
          <w:sz w:val="18"/>
          <w:szCs w:val="18"/>
          <w:vertAlign w:val="baseline"/>
        </w:rPr>
        <w:t>c</w:t>
      </w:r>
      <w:r>
        <w:t xml:space="preserve"> </w:t>
      </w:r>
      <w:r w:rsidRPr="00B840C5">
        <w:rPr>
          <w:sz w:val="18"/>
          <w:szCs w:val="18"/>
        </w:rPr>
        <w:t xml:space="preserve">Pathways and vectors will be similar for </w:t>
      </w:r>
      <w:r w:rsidRPr="00B840C5">
        <w:rPr>
          <w:i/>
          <w:iCs/>
          <w:sz w:val="18"/>
          <w:szCs w:val="18"/>
        </w:rPr>
        <w:t>Perna canaliculus, P. perna</w:t>
      </w:r>
      <w:r w:rsidRPr="00B840C5">
        <w:rPr>
          <w:sz w:val="18"/>
          <w:szCs w:val="18"/>
        </w:rPr>
        <w:t xml:space="preserve"> and </w:t>
      </w:r>
      <w:r w:rsidRPr="00B840C5">
        <w:rPr>
          <w:i/>
          <w:iCs/>
          <w:sz w:val="18"/>
          <w:szCs w:val="18"/>
        </w:rPr>
        <w:t xml:space="preserve">P. viridis </w:t>
      </w:r>
    </w:p>
    <w:p w14:paraId="5C4BCFE0" w14:textId="2AC5E929" w:rsidR="007E5089" w:rsidRPr="00846769" w:rsidRDefault="007A2D7B" w:rsidP="00BF317B">
      <w:pPr>
        <w:rPr>
          <w:lang w:eastAsia="ja-JP"/>
        </w:rPr>
        <w:sectPr w:rsidR="007E5089" w:rsidRPr="00846769" w:rsidSect="001D1D74">
          <w:pgSz w:w="16838" w:h="11906" w:orient="landscape"/>
          <w:pgMar w:top="1440" w:right="1440" w:bottom="1440" w:left="1440" w:header="708" w:footer="708" w:gutter="0"/>
          <w:cols w:space="708"/>
          <w:docGrid w:linePitch="360"/>
        </w:sectPr>
      </w:pPr>
      <w:r w:rsidRPr="00A04E26">
        <w:rPr>
          <w:rStyle w:val="FootnoteReference"/>
          <w:b/>
          <w:bCs/>
          <w:sz w:val="18"/>
          <w:szCs w:val="18"/>
          <w:vertAlign w:val="baseline"/>
        </w:rPr>
        <w:t>d</w:t>
      </w:r>
      <w:r>
        <w:t xml:space="preserve"> </w:t>
      </w:r>
      <w:r w:rsidRPr="00A04E26">
        <w:rPr>
          <w:sz w:val="18"/>
          <w:szCs w:val="18"/>
        </w:rPr>
        <w:t>Unlikely over long distances because of the short larval period (approximately 2 days).</w:t>
      </w:r>
      <w:r w:rsidR="0027499C" w:rsidRPr="0027499C">
        <w:rPr>
          <w:rStyle w:val="CommentReference"/>
        </w:rPr>
        <w:t xml:space="preserve"> </w:t>
      </w:r>
    </w:p>
    <w:p w14:paraId="39EA7512" w14:textId="77777777" w:rsidR="006939E1" w:rsidRPr="00846769" w:rsidRDefault="00B5740F" w:rsidP="00BF317B">
      <w:pPr>
        <w:pStyle w:val="Heading3"/>
        <w:numPr>
          <w:ilvl w:val="1"/>
          <w:numId w:val="4"/>
        </w:numPr>
      </w:pPr>
      <w:bookmarkStart w:id="302" w:name="_Biofouling"/>
      <w:bookmarkStart w:id="303" w:name="_Toc87599096"/>
      <w:bookmarkStart w:id="304" w:name="_Toc191998656"/>
      <w:bookmarkEnd w:id="302"/>
      <w:r w:rsidRPr="00846769">
        <w:lastRenderedPageBreak/>
        <w:t>Biofouling</w:t>
      </w:r>
      <w:bookmarkEnd w:id="303"/>
      <w:bookmarkEnd w:id="304"/>
    </w:p>
    <w:p w14:paraId="6D9FE5BD" w14:textId="59395325" w:rsidR="00BE1CD6" w:rsidRPr="00846769" w:rsidRDefault="00BE1CD6" w:rsidP="00BF317B">
      <w:pPr>
        <w:rPr>
          <w:lang w:eastAsia="ja-JP"/>
        </w:rPr>
      </w:pPr>
      <w:bookmarkStart w:id="305" w:name="_Hlk170687876"/>
      <w:r w:rsidRPr="00846769">
        <w:rPr>
          <w:rFonts w:cstheme="minorHAnsi"/>
        </w:rPr>
        <w:t xml:space="preserve">Biofouling can occur on all fixed or mobile structures immersed or exposed to the water. Fouling communities typically comprise </w:t>
      </w:r>
      <w:r w:rsidR="002B7AFC" w:rsidRPr="00846769">
        <w:rPr>
          <w:rFonts w:cstheme="minorHAnsi"/>
        </w:rPr>
        <w:t>s</w:t>
      </w:r>
      <w:r w:rsidRPr="00846769">
        <w:rPr>
          <w:rFonts w:cstheme="minorHAnsi"/>
        </w:rPr>
        <w:t xml:space="preserve">essile and encrusting organisms </w:t>
      </w:r>
      <w:r w:rsidRPr="00846769">
        <w:rPr>
          <w:lang w:eastAsia="ja-JP"/>
        </w:rPr>
        <w:t>such as algae, barnacles, bivalves, tubeworms, hydroids</w:t>
      </w:r>
      <w:r w:rsidR="003C1292" w:rsidRPr="00846769">
        <w:rPr>
          <w:lang w:eastAsia="ja-JP"/>
        </w:rPr>
        <w:t>,</w:t>
      </w:r>
      <w:r w:rsidRPr="00846769">
        <w:rPr>
          <w:lang w:eastAsia="ja-JP"/>
        </w:rPr>
        <w:t xml:space="preserve"> and ascidians that have attached and are in a sessile life</w:t>
      </w:r>
      <w:r w:rsidRPr="00846769">
        <w:rPr>
          <w:lang w:eastAsia="ja-JP"/>
        </w:rPr>
        <w:noBreakHyphen/>
        <w:t xml:space="preserve">stage. If the </w:t>
      </w:r>
      <w:r w:rsidRPr="00846769">
        <w:rPr>
          <w:rFonts w:cstheme="minorHAnsi"/>
        </w:rPr>
        <w:t xml:space="preserve">fouling layer is dense enough, it can provide shelter and support mobile species </w:t>
      </w:r>
      <w:r w:rsidRPr="00846769">
        <w:rPr>
          <w:lang w:eastAsia="ja-JP"/>
        </w:rPr>
        <w:t>such as amphipods, crabs, seastars</w:t>
      </w:r>
      <w:r w:rsidR="003C1292" w:rsidRPr="00846769">
        <w:rPr>
          <w:lang w:eastAsia="ja-JP"/>
        </w:rPr>
        <w:t>,</w:t>
      </w:r>
      <w:r w:rsidRPr="00846769">
        <w:rPr>
          <w:lang w:eastAsia="ja-JP"/>
        </w:rPr>
        <w:t xml:space="preserve"> and fish that may live in or among the fouling species.</w:t>
      </w:r>
    </w:p>
    <w:p w14:paraId="3306452A" w14:textId="22B0C55E" w:rsidR="009953E1" w:rsidRPr="00846769" w:rsidRDefault="009953E1" w:rsidP="00BF317B">
      <w:pPr>
        <w:rPr>
          <w:rFonts w:cstheme="minorHAnsi"/>
        </w:rPr>
      </w:pPr>
      <w:r w:rsidRPr="00846769">
        <w:rPr>
          <w:rFonts w:cstheme="minorHAnsi"/>
        </w:rPr>
        <w:t>International and domestic shipping has facilitated the spread of marine pests more than any other vector</w:t>
      </w:r>
      <w:r w:rsidR="002B7AFC" w:rsidRPr="00846769">
        <w:rPr>
          <w:rFonts w:cstheme="minorHAnsi"/>
        </w:rPr>
        <w:t xml:space="preserve"> due to </w:t>
      </w:r>
      <w:r w:rsidRPr="00846769">
        <w:rPr>
          <w:rFonts w:cstheme="minorHAnsi"/>
        </w:rPr>
        <w:t xml:space="preserve">transport in ballast water and </w:t>
      </w:r>
      <w:r w:rsidRPr="006A1811">
        <w:rPr>
          <w:rFonts w:cstheme="minorHAnsi"/>
        </w:rPr>
        <w:t>biofouling assemblages (</w:t>
      </w:r>
      <w:r w:rsidR="00F47511" w:rsidRPr="006A1811">
        <w:rPr>
          <w:rFonts w:cstheme="minorHAnsi"/>
        </w:rPr>
        <w:t>Hewitt et al. 2009</w:t>
      </w:r>
      <w:r w:rsidRPr="006A1811">
        <w:rPr>
          <w:rFonts w:cstheme="minorHAnsi"/>
        </w:rPr>
        <w:t>). Potential</w:t>
      </w:r>
      <w:r w:rsidRPr="00846769">
        <w:rPr>
          <w:rFonts w:cstheme="minorHAnsi"/>
        </w:rPr>
        <w:t xml:space="preserve"> vectors include a diverse range of craft, including commercial </w:t>
      </w:r>
      <w:r w:rsidR="00160093">
        <w:rPr>
          <w:rFonts w:cstheme="minorHAnsi"/>
        </w:rPr>
        <w:t>vessels</w:t>
      </w:r>
      <w:r w:rsidRPr="00846769">
        <w:rPr>
          <w:rFonts w:cstheme="minorHAnsi"/>
        </w:rPr>
        <w:t xml:space="preserve">, such as tankers and container </w:t>
      </w:r>
      <w:r w:rsidR="00DB3648">
        <w:rPr>
          <w:rFonts w:cstheme="minorHAnsi"/>
        </w:rPr>
        <w:t>vessels</w:t>
      </w:r>
      <w:r w:rsidRPr="00846769">
        <w:rPr>
          <w:rFonts w:cstheme="minorHAnsi"/>
        </w:rPr>
        <w:t xml:space="preserve">, military vessels, fishing vessels, recreational vessels, passenger vessels, barges, dredges, and research vessels. Biofouling on the </w:t>
      </w:r>
      <w:r w:rsidR="002B7AFC" w:rsidRPr="00846769">
        <w:rPr>
          <w:rFonts w:cstheme="minorHAnsi"/>
        </w:rPr>
        <w:t>vessel hull or</w:t>
      </w:r>
      <w:r w:rsidRPr="00846769">
        <w:rPr>
          <w:rFonts w:cstheme="minorHAnsi"/>
        </w:rPr>
        <w:t xml:space="preserve"> internal seawater </w:t>
      </w:r>
      <w:r w:rsidR="002B7AFC" w:rsidRPr="00846769">
        <w:rPr>
          <w:rFonts w:cstheme="minorHAnsi"/>
        </w:rPr>
        <w:t>systems are the</w:t>
      </w:r>
      <w:r w:rsidRPr="00846769">
        <w:rPr>
          <w:rFonts w:cstheme="minorHAnsi"/>
        </w:rPr>
        <w:t xml:space="preserve"> main way</w:t>
      </w:r>
      <w:r w:rsidR="002B7AFC" w:rsidRPr="00846769">
        <w:rPr>
          <w:rFonts w:cstheme="minorHAnsi"/>
        </w:rPr>
        <w:t>s</w:t>
      </w:r>
      <w:r w:rsidRPr="00846769">
        <w:rPr>
          <w:rFonts w:cstheme="minorHAnsi"/>
        </w:rPr>
        <w:t xml:space="preserve"> that vessels can act as vectors for invasive marine bivalves.</w:t>
      </w:r>
    </w:p>
    <w:p w14:paraId="666C11F2" w14:textId="77777777" w:rsidR="00BE1CD6" w:rsidRPr="00846769" w:rsidRDefault="00BE1CD6" w:rsidP="00BE1CD6">
      <w:pPr>
        <w:rPr>
          <w:rFonts w:cstheme="minorHAnsi"/>
        </w:rPr>
      </w:pPr>
      <w:bookmarkStart w:id="306" w:name="_Hlk170687938"/>
      <w:bookmarkEnd w:id="305"/>
      <w:r w:rsidRPr="00846769">
        <w:rPr>
          <w:rFonts w:cstheme="minorHAnsi"/>
        </w:rPr>
        <w:t xml:space="preserve">Species within biofouling assemblages can be introduced by: </w:t>
      </w:r>
    </w:p>
    <w:p w14:paraId="5AF96E6B" w14:textId="2830DD36" w:rsidR="00BE1CD6" w:rsidRPr="00846769" w:rsidRDefault="00BE1CD6" w:rsidP="00BE1CD6">
      <w:pPr>
        <w:pStyle w:val="ListBullet"/>
      </w:pPr>
      <w:r w:rsidRPr="00846769">
        <w:t>spawning or fragmentation of a fouling species present on a vessel while in port followed by its successful settlement and establishment of a reproductive population</w:t>
      </w:r>
    </w:p>
    <w:p w14:paraId="2E0DE23A" w14:textId="72907EF6" w:rsidR="00BE1CD6" w:rsidRPr="006A1811" w:rsidRDefault="00BE1CD6" w:rsidP="00BE1CD6">
      <w:pPr>
        <w:pStyle w:val="ListBullet"/>
      </w:pPr>
      <w:r w:rsidRPr="00846769">
        <w:t>the dislodgment or disturbance of fouling species from a vessel in port (</w:t>
      </w:r>
      <w:r w:rsidR="00DB3648">
        <w:t>e.g.</w:t>
      </w:r>
      <w:r w:rsidRPr="00846769">
        <w:t xml:space="preserve"> through hull cleaning or abrasion wit</w:t>
      </w:r>
      <w:r w:rsidRPr="006A1811">
        <w:t>h wharf piles)</w:t>
      </w:r>
    </w:p>
    <w:p w14:paraId="769B0877" w14:textId="0A2678D3" w:rsidR="00BE1CD6" w:rsidRPr="006A1811" w:rsidRDefault="00BE1CD6" w:rsidP="00D4784F">
      <w:pPr>
        <w:pStyle w:val="ListBullet"/>
      </w:pPr>
      <w:r w:rsidRPr="006A1811">
        <w:t>the sinking of a fouled vessel (MPSC 202</w:t>
      </w:r>
      <w:r w:rsidR="00F47511" w:rsidRPr="006A1811">
        <w:t>1</w:t>
      </w:r>
      <w:r w:rsidRPr="006A1811">
        <w:t>).</w:t>
      </w:r>
    </w:p>
    <w:bookmarkEnd w:id="306"/>
    <w:p w14:paraId="6033DDBE" w14:textId="77777777" w:rsidR="006C28D2" w:rsidRPr="00846769" w:rsidRDefault="006C28D2" w:rsidP="00A04E26">
      <w:pPr>
        <w:pStyle w:val="ListBullet"/>
        <w:numPr>
          <w:ilvl w:val="0"/>
          <w:numId w:val="0"/>
        </w:numPr>
      </w:pPr>
      <w:r w:rsidRPr="00846769">
        <w:t>Vessel niche</w:t>
      </w:r>
      <w:r>
        <w:t xml:space="preserve"> areas may be more susceptible to biofouling attachment and growth due to different hydrodynamic forces, susceptibility to coating system wear or damage, or not being adequately painted with anti-fouling coatings. These areas include, but are not limited to, sea chests, bow thrusters, propeller shafts and guards, inlet gratings, and dry-dock support strips. </w:t>
      </w:r>
    </w:p>
    <w:p w14:paraId="6816DEAD" w14:textId="77777777" w:rsidR="006C28D2" w:rsidRDefault="006C28D2" w:rsidP="006C28D2">
      <w:r>
        <w:t xml:space="preserve">Niche areas make up only a small portion of a vessel’s surface, yet because niche areas are more likely to be fouled, they constitute a high biosecurity risk. As niche area fouling is less likely to affect hydrodynamics and fuel consumption there is </w:t>
      </w:r>
      <w:r w:rsidRPr="00846769">
        <w:t xml:space="preserve">usually </w:t>
      </w:r>
      <w:r>
        <w:t xml:space="preserve">less incentive to ensure </w:t>
      </w:r>
      <w:r w:rsidRPr="00846769">
        <w:t>these areas</w:t>
      </w:r>
      <w:r>
        <w:t xml:space="preserve"> are kept clean. Cleaning niche areas can be time consuming because of the need to take off external grates or covers for access.</w:t>
      </w:r>
      <w:r w:rsidRPr="00846769">
        <w:t xml:space="preserve"> However, sea chests are integral for engine cooling, ballast management, and fire-prevention systems, so it is vital for sea chests to be kept clear of biofouling to allow these systems to operate properly</w:t>
      </w:r>
      <w:r>
        <w:t>.</w:t>
      </w:r>
    </w:p>
    <w:p w14:paraId="1A2E3D5B" w14:textId="0FA8A942" w:rsidR="006939E1" w:rsidRPr="00846769" w:rsidRDefault="6FD6E378" w:rsidP="00BF317B">
      <w:r w:rsidRPr="00846769">
        <w:t xml:space="preserve">Epifaunal bivalves are common biofouling species because of their ability to settle on a variety of </w:t>
      </w:r>
      <w:r w:rsidR="347EBC92" w:rsidRPr="00846769">
        <w:t xml:space="preserve">hard </w:t>
      </w:r>
      <w:r w:rsidRPr="00846769">
        <w:t>substrat</w:t>
      </w:r>
      <w:r w:rsidR="347EBC92" w:rsidRPr="00846769">
        <w:t>a</w:t>
      </w:r>
      <w:r w:rsidRPr="00846769">
        <w:t xml:space="preserve"> and in </w:t>
      </w:r>
      <w:r w:rsidR="347EBC92" w:rsidRPr="00846769">
        <w:t>large</w:t>
      </w:r>
      <w:r w:rsidRPr="00846769">
        <w:t xml:space="preserve"> numbers. Bivalves have been documented from </w:t>
      </w:r>
      <w:r w:rsidR="007CD0AB" w:rsidRPr="00846769">
        <w:t xml:space="preserve">vessel </w:t>
      </w:r>
      <w:r w:rsidRPr="00846769">
        <w:t>biofouling in Australia</w:t>
      </w:r>
      <w:r w:rsidR="006C28D2">
        <w:t xml:space="preserve"> </w:t>
      </w:r>
      <w:r w:rsidR="00E43D2A" w:rsidRPr="00846769">
        <w:t>and have also been seen growing on marine infrastructure in the environment (</w:t>
      </w:r>
      <w:r w:rsidR="00803AD9" w:rsidRPr="00846769">
        <w:fldChar w:fldCharType="begin"/>
      </w:r>
      <w:r w:rsidR="00803AD9" w:rsidRPr="00846769">
        <w:instrText xml:space="preserve"> REF _Ref171810029 \h </w:instrText>
      </w:r>
      <w:r w:rsidR="00803AD9" w:rsidRPr="00846769">
        <w:fldChar w:fldCharType="separate"/>
      </w:r>
      <w:r w:rsidR="00803AD9" w:rsidRPr="00846769">
        <w:t>Figure 3</w:t>
      </w:r>
      <w:r w:rsidR="00803AD9" w:rsidRPr="00846769">
        <w:fldChar w:fldCharType="end"/>
      </w:r>
      <w:r w:rsidR="00E43D2A" w:rsidRPr="00846769">
        <w:t>)</w:t>
      </w:r>
      <w:r w:rsidRPr="00846769">
        <w:t xml:space="preserve">. After the successful eradication of </w:t>
      </w:r>
      <w:r w:rsidRPr="00846769">
        <w:rPr>
          <w:i/>
          <w:iCs/>
        </w:rPr>
        <w:t>M</w:t>
      </w:r>
      <w:r w:rsidR="00BE1CD6" w:rsidRPr="00846769">
        <w:rPr>
          <w:i/>
          <w:iCs/>
        </w:rPr>
        <w:t>.</w:t>
      </w:r>
      <w:r w:rsidRPr="00846769">
        <w:rPr>
          <w:i/>
          <w:iCs/>
        </w:rPr>
        <w:t xml:space="preserve"> sallei </w:t>
      </w:r>
      <w:r w:rsidRPr="00846769">
        <w:t xml:space="preserve">from Darwin in 1999, divers undertaking monitoring surveys for </w:t>
      </w:r>
      <w:r w:rsidRPr="00846769">
        <w:rPr>
          <w:i/>
          <w:iCs/>
        </w:rPr>
        <w:t xml:space="preserve">M. sallei </w:t>
      </w:r>
      <w:r w:rsidRPr="00846769">
        <w:t xml:space="preserve">continued to discover infestations on vessels moored in Australian waters </w:t>
      </w:r>
      <w:r w:rsidRPr="00DD01E4">
        <w:t xml:space="preserve">(Willan et al. 2000). </w:t>
      </w:r>
      <w:r w:rsidR="002A564E" w:rsidRPr="00DD01E4">
        <w:t>E</w:t>
      </w:r>
      <w:r w:rsidRPr="00DD01E4">
        <w:t>pifaunal</w:t>
      </w:r>
      <w:r w:rsidRPr="00846769">
        <w:t xml:space="preserve"> bivalves </w:t>
      </w:r>
      <w:r w:rsidR="00BE1CD6" w:rsidRPr="00846769">
        <w:rPr>
          <w:i/>
          <w:iCs/>
        </w:rPr>
        <w:t xml:space="preserve">P. </w:t>
      </w:r>
      <w:r w:rsidRPr="00846769">
        <w:rPr>
          <w:i/>
          <w:iCs/>
        </w:rPr>
        <w:t xml:space="preserve">viridis </w:t>
      </w:r>
      <w:r w:rsidRPr="00846769">
        <w:t xml:space="preserve">and </w:t>
      </w:r>
      <w:r w:rsidRPr="00846769">
        <w:rPr>
          <w:i/>
          <w:iCs/>
        </w:rPr>
        <w:t>P. canalicu</w:t>
      </w:r>
      <w:r w:rsidR="3A12865D" w:rsidRPr="00846769">
        <w:rPr>
          <w:i/>
          <w:iCs/>
        </w:rPr>
        <w:t>l</w:t>
      </w:r>
      <w:r w:rsidRPr="00846769">
        <w:rPr>
          <w:i/>
          <w:iCs/>
        </w:rPr>
        <w:t xml:space="preserve">us </w:t>
      </w:r>
      <w:r w:rsidRPr="00846769">
        <w:t xml:space="preserve">have been detected multiple times on vessels in Australia. </w:t>
      </w:r>
      <w:r w:rsidRPr="00846769">
        <w:rPr>
          <w:i/>
          <w:iCs/>
        </w:rPr>
        <w:t xml:space="preserve">Perna viridis </w:t>
      </w:r>
      <w:r w:rsidRPr="00846769">
        <w:t>has been found in the sea chest water intake area</w:t>
      </w:r>
      <w:r w:rsidR="00934256">
        <w:t>s</w:t>
      </w:r>
      <w:r w:rsidR="32CFC96A" w:rsidRPr="00846769">
        <w:t xml:space="preserve">, </w:t>
      </w:r>
      <w:r w:rsidRPr="00846769">
        <w:t>strainer basket</w:t>
      </w:r>
      <w:r w:rsidR="41B28236" w:rsidRPr="00846769">
        <w:t>s</w:t>
      </w:r>
      <w:r w:rsidR="007C4470" w:rsidRPr="00846769">
        <w:t>,</w:t>
      </w:r>
      <w:r w:rsidR="6E1EB0CB" w:rsidRPr="00846769">
        <w:t xml:space="preserve"> and </w:t>
      </w:r>
      <w:r w:rsidR="41B28236" w:rsidRPr="00846769">
        <w:t>propellor areas</w:t>
      </w:r>
      <w:r w:rsidRPr="00846769">
        <w:t xml:space="preserve"> as well as attached to the hull</w:t>
      </w:r>
      <w:r w:rsidR="347EBC92" w:rsidRPr="00846769">
        <w:t xml:space="preserve"> </w:t>
      </w:r>
      <w:r w:rsidR="4B34109A" w:rsidRPr="00846769">
        <w:t xml:space="preserve">of </w:t>
      </w:r>
      <w:r w:rsidR="00160093">
        <w:t>vessels</w:t>
      </w:r>
      <w:r w:rsidR="00160093" w:rsidRPr="00846769">
        <w:t xml:space="preserve"> </w:t>
      </w:r>
      <w:r w:rsidR="4B34109A" w:rsidRPr="00846769">
        <w:t>visiting Australi</w:t>
      </w:r>
      <w:r w:rsidR="4B34109A" w:rsidRPr="006A1811">
        <w:t xml:space="preserve">a </w:t>
      </w:r>
      <w:r w:rsidR="347EBC92" w:rsidRPr="006A1811">
        <w:t>(Heersink et al. 2020; Wells 2017)</w:t>
      </w:r>
      <w:r w:rsidRPr="006A1811">
        <w:t>.</w:t>
      </w:r>
      <w:r w:rsidR="0047047C" w:rsidRPr="006A1811">
        <w:t xml:space="preserve"> </w:t>
      </w:r>
      <w:r w:rsidR="00934256" w:rsidRPr="006A1811">
        <w:t xml:space="preserve">Fouling organisms such as barnacles and oysters can provide substrate for attachment. </w:t>
      </w:r>
      <w:r w:rsidR="0047047C" w:rsidRPr="006A1811">
        <w:t>Epifaunal bivalves can also grow on marine infrastructure that is submerged</w:t>
      </w:r>
      <w:r w:rsidR="0047047C" w:rsidRPr="00846769">
        <w:t xml:space="preserve"> for long periods of time, such as ropes and jetty pylons.  </w:t>
      </w:r>
    </w:p>
    <w:p w14:paraId="066EFD0B" w14:textId="36DA1E30" w:rsidR="00803AD9" w:rsidRPr="00846769" w:rsidRDefault="00803AD9" w:rsidP="00803AD9">
      <w:pPr>
        <w:pStyle w:val="Caption"/>
      </w:pPr>
      <w:bookmarkStart w:id="307" w:name="_Ref171810029"/>
      <w:bookmarkStart w:id="308" w:name="_Toc191999516"/>
      <w:r w:rsidRPr="00846769">
        <w:lastRenderedPageBreak/>
        <w:t xml:space="preserve">Figure </w:t>
      </w:r>
      <w:r w:rsidR="00C53006" w:rsidRPr="00846769">
        <w:fldChar w:fldCharType="begin"/>
      </w:r>
      <w:r w:rsidR="00C53006" w:rsidRPr="00846769">
        <w:instrText xml:space="preserve"> SEQ Figure \* ARABIC </w:instrText>
      </w:r>
      <w:r w:rsidR="00C53006" w:rsidRPr="00846769">
        <w:fldChar w:fldCharType="separate"/>
      </w:r>
      <w:r w:rsidR="00192097" w:rsidRPr="00846769">
        <w:t>3</w:t>
      </w:r>
      <w:r w:rsidR="00C53006" w:rsidRPr="00846769">
        <w:fldChar w:fldCharType="end"/>
      </w:r>
      <w:bookmarkEnd w:id="307"/>
      <w:r w:rsidRPr="00846769">
        <w:t xml:space="preserve"> Examples of biofouling </w:t>
      </w:r>
      <w:r w:rsidR="00A74EAB" w:rsidRPr="00846769">
        <w:t xml:space="preserve">on different </w:t>
      </w:r>
      <w:r w:rsidR="001B7710" w:rsidRPr="00846769">
        <w:t xml:space="preserve">marine </w:t>
      </w:r>
      <w:r w:rsidR="00DB3648" w:rsidRPr="00846769">
        <w:t>s</w:t>
      </w:r>
      <w:r w:rsidR="00DB3648">
        <w:t>tructures</w:t>
      </w:r>
      <w:r w:rsidR="00DB3648" w:rsidRPr="00846769">
        <w:t xml:space="preserve"> </w:t>
      </w:r>
      <w:r w:rsidRPr="00846769">
        <w:t>by invasive marine bivalves</w:t>
      </w:r>
      <w:bookmarkEnd w:id="308"/>
      <w:r w:rsidRPr="00846769">
        <w:t xml:space="preserve"> </w:t>
      </w:r>
    </w:p>
    <w:p w14:paraId="07738B47" w14:textId="69B09248" w:rsidR="009953E1" w:rsidRPr="00846769" w:rsidRDefault="002B7AFC" w:rsidP="00BF317B">
      <w:r w:rsidRPr="00846769">
        <w:rPr>
          <w:noProof/>
        </w:rPr>
        <w:drawing>
          <wp:inline distT="0" distB="0" distL="0" distR="0" wp14:anchorId="6A17BA22" wp14:editId="1E8D2170">
            <wp:extent cx="5731510" cy="4253345"/>
            <wp:effectExtent l="0" t="0" r="2540" b="0"/>
            <wp:docPr id="314770116" name="Picture 1" descr="Collage of coloured photographs showing examples of bivalve biofouling on a vessel hull, on a pontoon, in a vessel niche area, and on a 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70116" name="Picture 1" descr="Collage of coloured photographs showing examples of bivalve biofouling on a vessel hull, on a pontoon, in a vessel niche area, and on a rope. "/>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5731510" cy="4253345"/>
                    </a:xfrm>
                    <a:prstGeom prst="rect">
                      <a:avLst/>
                    </a:prstGeom>
                    <a:ln>
                      <a:noFill/>
                    </a:ln>
                    <a:extLst>
                      <a:ext uri="{53640926-AAD7-44D8-BBD7-CCE9431645EC}">
                        <a14:shadowObscured xmlns:a14="http://schemas.microsoft.com/office/drawing/2010/main"/>
                      </a:ext>
                    </a:extLst>
                  </pic:spPr>
                </pic:pic>
              </a:graphicData>
            </a:graphic>
          </wp:inline>
        </w:drawing>
      </w:r>
    </w:p>
    <w:p w14:paraId="7A516371" w14:textId="15131D0A" w:rsidR="00803AD9" w:rsidRPr="00846769" w:rsidRDefault="00803AD9" w:rsidP="00803AD9">
      <w:pPr>
        <w:spacing w:after="0"/>
        <w:rPr>
          <w:sz w:val="18"/>
          <w:szCs w:val="18"/>
        </w:rPr>
      </w:pPr>
      <w:r w:rsidRPr="00846769">
        <w:rPr>
          <w:rStyle w:val="Strong"/>
          <w:sz w:val="18"/>
          <w:szCs w:val="18"/>
        </w:rPr>
        <w:t xml:space="preserve">A </w:t>
      </w:r>
      <w:r w:rsidR="00EB231E" w:rsidRPr="00846769">
        <w:rPr>
          <w:sz w:val="18"/>
          <w:szCs w:val="18"/>
        </w:rPr>
        <w:t xml:space="preserve">Biofouling </w:t>
      </w:r>
      <w:r w:rsidR="00A74EAB" w:rsidRPr="00846769">
        <w:rPr>
          <w:sz w:val="18"/>
          <w:szCs w:val="18"/>
        </w:rPr>
        <w:t>of</w:t>
      </w:r>
      <w:r w:rsidR="00EB231E" w:rsidRPr="00846769">
        <w:rPr>
          <w:sz w:val="18"/>
          <w:szCs w:val="18"/>
        </w:rPr>
        <w:t xml:space="preserve"> </w:t>
      </w:r>
      <w:r w:rsidR="00EB231E" w:rsidRPr="00846769">
        <w:rPr>
          <w:i/>
          <w:iCs/>
          <w:sz w:val="18"/>
          <w:szCs w:val="18"/>
        </w:rPr>
        <w:t xml:space="preserve">Perna viridis </w:t>
      </w:r>
      <w:r w:rsidR="00EB231E" w:rsidRPr="00846769">
        <w:rPr>
          <w:sz w:val="18"/>
          <w:szCs w:val="18"/>
        </w:rPr>
        <w:t>under a vessel in dry-dock</w:t>
      </w:r>
      <w:r w:rsidRPr="00846769">
        <w:rPr>
          <w:sz w:val="18"/>
          <w:szCs w:val="18"/>
        </w:rPr>
        <w:t xml:space="preserve">. </w:t>
      </w:r>
      <w:r w:rsidRPr="00846769">
        <w:rPr>
          <w:rStyle w:val="Strong"/>
          <w:sz w:val="18"/>
          <w:szCs w:val="18"/>
        </w:rPr>
        <w:t xml:space="preserve">B </w:t>
      </w:r>
      <w:r w:rsidR="00EB231E" w:rsidRPr="00846769">
        <w:rPr>
          <w:sz w:val="18"/>
          <w:szCs w:val="18"/>
        </w:rPr>
        <w:t xml:space="preserve">Biofouling </w:t>
      </w:r>
      <w:r w:rsidR="00A74EAB" w:rsidRPr="00846769">
        <w:rPr>
          <w:sz w:val="18"/>
          <w:szCs w:val="18"/>
        </w:rPr>
        <w:t xml:space="preserve">of </w:t>
      </w:r>
      <w:r w:rsidR="00A74EAB" w:rsidRPr="00846769">
        <w:rPr>
          <w:i/>
          <w:iCs/>
          <w:sz w:val="18"/>
          <w:szCs w:val="18"/>
        </w:rPr>
        <w:t xml:space="preserve">Magallana bilineata </w:t>
      </w:r>
      <w:r w:rsidR="00A74EAB" w:rsidRPr="00846769">
        <w:rPr>
          <w:sz w:val="18"/>
          <w:szCs w:val="18"/>
        </w:rPr>
        <w:t>on a pontoon</w:t>
      </w:r>
      <w:r w:rsidR="00EB231E" w:rsidRPr="00846769">
        <w:rPr>
          <w:sz w:val="18"/>
          <w:szCs w:val="18"/>
        </w:rPr>
        <w:t xml:space="preserve">. </w:t>
      </w:r>
      <w:r w:rsidR="00EB231E" w:rsidRPr="00846769">
        <w:rPr>
          <w:b/>
          <w:bCs/>
          <w:sz w:val="18"/>
          <w:szCs w:val="18"/>
        </w:rPr>
        <w:t>C</w:t>
      </w:r>
      <w:r w:rsidR="00EB231E" w:rsidRPr="00846769">
        <w:rPr>
          <w:sz w:val="18"/>
          <w:szCs w:val="18"/>
        </w:rPr>
        <w:t>. B</w:t>
      </w:r>
      <w:r w:rsidR="00A74EAB" w:rsidRPr="00846769">
        <w:rPr>
          <w:sz w:val="18"/>
          <w:szCs w:val="18"/>
        </w:rPr>
        <w:t xml:space="preserve">iofouling of </w:t>
      </w:r>
      <w:r w:rsidR="00A74EAB" w:rsidRPr="00846769">
        <w:rPr>
          <w:i/>
          <w:iCs/>
          <w:sz w:val="18"/>
          <w:szCs w:val="18"/>
        </w:rPr>
        <w:t xml:space="preserve">P. viridis </w:t>
      </w:r>
      <w:r w:rsidR="00A74EAB" w:rsidRPr="00846769">
        <w:rPr>
          <w:sz w:val="18"/>
          <w:szCs w:val="18"/>
        </w:rPr>
        <w:t xml:space="preserve">on </w:t>
      </w:r>
      <w:r w:rsidR="009D5105" w:rsidRPr="00846769">
        <w:rPr>
          <w:sz w:val="18"/>
          <w:szCs w:val="18"/>
        </w:rPr>
        <w:t>a vessel niche area (sacrificial anode)</w:t>
      </w:r>
      <w:r w:rsidR="00A74EAB" w:rsidRPr="00846769">
        <w:rPr>
          <w:sz w:val="18"/>
          <w:szCs w:val="18"/>
        </w:rPr>
        <w:t xml:space="preserve">. </w:t>
      </w:r>
      <w:r w:rsidR="00EB231E" w:rsidRPr="00846769">
        <w:rPr>
          <w:b/>
          <w:bCs/>
          <w:sz w:val="18"/>
          <w:szCs w:val="18"/>
        </w:rPr>
        <w:t xml:space="preserve">D </w:t>
      </w:r>
      <w:r w:rsidR="00EB231E" w:rsidRPr="00846769">
        <w:rPr>
          <w:sz w:val="18"/>
          <w:szCs w:val="18"/>
        </w:rPr>
        <w:t xml:space="preserve">Biofouling </w:t>
      </w:r>
      <w:r w:rsidR="00A74EAB" w:rsidRPr="00846769">
        <w:rPr>
          <w:sz w:val="18"/>
          <w:szCs w:val="18"/>
        </w:rPr>
        <w:t>of</w:t>
      </w:r>
      <w:r w:rsidR="00EB231E" w:rsidRPr="00846769">
        <w:rPr>
          <w:sz w:val="18"/>
          <w:szCs w:val="18"/>
        </w:rPr>
        <w:t xml:space="preserve"> </w:t>
      </w:r>
      <w:r w:rsidR="00EB231E" w:rsidRPr="00846769">
        <w:rPr>
          <w:i/>
          <w:iCs/>
          <w:sz w:val="18"/>
          <w:szCs w:val="18"/>
        </w:rPr>
        <w:t xml:space="preserve">Mytilopsis sallei </w:t>
      </w:r>
      <w:r w:rsidR="00EB231E" w:rsidRPr="00846769">
        <w:rPr>
          <w:sz w:val="18"/>
          <w:szCs w:val="18"/>
        </w:rPr>
        <w:t>on a rope.</w:t>
      </w:r>
    </w:p>
    <w:p w14:paraId="3307DAE9" w14:textId="5F919CEF" w:rsidR="00803AD9" w:rsidRPr="00846769" w:rsidRDefault="00803AD9" w:rsidP="001B7710">
      <w:pPr>
        <w:pStyle w:val="FigureTableNoteSource"/>
      </w:pPr>
      <w:r w:rsidRPr="00846769">
        <w:t xml:space="preserve">Source: </w:t>
      </w:r>
      <w:r w:rsidR="001B7710" w:rsidRPr="00846769">
        <w:t xml:space="preserve">(A) </w:t>
      </w:r>
      <w:r w:rsidR="00EB231E" w:rsidRPr="00846769">
        <w:t>Queensland Government</w:t>
      </w:r>
      <w:r w:rsidR="001B7710" w:rsidRPr="00846769">
        <w:t xml:space="preserve">; (B) </w:t>
      </w:r>
      <w:r w:rsidR="00A74EAB" w:rsidRPr="00846769">
        <w:t>Evan Rees, NAQS</w:t>
      </w:r>
      <w:r w:rsidR="001B7710" w:rsidRPr="00846769">
        <w:t>; (C)</w:t>
      </w:r>
      <w:r w:rsidR="00A74EAB" w:rsidRPr="00846769">
        <w:t xml:space="preserve"> </w:t>
      </w:r>
      <w:r w:rsidR="009D5105" w:rsidRPr="00846769">
        <w:t>Darwin Dive Company</w:t>
      </w:r>
      <w:r w:rsidR="001B7710" w:rsidRPr="00846769">
        <w:t>; (D)</w:t>
      </w:r>
      <w:r w:rsidR="00EB231E" w:rsidRPr="00846769">
        <w:t xml:space="preserve"> MAGNT Collection</w:t>
      </w:r>
    </w:p>
    <w:p w14:paraId="7AF47916" w14:textId="4ECE12BA" w:rsidR="006939E1" w:rsidRPr="00846769" w:rsidRDefault="5AA1A796" w:rsidP="00BF317B">
      <w:r w:rsidRPr="00846769">
        <w:t>M</w:t>
      </w:r>
      <w:r w:rsidR="6FD6E378" w:rsidRPr="00846769">
        <w:t xml:space="preserve">arine </w:t>
      </w:r>
      <w:r w:rsidRPr="00846769">
        <w:t>inf</w:t>
      </w:r>
      <w:r w:rsidR="466F2C30" w:rsidRPr="00846769">
        <w:t>a</w:t>
      </w:r>
      <w:r w:rsidRPr="00846769">
        <w:t xml:space="preserve">unal </w:t>
      </w:r>
      <w:r w:rsidR="6FD6E378" w:rsidRPr="00846769">
        <w:t xml:space="preserve">bivalves are unlikely to be fouling species because of their life habit. For example, </w:t>
      </w:r>
      <w:r w:rsidR="6FD6E378" w:rsidRPr="00846769">
        <w:rPr>
          <w:i/>
          <w:iCs/>
        </w:rPr>
        <w:t>M</w:t>
      </w:r>
      <w:r w:rsidR="00BE1CD6" w:rsidRPr="00846769">
        <w:rPr>
          <w:i/>
          <w:iCs/>
        </w:rPr>
        <w:t>.</w:t>
      </w:r>
      <w:r w:rsidR="6FD6E378" w:rsidRPr="00846769">
        <w:rPr>
          <w:i/>
          <w:iCs/>
        </w:rPr>
        <w:t xml:space="preserve"> japonica </w:t>
      </w:r>
      <w:r w:rsidR="6FD6E378" w:rsidRPr="00846769">
        <w:t>is a deep burrowing clam</w:t>
      </w:r>
      <w:r w:rsidR="65FB7AAF" w:rsidRPr="00846769">
        <w:t xml:space="preserve"> and is</w:t>
      </w:r>
      <w:r w:rsidR="6FD6E378" w:rsidRPr="00846769">
        <w:t xml:space="preserve"> </w:t>
      </w:r>
      <w:r w:rsidR="003C1292" w:rsidRPr="00846769">
        <w:t>therefore</w:t>
      </w:r>
      <w:r w:rsidR="6FD6E378" w:rsidRPr="00846769">
        <w:t xml:space="preserve"> less likely to be spread via biofouling and more likely to be transported with ballast water</w:t>
      </w:r>
      <w:r w:rsidR="007C4470" w:rsidRPr="00846769">
        <w:t xml:space="preserve"> or ballast tank sediments</w:t>
      </w:r>
      <w:r w:rsidR="6FD6E378" w:rsidRPr="00846769">
        <w:t xml:space="preserve">. However, infaunal species have been reported from biofouling communities of vessels. For example, approximately 50 </w:t>
      </w:r>
      <w:r w:rsidR="00BE1CD6" w:rsidRPr="00846769">
        <w:rPr>
          <w:i/>
          <w:iCs/>
        </w:rPr>
        <w:t>V.</w:t>
      </w:r>
      <w:r w:rsidR="00FF70DD">
        <w:rPr>
          <w:i/>
          <w:iCs/>
        </w:rPr>
        <w:t> </w:t>
      </w:r>
      <w:r w:rsidR="6FD6E378" w:rsidRPr="00846769">
        <w:rPr>
          <w:i/>
          <w:iCs/>
        </w:rPr>
        <w:t xml:space="preserve">gibba </w:t>
      </w:r>
      <w:r w:rsidR="6FD6E378" w:rsidRPr="00846769">
        <w:t xml:space="preserve">were </w:t>
      </w:r>
      <w:r w:rsidR="6FD6E378" w:rsidRPr="006A1811">
        <w:t xml:space="preserve">found amongst the mud in the bottom of a </w:t>
      </w:r>
      <w:r w:rsidR="009953E1" w:rsidRPr="006A1811">
        <w:t>sea chest</w:t>
      </w:r>
      <w:r w:rsidR="6FD6E378" w:rsidRPr="006A1811">
        <w:t xml:space="preserve"> of a passenger ferry in southeast Australia (</w:t>
      </w:r>
      <w:r w:rsidR="00B95B90" w:rsidRPr="006A1811">
        <w:rPr>
          <w:lang w:eastAsia="ja-JP"/>
        </w:rPr>
        <w:t>Coutts</w:t>
      </w:r>
      <w:r w:rsidR="00841A97" w:rsidRPr="006A1811">
        <w:t xml:space="preserve"> et al.</w:t>
      </w:r>
      <w:r w:rsidR="00B95B90" w:rsidRPr="006A1811" w:rsidDel="006A4C88">
        <w:rPr>
          <w:lang w:eastAsia="ja-JP"/>
        </w:rPr>
        <w:t xml:space="preserve"> </w:t>
      </w:r>
      <w:r w:rsidR="00B95B90" w:rsidRPr="006A1811">
        <w:t>2003</w:t>
      </w:r>
      <w:r w:rsidR="6FD6E378" w:rsidRPr="006A1811">
        <w:t xml:space="preserve">). Juvenile </w:t>
      </w:r>
      <w:r w:rsidR="00BE1CD6" w:rsidRPr="006A1811">
        <w:rPr>
          <w:i/>
          <w:iCs/>
        </w:rPr>
        <w:t xml:space="preserve">P. </w:t>
      </w:r>
      <w:r w:rsidR="6FD6E378" w:rsidRPr="006A1811">
        <w:rPr>
          <w:i/>
          <w:iCs/>
        </w:rPr>
        <w:t xml:space="preserve">amurensis </w:t>
      </w:r>
      <w:proofErr w:type="gramStart"/>
      <w:r w:rsidR="65FB7AAF" w:rsidRPr="006A1811">
        <w:t>were</w:t>
      </w:r>
      <w:proofErr w:type="gramEnd"/>
      <w:r w:rsidR="65FB7AAF" w:rsidRPr="006A1811">
        <w:t xml:space="preserve"> </w:t>
      </w:r>
      <w:r w:rsidR="6FD6E378" w:rsidRPr="006A1811">
        <w:t>recorded on the hulls of obsolete vessels (Davidson et al. 2008). The presence</w:t>
      </w:r>
      <w:r w:rsidR="6FD6E378" w:rsidRPr="00846769">
        <w:t xml:space="preserve"> of juvenile clams on </w:t>
      </w:r>
      <w:r w:rsidR="6A254EE8" w:rsidRPr="00846769">
        <w:t xml:space="preserve">the </w:t>
      </w:r>
      <w:r w:rsidR="6FD6E378" w:rsidRPr="00846769">
        <w:t>vessel hull</w:t>
      </w:r>
      <w:r w:rsidR="00BE1CD6" w:rsidRPr="00846769">
        <w:t>s</w:t>
      </w:r>
      <w:r w:rsidR="6FD6E378" w:rsidRPr="00846769">
        <w:t xml:space="preserve"> </w:t>
      </w:r>
      <w:r w:rsidR="00015D0A">
        <w:t xml:space="preserve">likely </w:t>
      </w:r>
      <w:r w:rsidR="6FD6E378" w:rsidRPr="00846769">
        <w:t>resulted from the coloni</w:t>
      </w:r>
      <w:r w:rsidR="00BE1CD6" w:rsidRPr="00846769">
        <w:t>s</w:t>
      </w:r>
      <w:r w:rsidR="6FD6E378" w:rsidRPr="00846769">
        <w:t>ation of bryozoan mat</w:t>
      </w:r>
      <w:r w:rsidR="00BE1CD6" w:rsidRPr="00846769">
        <w:t xml:space="preserve">s </w:t>
      </w:r>
      <w:r w:rsidR="6FD6E378" w:rsidRPr="00846769">
        <w:t xml:space="preserve">and associated sediment accumulation. Sediment associated with biofouling needs to be considered as an important pathway for infaunal bivalves. </w:t>
      </w:r>
      <w:r w:rsidR="003C1292" w:rsidRPr="00846769">
        <w:t xml:space="preserve"> </w:t>
      </w:r>
    </w:p>
    <w:p w14:paraId="3F0D6372" w14:textId="79073307" w:rsidR="00BE1CD6" w:rsidRPr="00846769" w:rsidRDefault="00BE1CD6" w:rsidP="00D4784F">
      <w:bookmarkStart w:id="309" w:name="_Hlk170688175"/>
      <w:r w:rsidRPr="00846769">
        <w:t xml:space="preserve">Dry-docking and in-water operation principles and recommendations are contained in the </w:t>
      </w:r>
      <w:hyperlink r:id="rId89" w:history="1">
        <w:r w:rsidRPr="00846769">
          <w:rPr>
            <w:rStyle w:val="Hyperlink"/>
          </w:rPr>
          <w:t>Anti</w:t>
        </w:r>
        <w:r w:rsidRPr="00846769">
          <w:rPr>
            <w:rStyle w:val="Hyperlink"/>
          </w:rPr>
          <w:noBreakHyphen/>
          <w:t>fouling and in</w:t>
        </w:r>
        <w:r w:rsidRPr="00846769">
          <w:rPr>
            <w:rStyle w:val="Hyperlink"/>
          </w:rPr>
          <w:noBreakHyphen/>
          <w:t>water cleaning guidelines</w:t>
        </w:r>
      </w:hyperlink>
      <w:r w:rsidRPr="00846769">
        <w:t xml:space="preserve">. The guidelines provide guidance on best-practice approaches for the application, maintenance, removal, and disposal of anti-fouling coatings and the management of biofouling and invasive aquatic species on vessels and movable structures in Australia and New Zealand. </w:t>
      </w:r>
      <w:bookmarkStart w:id="310" w:name="_Hlk187273842"/>
      <w:r w:rsidRPr="00846769">
        <w:t>The practices described in these guidelines have been aligned with international conventions intended to protect the aquatic environment from invasive aquatic species and contaminants from shipping. These include the:</w:t>
      </w:r>
    </w:p>
    <w:p w14:paraId="068208E8" w14:textId="53DDCA2C" w:rsidR="00C33AAB" w:rsidRPr="00846769" w:rsidRDefault="00C33AAB" w:rsidP="00C33AAB">
      <w:pPr>
        <w:pStyle w:val="ListBullet"/>
      </w:pPr>
      <w:r w:rsidRPr="00846769">
        <w:lastRenderedPageBreak/>
        <w:t xml:space="preserve">International convention on the control of harmful anti-fouling systems on </w:t>
      </w:r>
      <w:r w:rsidR="00160093">
        <w:t>vessels</w:t>
      </w:r>
    </w:p>
    <w:p w14:paraId="459C6BE5" w14:textId="6B604D4A" w:rsidR="00C33AAB" w:rsidRPr="00846769" w:rsidRDefault="00C33AAB" w:rsidP="00C33AAB">
      <w:pPr>
        <w:pStyle w:val="ListBullet"/>
      </w:pPr>
      <w:r w:rsidRPr="00846769">
        <w:t>The 1996 protocol to the Convention on the prevention of marine pollution by dumping of wastes and other matter, 1972</w:t>
      </w:r>
    </w:p>
    <w:p w14:paraId="61F05545" w14:textId="23E8B910" w:rsidR="003307BE" w:rsidRPr="00846769" w:rsidRDefault="00C33AAB" w:rsidP="00C33AAB">
      <w:pPr>
        <w:pStyle w:val="ListBullet"/>
      </w:pPr>
      <w:r w:rsidRPr="00846769">
        <w:t xml:space="preserve">The 2011 Guidelines for the control and management of a ships’ biofouling to minimize the transfer of invasive aquatic </w:t>
      </w:r>
      <w:r w:rsidR="006F165C" w:rsidRPr="00846769">
        <w:t>species</w:t>
      </w:r>
      <w:bookmarkEnd w:id="310"/>
      <w:r w:rsidR="00DE36C6">
        <w:t>.</w:t>
      </w:r>
    </w:p>
    <w:p w14:paraId="6B53C497" w14:textId="12D010D2" w:rsidR="003307BE" w:rsidRPr="003307BE" w:rsidRDefault="00C33AAB" w:rsidP="00A04E26">
      <w:pPr>
        <w:pStyle w:val="ListBullet2"/>
        <w:spacing w:after="240"/>
        <w:ind w:left="850" w:hanging="425"/>
        <w:contextualSpacing w:val="0"/>
        <w:rPr>
          <w:rFonts w:cstheme="minorHAnsi"/>
        </w:rPr>
      </w:pPr>
      <w:bookmarkStart w:id="311" w:name="_Hlk187273932"/>
      <w:r w:rsidRPr="00846769">
        <w:t>The</w:t>
      </w:r>
      <w:r w:rsidR="00934256">
        <w:t xml:space="preserve"> 2011</w:t>
      </w:r>
      <w:r w:rsidRPr="00846769">
        <w:t xml:space="preserve"> guidelines </w:t>
      </w:r>
      <w:r w:rsidR="003307BE">
        <w:t>have been</w:t>
      </w:r>
      <w:r w:rsidRPr="00846769">
        <w:t xml:space="preserve"> updated and </w:t>
      </w:r>
      <w:r w:rsidR="003307BE">
        <w:t>an exposure draft of the revised guidelines is available</w:t>
      </w:r>
      <w:r w:rsidRPr="00846769">
        <w:t xml:space="preserve"> on the Department of Agriculture, Fisheries and Forestry (DAFF) website</w:t>
      </w:r>
      <w:r w:rsidR="002B7AFC" w:rsidRPr="00846769">
        <w:t xml:space="preserve"> at:</w:t>
      </w:r>
      <w:r w:rsidRPr="00846769">
        <w:t xml:space="preserve"> </w:t>
      </w:r>
      <w:hyperlink r:id="rId90" w:history="1">
        <w:r w:rsidRPr="00846769">
          <w:rPr>
            <w:rStyle w:val="Hyperlink"/>
          </w:rPr>
          <w:t>In-water cleaning in Australia - DAFF (agriculture.gov.au)</w:t>
        </w:r>
      </w:hyperlink>
      <w:r w:rsidRPr="00846769">
        <w:t xml:space="preserve">. </w:t>
      </w:r>
      <w:r w:rsidR="003307BE">
        <w:t>The revised guidelines are undergoing consultation, and finalised guidelines will be published accordingly.</w:t>
      </w:r>
    </w:p>
    <w:p w14:paraId="105B77BE" w14:textId="40B0CF58" w:rsidR="00C33AAB" w:rsidRPr="003307BE" w:rsidRDefault="003307BE" w:rsidP="003307BE">
      <w:pPr>
        <w:pStyle w:val="ListBullet2"/>
        <w:numPr>
          <w:ilvl w:val="0"/>
          <w:numId w:val="0"/>
        </w:numPr>
        <w:spacing w:before="200"/>
        <w:rPr>
          <w:rFonts w:cstheme="minorHAnsi"/>
        </w:rPr>
      </w:pPr>
      <w:r>
        <w:t>T</w:t>
      </w:r>
      <w:r w:rsidR="00C33AAB" w:rsidRPr="00846769">
        <w:t>he</w:t>
      </w:r>
      <w:r w:rsidR="00C33AAB" w:rsidRPr="003307BE">
        <w:rPr>
          <w:rFonts w:cstheme="minorHAnsi"/>
        </w:rPr>
        <w:t xml:space="preserve"> </w:t>
      </w:r>
      <w:r w:rsidR="00C33AAB" w:rsidRPr="00846769">
        <w:rPr>
          <w:rStyle w:val="Emphasis"/>
        </w:rPr>
        <w:t xml:space="preserve">Biosecurity Act 2015 </w:t>
      </w:r>
      <w:r w:rsidR="00C33AAB" w:rsidRPr="00846769">
        <w:t>can</w:t>
      </w:r>
      <w:r w:rsidR="00C33AAB" w:rsidRPr="003307BE">
        <w:rPr>
          <w:rFonts w:cstheme="minorHAnsi"/>
        </w:rPr>
        <w:t xml:space="preserve"> be used in the absence of appropriate state or territory legislative powers and may be used in circumstances that include directing conveyances. </w:t>
      </w:r>
    </w:p>
    <w:bookmarkEnd w:id="311"/>
    <w:p w14:paraId="2B53041B" w14:textId="06173EE3" w:rsidR="00D4784F" w:rsidRPr="00846769" w:rsidRDefault="00D4784F" w:rsidP="00D4784F">
      <w:pPr>
        <w:rPr>
          <w:rFonts w:cstheme="minorHAnsi"/>
        </w:rPr>
      </w:pPr>
      <w:r w:rsidRPr="00846769">
        <w:rPr>
          <w:rFonts w:cstheme="minorHAnsi"/>
        </w:rPr>
        <w:t>Marine aquaculture equipment such as buoys, ropes, nets</w:t>
      </w:r>
      <w:r w:rsidR="00DB33BA" w:rsidRPr="00846769">
        <w:rPr>
          <w:rFonts w:cstheme="minorHAnsi"/>
        </w:rPr>
        <w:t>,</w:t>
      </w:r>
      <w:r w:rsidRPr="00846769">
        <w:rPr>
          <w:rFonts w:cstheme="minorHAnsi"/>
        </w:rPr>
        <w:t xml:space="preserve"> and cages</w:t>
      </w:r>
      <w:r w:rsidR="002B7AFC" w:rsidRPr="00846769">
        <w:rPr>
          <w:rFonts w:cstheme="minorHAnsi"/>
        </w:rPr>
        <w:t xml:space="preserve"> can</w:t>
      </w:r>
      <w:r w:rsidRPr="00846769">
        <w:rPr>
          <w:rFonts w:cstheme="minorHAnsi"/>
        </w:rPr>
        <w:t xml:space="preserve"> contribute to the spread of marine pests if they are fouled. During a marine pest emergency response, the cleaning of stock and equipment, and reduced or ceased movement of these</w:t>
      </w:r>
      <w:r w:rsidR="002B7AFC" w:rsidRPr="00846769">
        <w:rPr>
          <w:rFonts w:cstheme="minorHAnsi"/>
        </w:rPr>
        <w:t xml:space="preserve"> items</w:t>
      </w:r>
      <w:r w:rsidRPr="00846769">
        <w:rPr>
          <w:rFonts w:cstheme="minorHAnsi"/>
        </w:rPr>
        <w:t xml:space="preserve"> should be appropriately managed.</w:t>
      </w:r>
    </w:p>
    <w:p w14:paraId="2AD15D19" w14:textId="44D44429" w:rsidR="00D4784F" w:rsidRPr="00846769" w:rsidRDefault="00D4784F" w:rsidP="00D4784F">
      <w:r w:rsidRPr="00846769">
        <w:t>Fixed marine structures such as pontoons, moorings</w:t>
      </w:r>
      <w:r w:rsidR="002B7AFC" w:rsidRPr="00846769">
        <w:t>,</w:t>
      </w:r>
      <w:r w:rsidRPr="00846769">
        <w:t xml:space="preserve"> or piles do not represent a risk for translocation of marine pests unless they are moved while still fouled. If an emergency response to a marine pest is underway, then scheduled installation or repair of marine structures should be appropriately managed, including any support vessels or equipment used.</w:t>
      </w:r>
    </w:p>
    <w:p w14:paraId="3CED4107" w14:textId="6C1B5027" w:rsidR="00D4784F" w:rsidRPr="00846769" w:rsidRDefault="00D4784F" w:rsidP="00D4784F">
      <w:pPr>
        <w:rPr>
          <w:lang w:eastAsia="ja-JP"/>
        </w:rPr>
      </w:pPr>
      <w:r w:rsidRPr="00846769">
        <w:t xml:space="preserve">Biofouling management for vessels and infrastructure should be consistent with the </w:t>
      </w:r>
      <w:hyperlink r:id="rId91" w:anchor="management-requirements" w:history="1">
        <w:r w:rsidRPr="00846769">
          <w:rPr>
            <w:rStyle w:val="Hyperlink"/>
          </w:rPr>
          <w:t>National Biofouling Management Guidelines</w:t>
        </w:r>
      </w:hyperlink>
      <w:r w:rsidRPr="00846769">
        <w:t xml:space="preserve">. These </w:t>
      </w:r>
      <w:r w:rsidRPr="00846769">
        <w:rPr>
          <w:lang w:eastAsia="ja-JP"/>
        </w:rPr>
        <w:t>are available for the following industries and operators:</w:t>
      </w:r>
    </w:p>
    <w:p w14:paraId="74E4852D" w14:textId="10D52292" w:rsidR="00D4784F" w:rsidRPr="00846769" w:rsidRDefault="00D4784F" w:rsidP="00D4784F">
      <w:pPr>
        <w:pStyle w:val="ListBullet"/>
      </w:pPr>
      <w:hyperlink r:id="rId92" w:history="1">
        <w:r w:rsidRPr="00846769">
          <w:rPr>
            <w:rStyle w:val="Hyperlink"/>
          </w:rPr>
          <w:t>aquaculture</w:t>
        </w:r>
      </w:hyperlink>
      <w:r w:rsidRPr="00846769">
        <w:t xml:space="preserve"> industry</w:t>
      </w:r>
    </w:p>
    <w:p w14:paraId="7DD6152B" w14:textId="08AA85A1" w:rsidR="00D4784F" w:rsidRPr="00846769" w:rsidRDefault="00D4784F" w:rsidP="00D4784F">
      <w:pPr>
        <w:pStyle w:val="ListBullet"/>
      </w:pPr>
      <w:hyperlink r:id="rId93" w:history="1">
        <w:r w:rsidRPr="00846769">
          <w:rPr>
            <w:rStyle w:val="Hyperlink"/>
          </w:rPr>
          <w:t xml:space="preserve">offshore infrastructure </w:t>
        </w:r>
      </w:hyperlink>
      <w:r w:rsidRPr="00846769">
        <w:t>(petroleum production and exploration industry)</w:t>
      </w:r>
    </w:p>
    <w:p w14:paraId="18F6FC59" w14:textId="3F78643E" w:rsidR="00D4784F" w:rsidRPr="00846769" w:rsidRDefault="00D4784F" w:rsidP="00D4784F">
      <w:pPr>
        <w:pStyle w:val="ListBullet"/>
      </w:pPr>
      <w:hyperlink r:id="rId94" w:history="1">
        <w:r w:rsidRPr="00846769">
          <w:rPr>
            <w:rStyle w:val="Hyperlink"/>
          </w:rPr>
          <w:t>port and marina operators</w:t>
        </w:r>
      </w:hyperlink>
      <w:r w:rsidRPr="00846769">
        <w:t xml:space="preserve"> (marinas, slipways, boat maintenance and recreational boating facilities)</w:t>
      </w:r>
    </w:p>
    <w:p w14:paraId="563BA132" w14:textId="77777777" w:rsidR="00D4784F" w:rsidRPr="00846769" w:rsidRDefault="00D4784F" w:rsidP="00D4784F">
      <w:pPr>
        <w:pStyle w:val="ListBullet"/>
      </w:pPr>
      <w:hyperlink r:id="rId95" w:history="1">
        <w:r w:rsidRPr="00846769">
          <w:rPr>
            <w:rStyle w:val="Hyperlink"/>
          </w:rPr>
          <w:t>vessels</w:t>
        </w:r>
      </w:hyperlink>
      <w:r w:rsidRPr="00846769">
        <w:rPr>
          <w:rStyle w:val="Hyperlink"/>
        </w:rPr>
        <w:t>:</w:t>
      </w:r>
    </w:p>
    <w:p w14:paraId="48A3E437" w14:textId="28E3A764" w:rsidR="00D4784F" w:rsidRPr="00846769" w:rsidRDefault="00D4784F" w:rsidP="00D4784F">
      <w:pPr>
        <w:pStyle w:val="ListBullet2"/>
      </w:pPr>
      <w:hyperlink r:id="rId96" w:history="1">
        <w:r w:rsidRPr="00846769">
          <w:rPr>
            <w:rStyle w:val="Hyperlink"/>
          </w:rPr>
          <w:t>commercial fishing vessel</w:t>
        </w:r>
      </w:hyperlink>
    </w:p>
    <w:p w14:paraId="5276DEC8" w14:textId="0071D78C" w:rsidR="00D4784F" w:rsidRPr="00846769" w:rsidRDefault="00D4784F" w:rsidP="00D4784F">
      <w:pPr>
        <w:pStyle w:val="ListBullet2"/>
      </w:pPr>
      <w:hyperlink r:id="rId97" w:history="1">
        <w:r w:rsidRPr="00846769">
          <w:rPr>
            <w:rStyle w:val="Hyperlink"/>
          </w:rPr>
          <w:t>commercial vessel</w:t>
        </w:r>
      </w:hyperlink>
    </w:p>
    <w:p w14:paraId="354D7F77" w14:textId="69F60CF7" w:rsidR="00D4784F" w:rsidRPr="00846769" w:rsidRDefault="00D4784F" w:rsidP="00D4784F">
      <w:pPr>
        <w:pStyle w:val="ListBullet2"/>
      </w:pPr>
      <w:hyperlink r:id="rId98" w:history="1">
        <w:r w:rsidRPr="00846769">
          <w:rPr>
            <w:rStyle w:val="Hyperlink"/>
          </w:rPr>
          <w:t>non-trading vessel</w:t>
        </w:r>
      </w:hyperlink>
    </w:p>
    <w:p w14:paraId="738FD5C7" w14:textId="2443E938" w:rsidR="00BE1CD6" w:rsidRPr="00A04E26" w:rsidRDefault="00D4784F" w:rsidP="00BF317B">
      <w:pPr>
        <w:pStyle w:val="ListBullet2"/>
        <w:rPr>
          <w:rStyle w:val="Hyperlink"/>
          <w:color w:val="auto"/>
          <w:u w:val="none"/>
        </w:rPr>
      </w:pPr>
      <w:hyperlink r:id="rId99" w:history="1">
        <w:r w:rsidRPr="00846769">
          <w:rPr>
            <w:rStyle w:val="Hyperlink"/>
          </w:rPr>
          <w:t>recreational vessel</w:t>
        </w:r>
      </w:hyperlink>
      <w:r w:rsidRPr="00846769">
        <w:rPr>
          <w:rStyle w:val="Hyperlink"/>
        </w:rPr>
        <w:t>.</w:t>
      </w:r>
    </w:p>
    <w:p w14:paraId="00BD91C4" w14:textId="5A3F6190" w:rsidR="001E12D3" w:rsidRPr="00846769" w:rsidRDefault="001E12D3" w:rsidP="00A04E26">
      <w:pPr>
        <w:pStyle w:val="ListBullet"/>
        <w:numPr>
          <w:ilvl w:val="0"/>
          <w:numId w:val="0"/>
        </w:numPr>
      </w:pPr>
      <w:bookmarkStart w:id="312" w:name="_Hlk187308204"/>
      <w:r>
        <w:t xml:space="preserve">Further information on managing vessel biofouling and associated policies and guidelines are detailed in </w:t>
      </w:r>
      <w:hyperlink w:anchor="_Vessel_biofouling_management" w:history="1">
        <w:r w:rsidRPr="001E12D3">
          <w:rPr>
            <w:rStyle w:val="Hyperlink"/>
          </w:rPr>
          <w:t>Section 3.3.1.</w:t>
        </w:r>
      </w:hyperlink>
    </w:p>
    <w:p w14:paraId="32A59F23" w14:textId="5AE090BB" w:rsidR="006A63DA" w:rsidRPr="00086C43" w:rsidRDefault="006A63DA" w:rsidP="006A63DA">
      <w:pPr>
        <w:pStyle w:val="Heading3"/>
        <w:numPr>
          <w:ilvl w:val="1"/>
          <w:numId w:val="4"/>
        </w:numPr>
      </w:pPr>
      <w:bookmarkStart w:id="313" w:name="_Ballast"/>
      <w:bookmarkStart w:id="314" w:name="_Toc117844890"/>
      <w:bookmarkStart w:id="315" w:name="_Toc178176831"/>
      <w:bookmarkStart w:id="316" w:name="_Toc191998657"/>
      <w:bookmarkStart w:id="317" w:name="_Toc87599097"/>
      <w:bookmarkEnd w:id="309"/>
      <w:bookmarkEnd w:id="312"/>
      <w:bookmarkEnd w:id="313"/>
      <w:r w:rsidRPr="00086C43">
        <w:t>Ballast</w:t>
      </w:r>
      <w:bookmarkEnd w:id="314"/>
      <w:bookmarkEnd w:id="315"/>
      <w:bookmarkEnd w:id="316"/>
    </w:p>
    <w:p w14:paraId="066CD282" w14:textId="52B158C3" w:rsidR="00CC6633" w:rsidRPr="006A1811" w:rsidRDefault="00B5740F" w:rsidP="00C953E0">
      <w:bookmarkStart w:id="318" w:name="_Hlk170688274"/>
      <w:bookmarkEnd w:id="317"/>
      <w:r w:rsidRPr="00846769">
        <w:t xml:space="preserve">Ballast water is water taken on-board </w:t>
      </w:r>
      <w:r w:rsidR="00C72E95" w:rsidRPr="00846769">
        <w:t>by vessels to maintain stability and trim</w:t>
      </w:r>
      <w:r w:rsidR="002905B6">
        <w:t>.</w:t>
      </w:r>
      <w:r w:rsidR="006A63DA" w:rsidRPr="006A63DA">
        <w:t xml:space="preserve"> </w:t>
      </w:r>
      <w:r w:rsidR="006A63DA" w:rsidRPr="5285F9FC">
        <w:t>Ballast water is used</w:t>
      </w:r>
      <w:r w:rsidR="002905B6">
        <w:t xml:space="preserve"> by most modern</w:t>
      </w:r>
      <w:r w:rsidR="00AD3E34">
        <w:t>-</w:t>
      </w:r>
      <w:r w:rsidR="002905B6">
        <w:t>day vessels, notably</w:t>
      </w:r>
      <w:r w:rsidR="006A63DA" w:rsidRPr="5285F9FC">
        <w:t xml:space="preserve"> large </w:t>
      </w:r>
      <w:r w:rsidR="006C28D2">
        <w:t xml:space="preserve">commercial </w:t>
      </w:r>
      <w:r w:rsidR="006A63DA" w:rsidRPr="5285F9FC">
        <w:t xml:space="preserve">vessels, some cruise </w:t>
      </w:r>
      <w:r w:rsidR="00160093">
        <w:t>vessels</w:t>
      </w:r>
      <w:r w:rsidR="006A63DA" w:rsidRPr="00846769">
        <w:t>,</w:t>
      </w:r>
      <w:r w:rsidR="006A63DA" w:rsidRPr="5285F9FC">
        <w:t xml:space="preserve"> and certain types of fishing vessels</w:t>
      </w:r>
      <w:r w:rsidR="002905B6">
        <w:t>, yachts,</w:t>
      </w:r>
      <w:r w:rsidR="006A63DA" w:rsidRPr="5285F9FC">
        <w:t xml:space="preserve"> and ferries.</w:t>
      </w:r>
      <w:r w:rsidR="006A63DA">
        <w:t xml:space="preserve"> </w:t>
      </w:r>
      <w:r w:rsidR="00CC6633" w:rsidRPr="00846769">
        <w:t>Unladen vessels arriving in a port will usually be ballasted and will need to discharge some ballast water in proportion to the weight increase caused by cargo loading.</w:t>
      </w:r>
      <w:r w:rsidR="006C28D2">
        <w:t xml:space="preserve"> </w:t>
      </w:r>
      <w:bookmarkStart w:id="319" w:name="_Hlk187312086"/>
      <w:r w:rsidR="006C28D2">
        <w:t xml:space="preserve">The number and frequency of species introductions has increased since ballast water </w:t>
      </w:r>
      <w:r w:rsidR="006C28D2">
        <w:lastRenderedPageBreak/>
        <w:t xml:space="preserve">replaced solid ballast around the </w:t>
      </w:r>
      <w:r w:rsidR="006C28D2" w:rsidRPr="006A1811">
        <w:t xml:space="preserve">1880s </w:t>
      </w:r>
      <w:r w:rsidR="006C28D2" w:rsidRPr="006A1811">
        <w:rPr>
          <w:noProof/>
        </w:rPr>
        <w:t>(</w:t>
      </w:r>
      <w:r w:rsidR="006C28D2" w:rsidRPr="006A1811">
        <w:t>Carlton</w:t>
      </w:r>
      <w:r w:rsidR="006C28D2" w:rsidRPr="006A1811">
        <w:rPr>
          <w:noProof/>
        </w:rPr>
        <w:t xml:space="preserve"> &amp; Geller 1993)</w:t>
      </w:r>
      <w:r w:rsidR="006C28D2" w:rsidRPr="006A1811">
        <w:t xml:space="preserve">. Around 20% of introduced marine species into Port Phillip Bay, Victoria, are estimated to have arrived in ballast water </w:t>
      </w:r>
      <w:r w:rsidR="006C28D2" w:rsidRPr="006A1811">
        <w:rPr>
          <w:noProof/>
        </w:rPr>
        <w:t>(Hewitt et al. 2004)</w:t>
      </w:r>
      <w:r w:rsidR="006C28D2" w:rsidRPr="006A1811">
        <w:t>.</w:t>
      </w:r>
      <w:bookmarkEnd w:id="319"/>
    </w:p>
    <w:p w14:paraId="40073E11" w14:textId="5FEDAA89" w:rsidR="00C72E95" w:rsidRPr="00846769" w:rsidRDefault="00B66204" w:rsidP="00C953E0">
      <w:pPr>
        <w:rPr>
          <w:rFonts w:cstheme="minorHAnsi"/>
        </w:rPr>
      </w:pPr>
      <w:bookmarkStart w:id="320" w:name="_Hlk170689530"/>
      <w:bookmarkEnd w:id="318"/>
      <w:r w:rsidRPr="006A1811">
        <w:t xml:space="preserve">Ballast water is a relatively non-selective dispersal mechanism </w:t>
      </w:r>
      <w:r w:rsidR="006C28D2" w:rsidRPr="006A1811">
        <w:t xml:space="preserve">that can carry </w:t>
      </w:r>
      <w:r w:rsidR="00C953E0" w:rsidRPr="006A1811">
        <w:t xml:space="preserve">bivalve species </w:t>
      </w:r>
      <w:r w:rsidR="006C28D2" w:rsidRPr="006A1811">
        <w:t>as planktonic stages (</w:t>
      </w:r>
      <w:r w:rsidR="0004422F" w:rsidRPr="006A1811">
        <w:t>e.g.</w:t>
      </w:r>
      <w:r w:rsidR="006C28D2" w:rsidRPr="006A1811">
        <w:t xml:space="preserve"> gametes or larvae), free swimming juveniles or adults, and fouling </w:t>
      </w:r>
      <w:r w:rsidR="00E41C99" w:rsidRPr="006A1811">
        <w:t>bivalves</w:t>
      </w:r>
      <w:r w:rsidR="006C28D2" w:rsidRPr="006A1811">
        <w:t xml:space="preserve"> attached to the vertical walls of the ballast compartments </w:t>
      </w:r>
      <w:r w:rsidR="00C72E95" w:rsidRPr="006A1811">
        <w:rPr>
          <w:rFonts w:cstheme="minorHAnsi"/>
        </w:rPr>
        <w:t xml:space="preserve">(Carlton </w:t>
      </w:r>
      <w:r w:rsidR="00FA1E54" w:rsidRPr="006A1811">
        <w:rPr>
          <w:rFonts w:cstheme="minorHAnsi"/>
        </w:rPr>
        <w:t xml:space="preserve">1985; </w:t>
      </w:r>
      <w:bookmarkStart w:id="321" w:name="_Hlk187312521"/>
      <w:r w:rsidR="00FA1E54" w:rsidRPr="006A1811">
        <w:rPr>
          <w:rFonts w:cstheme="minorHAnsi"/>
        </w:rPr>
        <w:t xml:space="preserve">Davidson &amp; </w:t>
      </w:r>
      <w:proofErr w:type="spellStart"/>
      <w:r w:rsidR="00FA1E54" w:rsidRPr="006A1811">
        <w:rPr>
          <w:rFonts w:cstheme="minorHAnsi"/>
        </w:rPr>
        <w:t>Simkanin</w:t>
      </w:r>
      <w:proofErr w:type="spellEnd"/>
      <w:r w:rsidR="00FA1E54" w:rsidRPr="006A1811">
        <w:rPr>
          <w:rFonts w:cstheme="minorHAnsi"/>
        </w:rPr>
        <w:t xml:space="preserve"> 2012</w:t>
      </w:r>
      <w:bookmarkEnd w:id="321"/>
      <w:r w:rsidR="00C72E95" w:rsidRPr="006A1811">
        <w:rPr>
          <w:rFonts w:cstheme="minorHAnsi"/>
        </w:rPr>
        <w:t xml:space="preserve">). Sediments can </w:t>
      </w:r>
      <w:r w:rsidR="006C28D2" w:rsidRPr="006A1811">
        <w:rPr>
          <w:rFonts w:cstheme="minorHAnsi"/>
        </w:rPr>
        <w:t xml:space="preserve">also </w:t>
      </w:r>
      <w:r w:rsidR="00C72E95" w:rsidRPr="006A1811">
        <w:rPr>
          <w:rFonts w:cstheme="minorHAnsi"/>
        </w:rPr>
        <w:t>be inadvertently taken up along with the ballast water and can accumulate in the ballast tank, providing habitat for benthic organisms</w:t>
      </w:r>
      <w:r w:rsidR="00CC6633" w:rsidRPr="006A1811">
        <w:rPr>
          <w:rFonts w:cstheme="minorHAnsi"/>
        </w:rPr>
        <w:t xml:space="preserve"> including infaunal bivalves</w:t>
      </w:r>
      <w:r w:rsidR="00C72E95" w:rsidRPr="006A1811">
        <w:rPr>
          <w:rFonts w:cstheme="minorHAnsi"/>
        </w:rPr>
        <w:t xml:space="preserve"> that may be transported to other locations (</w:t>
      </w:r>
      <w:bookmarkStart w:id="322" w:name="_Hlk187312565"/>
      <w:r w:rsidR="00C72E95" w:rsidRPr="006A1811">
        <w:rPr>
          <w:rFonts w:cstheme="minorHAnsi"/>
        </w:rPr>
        <w:t xml:space="preserve">Carlton </w:t>
      </w:r>
      <w:r w:rsidR="00FA1E54" w:rsidRPr="006A1811">
        <w:rPr>
          <w:rFonts w:cstheme="minorHAnsi"/>
        </w:rPr>
        <w:t xml:space="preserve">1985; Davidson &amp; </w:t>
      </w:r>
      <w:proofErr w:type="spellStart"/>
      <w:r w:rsidR="00FA1E54" w:rsidRPr="006A1811">
        <w:rPr>
          <w:rFonts w:cstheme="minorHAnsi"/>
        </w:rPr>
        <w:t>Simkanin</w:t>
      </w:r>
      <w:proofErr w:type="spellEnd"/>
      <w:r w:rsidR="00FA1E54" w:rsidRPr="006A1811">
        <w:rPr>
          <w:rFonts w:cstheme="minorHAnsi"/>
        </w:rPr>
        <w:t xml:space="preserve"> 2012</w:t>
      </w:r>
      <w:bookmarkEnd w:id="322"/>
      <w:r w:rsidR="00C72E95" w:rsidRPr="006A1811">
        <w:rPr>
          <w:rFonts w:cstheme="minorHAnsi"/>
        </w:rPr>
        <w:t>).</w:t>
      </w:r>
    </w:p>
    <w:bookmarkEnd w:id="320"/>
    <w:p w14:paraId="0CD13081" w14:textId="3288C1CE" w:rsidR="00C953E0" w:rsidRPr="006A1811" w:rsidRDefault="6FD6E378" w:rsidP="5285F9FC">
      <w:r w:rsidRPr="005F7F32">
        <w:t>Bivalve</w:t>
      </w:r>
      <w:r w:rsidRPr="00846769">
        <w:t xml:space="preserve"> species with relatively long larval durations are more likely to survive within ballast water </w:t>
      </w:r>
      <w:r w:rsidRPr="006A1811">
        <w:t>than bivalves with shorter larval stages.</w:t>
      </w:r>
      <w:r w:rsidR="55584E3E" w:rsidRPr="006A1811">
        <w:t xml:space="preserve"> For example,</w:t>
      </w:r>
      <w:r w:rsidRPr="006A1811">
        <w:t xml:space="preserve"> </w:t>
      </w:r>
      <w:r w:rsidRPr="006A1811">
        <w:rPr>
          <w:i/>
          <w:iCs/>
        </w:rPr>
        <w:t>P</w:t>
      </w:r>
      <w:r w:rsidR="00E8234D" w:rsidRPr="006A1811">
        <w:rPr>
          <w:i/>
          <w:iCs/>
        </w:rPr>
        <w:t xml:space="preserve">. </w:t>
      </w:r>
      <w:r w:rsidRPr="006A1811">
        <w:rPr>
          <w:i/>
          <w:iCs/>
        </w:rPr>
        <w:t xml:space="preserve">canaliculus </w:t>
      </w:r>
      <w:r w:rsidRPr="006A1811">
        <w:t xml:space="preserve">with a larval duration of 3 to 6 weeks (Jeffs et al. 1999) </w:t>
      </w:r>
      <w:r w:rsidR="4C7AB761" w:rsidRPr="006A1811">
        <w:t xml:space="preserve">is </w:t>
      </w:r>
      <w:r w:rsidRPr="006A1811">
        <w:t xml:space="preserve">more likely to be introduced via ballast than </w:t>
      </w:r>
      <w:r w:rsidRPr="006A1811">
        <w:rPr>
          <w:i/>
          <w:iCs/>
        </w:rPr>
        <w:t>M</w:t>
      </w:r>
      <w:r w:rsidR="00E8234D" w:rsidRPr="006A1811">
        <w:rPr>
          <w:i/>
          <w:iCs/>
        </w:rPr>
        <w:t>.</w:t>
      </w:r>
      <w:r w:rsidRPr="006A1811">
        <w:rPr>
          <w:i/>
          <w:iCs/>
        </w:rPr>
        <w:t xml:space="preserve"> sallei </w:t>
      </w:r>
      <w:r w:rsidRPr="006A1811">
        <w:t xml:space="preserve">which has a larval duration of around </w:t>
      </w:r>
      <w:r w:rsidR="00E8234D" w:rsidRPr="006A1811">
        <w:t>two</w:t>
      </w:r>
      <w:r w:rsidRPr="006A1811">
        <w:t xml:space="preserve"> days (Kalyanasundaram 1975). </w:t>
      </w:r>
    </w:p>
    <w:p w14:paraId="34D832D0" w14:textId="74420FDB" w:rsidR="006939E1" w:rsidRDefault="0027499C" w:rsidP="5285F9FC">
      <w:r>
        <w:t>Wide</w:t>
      </w:r>
      <w:r w:rsidRPr="006A1811">
        <w:t xml:space="preserve"> </w:t>
      </w:r>
      <w:r w:rsidR="6FD6E378" w:rsidRPr="006A1811">
        <w:t>environmental tolerance</w:t>
      </w:r>
      <w:r>
        <w:t>s</w:t>
      </w:r>
      <w:r w:rsidR="6FD6E378" w:rsidRPr="006A1811">
        <w:t xml:space="preserve"> will influence a species</w:t>
      </w:r>
      <w:r w:rsidR="5D68314E" w:rsidRPr="006A1811">
        <w:t>’</w:t>
      </w:r>
      <w:r w:rsidR="6FD6E378" w:rsidRPr="006A1811">
        <w:t xml:space="preserve"> ability to successfully transfer via ballast. </w:t>
      </w:r>
      <w:r w:rsidR="6FD6E378" w:rsidRPr="006A1811">
        <w:rPr>
          <w:i/>
          <w:iCs/>
        </w:rPr>
        <w:t xml:space="preserve">Potamocorbula amurensis </w:t>
      </w:r>
      <w:r w:rsidR="6FD6E378" w:rsidRPr="006A1811">
        <w:t>is likely to have been introduced to San Francisco, USA, by ballast water because of its long larval duration and ability to tolerate large changes in salinity (Nicolini &amp; Penry 2000).</w:t>
      </w:r>
      <w:r w:rsidR="6FD6E378" w:rsidRPr="00846769">
        <w:t xml:space="preserve"> </w:t>
      </w:r>
    </w:p>
    <w:p w14:paraId="5203EAA8" w14:textId="3BE436C3" w:rsidR="00E0277D" w:rsidRDefault="00E0277D" w:rsidP="00E0277D">
      <w:bookmarkStart w:id="323" w:name="_Hlk187312699"/>
      <w:r>
        <w:t xml:space="preserve">The </w:t>
      </w:r>
      <w:r w:rsidRPr="00671CD2">
        <w:rPr>
          <w:i/>
          <w:iCs/>
        </w:rPr>
        <w:t>International Convention for the Control and Management of Ships’ Ballast Water and Sediments, 2004</w:t>
      </w:r>
      <w:r>
        <w:t xml:space="preserve"> (the BWM Convention) was adopted to manage the risks associated with the transfer of organisms via ballast water. Australia is a signatory to the BWM Convention which entered into force 8 September 2017. Chapter 5 of the </w:t>
      </w:r>
      <w:r w:rsidRPr="00671CD2">
        <w:rPr>
          <w:i/>
          <w:iCs/>
        </w:rPr>
        <w:t>Biosecurity Act 2015</w:t>
      </w:r>
      <w:r>
        <w:t xml:space="preserve"> is dedicated to the management of the biosecurity risks associated with ballast water and ballast tank sediments in Australian seas.</w:t>
      </w:r>
    </w:p>
    <w:p w14:paraId="7B4E1B00" w14:textId="77777777" w:rsidR="00E0277D" w:rsidRDefault="00E0277D" w:rsidP="00E0277D">
      <w:r>
        <w:t xml:space="preserve">The </w:t>
      </w:r>
      <w:hyperlink r:id="rId100" w:history="1">
        <w:r w:rsidRPr="00CC4CDB">
          <w:rPr>
            <w:rStyle w:val="Hyperlink"/>
          </w:rPr>
          <w:t>Australian Ballast Water Management Requirements</w:t>
        </w:r>
      </w:hyperlink>
      <w:r>
        <w:t xml:space="preserve"> (the ABWM Requirements) provide information and direction on the obligations of vessel operators with regards to the management of ballast water and ballast tank sediments in Australian seas. The ABWM Requirements apply to all vessels operating internationally and domestically in Australia.</w:t>
      </w:r>
    </w:p>
    <w:p w14:paraId="487F26C6" w14:textId="5189645E" w:rsidR="00E0277D" w:rsidRDefault="00E0277D" w:rsidP="5285F9FC">
      <w:r>
        <w:t xml:space="preserve">From 8 September 2024, all vessels </w:t>
      </w:r>
      <w:r w:rsidRPr="00A5330A">
        <w:t xml:space="preserve">constructed after </w:t>
      </w:r>
      <w:r w:rsidR="001E12D3">
        <w:t xml:space="preserve">1 </w:t>
      </w:r>
      <w:r w:rsidRPr="00A5330A">
        <w:t>January</w:t>
      </w:r>
      <w:r w:rsidR="001E12D3">
        <w:t xml:space="preserve"> </w:t>
      </w:r>
      <w:r w:rsidRPr="00A5330A">
        <w:t xml:space="preserve">2009 that are subject to regulation B-3 of the Annex to the </w:t>
      </w:r>
      <w:r>
        <w:t xml:space="preserve">BWM </w:t>
      </w:r>
      <w:r w:rsidRPr="00A5330A">
        <w:t>Convention must adhere to the performance standards contained in regulation D-2</w:t>
      </w:r>
      <w:r>
        <w:t xml:space="preserve"> of the BWM Convention. Regulation D-2 of the Annex to the BWM Convention sets the biological performance standards in discharged ballast water and contains maximum numbers of organisms across different size classes that represent planktonic organisms and human health-associated microbes. For discharged ballast water to comply with the Regulation D-2 standard, most vessels will have installed an </w:t>
      </w:r>
      <w:r w:rsidR="001E12D3">
        <w:t xml:space="preserve">International </w:t>
      </w:r>
      <w:r>
        <w:t>M</w:t>
      </w:r>
      <w:r w:rsidR="001E12D3">
        <w:t xml:space="preserve">aritime </w:t>
      </w:r>
      <w:r>
        <w:t>O</w:t>
      </w:r>
      <w:r w:rsidR="001E12D3">
        <w:t>rganization (IMO)</w:t>
      </w:r>
      <w:r>
        <w:t xml:space="preserve"> Type Approved ballast water management system (BWMS).</w:t>
      </w:r>
    </w:p>
    <w:p w14:paraId="259C86E7" w14:textId="6C61C9D1" w:rsidR="001E12D3" w:rsidRPr="00846769" w:rsidRDefault="001E12D3" w:rsidP="00A04E26">
      <w:pPr>
        <w:pStyle w:val="ListBullet"/>
        <w:numPr>
          <w:ilvl w:val="0"/>
          <w:numId w:val="0"/>
        </w:numPr>
      </w:pPr>
      <w:bookmarkStart w:id="324" w:name="_Hlk187308232"/>
      <w:bookmarkEnd w:id="323"/>
      <w:r>
        <w:t xml:space="preserve">Further information on managing vessel ballast water and associated policies and guidelines are detailed in </w:t>
      </w:r>
      <w:hyperlink w:anchor="_Ballast_water_management" w:history="1">
        <w:r w:rsidRPr="001E12D3">
          <w:rPr>
            <w:rStyle w:val="Hyperlink"/>
          </w:rPr>
          <w:t>Section 3.3</w:t>
        </w:r>
        <w:r>
          <w:rPr>
            <w:rStyle w:val="Hyperlink"/>
          </w:rPr>
          <w:t>.2</w:t>
        </w:r>
        <w:r w:rsidRPr="001E12D3">
          <w:rPr>
            <w:rStyle w:val="Hyperlink"/>
          </w:rPr>
          <w:t>.</w:t>
        </w:r>
      </w:hyperlink>
    </w:p>
    <w:p w14:paraId="6A873F57" w14:textId="6712B53A" w:rsidR="006939E1" w:rsidRPr="00846769" w:rsidRDefault="00B5740F" w:rsidP="00BF317B">
      <w:pPr>
        <w:pStyle w:val="Heading3"/>
        <w:numPr>
          <w:ilvl w:val="1"/>
          <w:numId w:val="4"/>
        </w:numPr>
      </w:pPr>
      <w:bookmarkStart w:id="325" w:name="_Toc87599098"/>
      <w:bookmarkStart w:id="326" w:name="_Toc191998658"/>
      <w:bookmarkEnd w:id="324"/>
      <w:r w:rsidRPr="00846769">
        <w:lastRenderedPageBreak/>
        <w:t>Fisheries, aquaculture</w:t>
      </w:r>
      <w:r w:rsidR="00E8234D" w:rsidRPr="00846769">
        <w:t>,</w:t>
      </w:r>
      <w:r w:rsidRPr="00846769">
        <w:t xml:space="preserve"> </w:t>
      </w:r>
      <w:bookmarkEnd w:id="325"/>
      <w:r w:rsidRPr="00846769">
        <w:t>and the ornamental trade</w:t>
      </w:r>
      <w:bookmarkEnd w:id="326"/>
    </w:p>
    <w:p w14:paraId="5DAF1074" w14:textId="340F857D" w:rsidR="00934256" w:rsidRPr="00846769" w:rsidRDefault="6FD6E378" w:rsidP="00E8234D">
      <w:pPr>
        <w:rPr>
          <w:highlight w:val="yellow"/>
        </w:rPr>
      </w:pPr>
      <w:bookmarkStart w:id="327" w:name="_Hlk170690856"/>
      <w:r w:rsidRPr="00846769">
        <w:t xml:space="preserve">Fishing and aquaculture operations and the ornamental trade can translocate bivalves accidentally with other stock </w:t>
      </w:r>
      <w:r w:rsidR="00E8234D" w:rsidRPr="00846769">
        <w:t xml:space="preserve">or bait </w:t>
      </w:r>
      <w:r w:rsidRPr="00846769">
        <w:t>movements, or deliberately by illegal movements of live bivalves for the purpose of establishing a population</w:t>
      </w:r>
      <w:r w:rsidR="00D50F8F" w:rsidRPr="00846769">
        <w:t xml:space="preserve"> for cultivation</w:t>
      </w:r>
      <w:r w:rsidRPr="00846769">
        <w:t xml:space="preserve">. </w:t>
      </w:r>
      <w:r w:rsidR="00C953E0" w:rsidRPr="00846769">
        <w:t>Bivalves may also be accidently transport</w:t>
      </w:r>
      <w:r w:rsidR="00E8234D" w:rsidRPr="00846769">
        <w:t>ed</w:t>
      </w:r>
      <w:r w:rsidR="00C953E0" w:rsidRPr="00846769">
        <w:t xml:space="preserve"> on aquaculture and fisheries equipment such as buoys, ropes, nets</w:t>
      </w:r>
      <w:r w:rsidR="00D50F8F" w:rsidRPr="00846769">
        <w:t xml:space="preserve">, </w:t>
      </w:r>
      <w:r w:rsidR="00C953E0" w:rsidRPr="00846769">
        <w:t xml:space="preserve">and cages. </w:t>
      </w:r>
      <w:r w:rsidR="00934256">
        <w:t>Although there are strict regulations of live animal imports, t</w:t>
      </w:r>
      <w:r w:rsidR="00934256" w:rsidRPr="00846769">
        <w:t>he</w:t>
      </w:r>
      <w:r w:rsidR="00934256">
        <w:t>re is still some</w:t>
      </w:r>
      <w:r w:rsidR="00934256" w:rsidRPr="00846769">
        <w:t xml:space="preserve"> risk of introduction of an invasive marine bivalve into Australia via importing aquaculture or fisheries stock</w:t>
      </w:r>
      <w:r w:rsidR="00934256">
        <w:t>.</w:t>
      </w:r>
      <w:r w:rsidR="00934256" w:rsidDel="00140BD8">
        <w:rPr>
          <w:rStyle w:val="CommentReference"/>
        </w:rPr>
        <w:t xml:space="preserve"> </w:t>
      </w:r>
      <w:r w:rsidR="00934256">
        <w:t>I</w:t>
      </w:r>
      <w:r w:rsidR="00934256" w:rsidRPr="00846769">
        <w:t xml:space="preserve">mported aquaculture stock already processed for human consumption </w:t>
      </w:r>
      <w:r w:rsidR="00934256">
        <w:t>is non-viable and import of used aquaculture equipment is closely managed.</w:t>
      </w:r>
    </w:p>
    <w:bookmarkEnd w:id="327"/>
    <w:p w14:paraId="71F19B99" w14:textId="2567474F" w:rsidR="00934256" w:rsidRDefault="00934256" w:rsidP="00934256">
      <w:r w:rsidRPr="00846769">
        <w:t>The fisheries and aquaculture trade has historically been an important pathway for introduction of marine bivalves into Australia and around the world</w:t>
      </w:r>
      <w:r>
        <w:t xml:space="preserve">, particularly for commercially important species such as </w:t>
      </w:r>
      <w:r w:rsidRPr="00846769">
        <w:rPr>
          <w:i/>
          <w:iCs/>
        </w:rPr>
        <w:t>M.</w:t>
      </w:r>
      <w:r w:rsidRPr="17A389D9">
        <w:rPr>
          <w:i/>
          <w:iCs/>
        </w:rPr>
        <w:t xml:space="preserve"> gigas </w:t>
      </w:r>
      <w:r>
        <w:t xml:space="preserve">and </w:t>
      </w:r>
      <w:r w:rsidRPr="17A389D9">
        <w:rPr>
          <w:i/>
          <w:iCs/>
        </w:rPr>
        <w:t xml:space="preserve">Perna </w:t>
      </w:r>
      <w:r>
        <w:t xml:space="preserve">spp. Bivalves are highly valuable as a human food item and </w:t>
      </w:r>
      <w:r w:rsidRPr="17A389D9">
        <w:rPr>
          <w:i/>
          <w:iCs/>
        </w:rPr>
        <w:t>M.</w:t>
      </w:r>
      <w:r w:rsidR="00FF70DD">
        <w:rPr>
          <w:i/>
          <w:iCs/>
        </w:rPr>
        <w:t> </w:t>
      </w:r>
      <w:r w:rsidRPr="17A389D9">
        <w:rPr>
          <w:i/>
          <w:iCs/>
        </w:rPr>
        <w:t xml:space="preserve">gigas </w:t>
      </w:r>
      <w:r>
        <w:t xml:space="preserve">dominates global aquaculture production and is an economically and socially important aquaculture species in Australia. </w:t>
      </w:r>
      <w:r w:rsidRPr="17A389D9">
        <w:rPr>
          <w:i/>
          <w:iCs/>
        </w:rPr>
        <w:t>Magallana gigas</w:t>
      </w:r>
      <w:r>
        <w:t xml:space="preserve"> was intentionally introduced into southern Tasmania, Western Australia, and Victoria in the mid-1900s. </w:t>
      </w:r>
      <w:r w:rsidRPr="17A389D9">
        <w:rPr>
          <w:i/>
          <w:iCs/>
        </w:rPr>
        <w:t xml:space="preserve">Magallana gigas </w:t>
      </w:r>
      <w:r>
        <w:t>was later found in New South Wales in the 1960s, where it was believed to have been illegally intentionally introduced</w:t>
      </w:r>
      <w:r w:rsidRPr="00846769">
        <w:t xml:space="preserve"> (</w:t>
      </w:r>
      <w:hyperlink r:id="rId101" w:history="1">
        <w:r w:rsidRPr="00846769">
          <w:rPr>
            <w:rStyle w:val="Hyperlink"/>
          </w:rPr>
          <w:t>NSW DPI</w:t>
        </w:r>
        <w:r w:rsidR="009F1E23">
          <w:rPr>
            <w:rStyle w:val="Hyperlink"/>
          </w:rPr>
          <w:t>RD</w:t>
        </w:r>
        <w:r w:rsidRPr="00846769">
          <w:rPr>
            <w:rStyle w:val="Hyperlink"/>
          </w:rPr>
          <w:t xml:space="preserve"> 2024</w:t>
        </w:r>
      </w:hyperlink>
      <w:r w:rsidRPr="00846769">
        <w:t>).</w:t>
      </w:r>
      <w:r>
        <w:t xml:space="preserve"> Import of aquaculture stock into Australia is strongly regulated, reducing the biosecurity risk from this vector</w:t>
      </w:r>
      <w:r w:rsidRPr="00846769">
        <w:t>.</w:t>
      </w:r>
    </w:p>
    <w:p w14:paraId="167718A0" w14:textId="29CCD614" w:rsidR="00934256" w:rsidRDefault="00934256" w:rsidP="00934256">
      <w:bookmarkStart w:id="328" w:name="_Hlk187311340"/>
      <w:r>
        <w:rPr>
          <w:rFonts w:cstheme="minorHAnsi"/>
        </w:rPr>
        <w:t>There</w:t>
      </w:r>
      <w:r w:rsidRPr="00846769">
        <w:rPr>
          <w:rFonts w:cstheme="minorHAnsi"/>
        </w:rPr>
        <w:t xml:space="preserve"> is risk of marine pest translocation within Australia through domestic trade of live aquatic animals for socio-</w:t>
      </w:r>
      <w:r>
        <w:t xml:space="preserve">economic </w:t>
      </w:r>
      <w:r w:rsidRPr="00846769">
        <w:rPr>
          <w:rFonts w:cstheme="minorHAnsi"/>
        </w:rPr>
        <w:t>and environm</w:t>
      </w:r>
      <w:r w:rsidRPr="006A1811">
        <w:rPr>
          <w:rFonts w:cstheme="minorHAnsi"/>
        </w:rPr>
        <w:t>ental benefit (DAFF 2020a).</w:t>
      </w:r>
      <w:r w:rsidRPr="006A1811">
        <w:t xml:space="preserve"> For</w:t>
      </w:r>
      <w:r>
        <w:t xml:space="preserve"> instance, due to the species’ economic importance in New Zealand, if </w:t>
      </w:r>
      <w:r w:rsidRPr="17A389D9">
        <w:rPr>
          <w:rStyle w:val="Emphasis"/>
        </w:rPr>
        <w:t>P. canaliculus</w:t>
      </w:r>
      <w:r>
        <w:t xml:space="preserve"> were to establish in Australia</w:t>
      </w:r>
      <w:r w:rsidRPr="00846769">
        <w:t>,</w:t>
      </w:r>
      <w:r>
        <w:t xml:space="preserve"> illegal anthropogenic domestic spread would need to be managed.</w:t>
      </w:r>
      <w:r w:rsidRPr="00846769">
        <w:t xml:space="preserve"> </w:t>
      </w:r>
      <w:r w:rsidRPr="00846769">
        <w:rPr>
          <w:rFonts w:cstheme="minorHAnsi"/>
        </w:rPr>
        <w:t xml:space="preserve">The </w:t>
      </w:r>
      <w:hyperlink r:id="rId102" w:history="1">
        <w:r w:rsidRPr="00846769">
          <w:rPr>
            <w:rStyle w:val="Hyperlink"/>
            <w:rFonts w:cstheme="minorHAnsi"/>
          </w:rPr>
          <w:t>National policy guidelines for the translocation of live aquatic animals</w:t>
        </w:r>
      </w:hyperlink>
      <w:r w:rsidRPr="00846769">
        <w:rPr>
          <w:rFonts w:cstheme="minorHAnsi"/>
        </w:rPr>
        <w:t xml:space="preserve"> have been developed to guide any translocation activity of live aquatic animals.</w:t>
      </w:r>
    </w:p>
    <w:p w14:paraId="33230BF1" w14:textId="06277A32" w:rsidR="006939E1" w:rsidRDefault="00E43D2A">
      <w:bookmarkStart w:id="329" w:name="_Hlk187311518"/>
      <w:bookmarkEnd w:id="328"/>
      <w:r w:rsidRPr="00846769">
        <w:t>The ornamental trade is not as significant for the translocation of invasive marine bivalves compared to fisheries and aquaculture. The s</w:t>
      </w:r>
      <w:r w:rsidR="6FD6E378" w:rsidRPr="00846769">
        <w:t xml:space="preserve">ale of ‘live rocks’ are common among the </w:t>
      </w:r>
      <w:r w:rsidR="23808652" w:rsidRPr="00846769">
        <w:t xml:space="preserve">ornamental </w:t>
      </w:r>
      <w:r w:rsidR="6FD6E378" w:rsidRPr="00846769">
        <w:t>aquarium trade. Live rock</w:t>
      </w:r>
      <w:r w:rsidR="00746337" w:rsidRPr="00846769">
        <w:t xml:space="preserve">s are taken directly from </w:t>
      </w:r>
      <w:r w:rsidR="6FD6E378" w:rsidRPr="00846769">
        <w:t>the ocean</w:t>
      </w:r>
      <w:r w:rsidR="444ACEEB" w:rsidRPr="00846769">
        <w:t>,</w:t>
      </w:r>
      <w:r w:rsidR="6FD6E378" w:rsidRPr="00846769">
        <w:t xml:space="preserve"> </w:t>
      </w:r>
      <w:r w:rsidR="1144DD81" w:rsidRPr="00846769">
        <w:t>often inhabited by a multitude of marine organisms, including bivalves</w:t>
      </w:r>
      <w:r w:rsidR="0F0D1447" w:rsidRPr="00846769">
        <w:t>,</w:t>
      </w:r>
      <w:r w:rsidR="00746337" w:rsidRPr="00846769">
        <w:t xml:space="preserve"> </w:t>
      </w:r>
      <w:r w:rsidR="6FD6E378" w:rsidRPr="00846769">
        <w:t>that ha</w:t>
      </w:r>
      <w:r w:rsidR="00746337" w:rsidRPr="00846769">
        <w:t>ve</w:t>
      </w:r>
      <w:r w:rsidR="6FD6E378" w:rsidRPr="00846769">
        <w:t xml:space="preserve"> been introduced into an aquarium. Live rock is sold in Australia with Queensland, Western Australia, Northern Territory and Victoria common places of </w:t>
      </w:r>
      <w:r w:rsidR="6FD6E378" w:rsidRPr="00DD01E4">
        <w:t>origin (Morrissey et al. 2011). Although</w:t>
      </w:r>
      <w:r w:rsidR="6FD6E378" w:rsidRPr="00846769">
        <w:t xml:space="preserve"> internet sales data shows that live rock sales are mainly </w:t>
      </w:r>
      <w:r w:rsidR="00746337" w:rsidRPr="00846769">
        <w:t>collected and sold within jurisdictions</w:t>
      </w:r>
      <w:r w:rsidR="6DD74022" w:rsidRPr="00846769">
        <w:t>,</w:t>
      </w:r>
      <w:r w:rsidR="6FD6E378" w:rsidRPr="00846769">
        <w:t xml:space="preserve"> it is a potentially important vector, particularly for domestic spread of bivalves that inhabit rocks and other complex structures. Gravel and aquarium water released into waterways may also spread any bivalves (larvae or other life stages) present. Several species of clams such as </w:t>
      </w:r>
      <w:r w:rsidR="6FD6E378" w:rsidRPr="00846769">
        <w:rPr>
          <w:i/>
          <w:iCs/>
        </w:rPr>
        <w:t xml:space="preserve">Tridacna </w:t>
      </w:r>
      <w:r w:rsidR="6FD6E378" w:rsidRPr="00846769">
        <w:t xml:space="preserve">spp. and </w:t>
      </w:r>
      <w:proofErr w:type="spellStart"/>
      <w:r w:rsidR="6FD6E378" w:rsidRPr="00846769">
        <w:rPr>
          <w:i/>
          <w:iCs/>
        </w:rPr>
        <w:t>Hippopus</w:t>
      </w:r>
      <w:proofErr w:type="spellEnd"/>
      <w:r w:rsidR="6FD6E378" w:rsidRPr="00846769">
        <w:rPr>
          <w:i/>
          <w:iCs/>
        </w:rPr>
        <w:t xml:space="preserve"> </w:t>
      </w:r>
      <w:r w:rsidR="6FD6E378" w:rsidRPr="00846769">
        <w:t xml:space="preserve">spp. are also available to aquarium hobbyists, which can be shipped domestically outside of their native ranges. </w:t>
      </w:r>
      <w:r w:rsidR="0027499C">
        <w:t>The</w:t>
      </w:r>
      <w:r w:rsidR="6FD6E378" w:rsidRPr="00846769">
        <w:t xml:space="preserve"> importation of live rock with viable invertebrates</w:t>
      </w:r>
      <w:r w:rsidRPr="00846769">
        <w:t xml:space="preserve"> </w:t>
      </w:r>
      <w:r w:rsidR="6FD6E378" w:rsidRPr="00846769">
        <w:t xml:space="preserve">and import of viable bivalves </w:t>
      </w:r>
      <w:r w:rsidR="4AE5B67A" w:rsidRPr="00846769">
        <w:t xml:space="preserve">is banned </w:t>
      </w:r>
      <w:r w:rsidR="6FD6E378" w:rsidRPr="00846769">
        <w:t xml:space="preserve">(see </w:t>
      </w:r>
      <w:hyperlink r:id="rId103">
        <w:r w:rsidR="0C48CF87" w:rsidRPr="00846769">
          <w:rPr>
            <w:rStyle w:val="Hyperlink"/>
          </w:rPr>
          <w:t>Australian Biosecurity Import Conditions</w:t>
        </w:r>
      </w:hyperlink>
      <w:r w:rsidR="0C48CF87" w:rsidRPr="00846769">
        <w:t xml:space="preserve"> </w:t>
      </w:r>
      <w:r w:rsidR="1A7D3CC8" w:rsidRPr="00846769">
        <w:t>-</w:t>
      </w:r>
      <w:r w:rsidR="002365A5" w:rsidRPr="00846769">
        <w:t xml:space="preserve"> </w:t>
      </w:r>
      <w:r w:rsidR="6FD6E378" w:rsidRPr="00846769">
        <w:t>BICON).</w:t>
      </w:r>
    </w:p>
    <w:p w14:paraId="37498B51" w14:textId="7DDBB848" w:rsidR="009F1E23" w:rsidRPr="00846769" w:rsidRDefault="009F1E23" w:rsidP="009F1E23">
      <w:pPr>
        <w:pStyle w:val="ListBullet"/>
        <w:numPr>
          <w:ilvl w:val="0"/>
          <w:numId w:val="0"/>
        </w:numPr>
      </w:pPr>
      <w:bookmarkStart w:id="330" w:name="_Hlk187311611"/>
      <w:bookmarkEnd w:id="329"/>
      <w:r>
        <w:t xml:space="preserve">Further information on managing aquaculture stock and equipment and associated policies and guidelines are detailed in </w:t>
      </w:r>
      <w:hyperlink w:anchor="_Management_of_aquaculture" w:history="1">
        <w:r w:rsidRPr="001E12D3">
          <w:rPr>
            <w:rStyle w:val="Hyperlink"/>
          </w:rPr>
          <w:t>Section 3.3</w:t>
        </w:r>
        <w:r>
          <w:rPr>
            <w:rStyle w:val="Hyperlink"/>
          </w:rPr>
          <w:t>.3</w:t>
        </w:r>
        <w:r w:rsidRPr="001E12D3">
          <w:rPr>
            <w:rStyle w:val="Hyperlink"/>
          </w:rPr>
          <w:t>.</w:t>
        </w:r>
      </w:hyperlink>
    </w:p>
    <w:bookmarkEnd w:id="330"/>
    <w:p w14:paraId="19E02B54" w14:textId="77777777" w:rsidR="009F1E23" w:rsidRPr="00846769" w:rsidRDefault="009F1E23"/>
    <w:p w14:paraId="628DF56A" w14:textId="77777777" w:rsidR="006939E1" w:rsidRPr="00846769" w:rsidRDefault="00B5740F" w:rsidP="00BF317B">
      <w:pPr>
        <w:pStyle w:val="Heading3"/>
        <w:numPr>
          <w:ilvl w:val="1"/>
          <w:numId w:val="4"/>
        </w:numPr>
      </w:pPr>
      <w:bookmarkStart w:id="331" w:name="_Toc87599099"/>
      <w:bookmarkStart w:id="332" w:name="_Toc191998659"/>
      <w:r w:rsidRPr="00846769">
        <w:lastRenderedPageBreak/>
        <w:t>Natural dispersal</w:t>
      </w:r>
      <w:bookmarkEnd w:id="331"/>
      <w:bookmarkEnd w:id="332"/>
    </w:p>
    <w:p w14:paraId="0602C246" w14:textId="2878108F" w:rsidR="00C73241" w:rsidRPr="00846769" w:rsidRDefault="00C73241" w:rsidP="00BF317B">
      <w:pPr>
        <w:rPr>
          <w:rFonts w:ascii="Calibri" w:hAnsi="Calibri" w:cs="Calibri"/>
          <w:color w:val="000000" w:themeColor="text1"/>
        </w:rPr>
      </w:pPr>
      <w:bookmarkStart w:id="333" w:name="_Hlk170690749"/>
      <w:r w:rsidRPr="00C73241">
        <w:rPr>
          <w:rFonts w:ascii="Calibri" w:hAnsi="Calibri" w:cs="Calibri"/>
          <w:color w:val="000000" w:themeColor="text1"/>
        </w:rPr>
        <w:t xml:space="preserve">Natural dispersal is a mechanism for the range expansion of a species through the movement of </w:t>
      </w:r>
      <w:r>
        <w:rPr>
          <w:rFonts w:ascii="Calibri" w:hAnsi="Calibri" w:cs="Calibri"/>
          <w:color w:val="000000" w:themeColor="text1"/>
        </w:rPr>
        <w:t>gametes, larvae</w:t>
      </w:r>
      <w:r w:rsidR="00384999">
        <w:rPr>
          <w:rFonts w:ascii="Calibri" w:hAnsi="Calibri" w:cs="Calibri"/>
          <w:color w:val="000000" w:themeColor="text1"/>
        </w:rPr>
        <w:t>,</w:t>
      </w:r>
      <w:r>
        <w:rPr>
          <w:rFonts w:ascii="Calibri" w:hAnsi="Calibri" w:cs="Calibri"/>
          <w:color w:val="000000" w:themeColor="text1"/>
        </w:rPr>
        <w:t xml:space="preserve"> or adults</w:t>
      </w:r>
      <w:r w:rsidRPr="00C73241">
        <w:rPr>
          <w:rFonts w:ascii="Calibri" w:hAnsi="Calibri" w:cs="Calibri"/>
          <w:color w:val="000000" w:themeColor="text1"/>
        </w:rPr>
        <w:t xml:space="preserve"> to a new location via natural mechanisms in the environment, such as wind or ocean currents. Characteristics that enable </w:t>
      </w:r>
      <w:r w:rsidR="00384999">
        <w:rPr>
          <w:rFonts w:ascii="Calibri" w:hAnsi="Calibri" w:cs="Calibri"/>
          <w:color w:val="000000" w:themeColor="text1"/>
        </w:rPr>
        <w:t>invasive marine bivalves</w:t>
      </w:r>
      <w:r w:rsidRPr="00C73241">
        <w:rPr>
          <w:rFonts w:ascii="Calibri" w:hAnsi="Calibri" w:cs="Calibri"/>
          <w:color w:val="000000" w:themeColor="text1"/>
        </w:rPr>
        <w:t xml:space="preserve"> to be spread via this pathway include having a planktonic dispersal phase </w:t>
      </w:r>
      <w:r>
        <w:rPr>
          <w:rFonts w:ascii="Calibri" w:hAnsi="Calibri" w:cs="Calibri"/>
          <w:color w:val="000000" w:themeColor="text1"/>
        </w:rPr>
        <w:t xml:space="preserve">or </w:t>
      </w:r>
      <w:r w:rsidRPr="00C73241">
        <w:rPr>
          <w:rFonts w:ascii="Calibri" w:hAnsi="Calibri" w:cs="Calibri"/>
          <w:color w:val="000000" w:themeColor="text1"/>
        </w:rPr>
        <w:t>ability to foul floating objects.</w:t>
      </w:r>
    </w:p>
    <w:bookmarkEnd w:id="333"/>
    <w:p w14:paraId="7B0CCDAE" w14:textId="291338FF" w:rsidR="006939E1" w:rsidRPr="00846769" w:rsidRDefault="00B5740F" w:rsidP="00BF317B">
      <w:pPr>
        <w:rPr>
          <w:rFonts w:cstheme="minorHAnsi"/>
        </w:rPr>
      </w:pPr>
      <w:r w:rsidRPr="00846769">
        <w:rPr>
          <w:rFonts w:cstheme="minorHAnsi"/>
        </w:rPr>
        <w:t xml:space="preserve">Although </w:t>
      </w:r>
      <w:r w:rsidR="001027D8" w:rsidRPr="00846769">
        <w:rPr>
          <w:rFonts w:cstheme="minorHAnsi"/>
        </w:rPr>
        <w:t xml:space="preserve">anthropogenic vectors are the most common mechanism for transporting bivalves over </w:t>
      </w:r>
      <w:r w:rsidR="00D50F8F" w:rsidRPr="00846769">
        <w:rPr>
          <w:rFonts w:cstheme="minorHAnsi"/>
        </w:rPr>
        <w:t>long distances</w:t>
      </w:r>
      <w:r w:rsidR="001027D8" w:rsidRPr="00846769">
        <w:rPr>
          <w:rFonts w:cstheme="minorHAnsi"/>
        </w:rPr>
        <w:t xml:space="preserve"> (</w:t>
      </w:r>
      <w:r w:rsidR="0004422F">
        <w:rPr>
          <w:rFonts w:cstheme="minorHAnsi"/>
        </w:rPr>
        <w:t>i.e.</w:t>
      </w:r>
      <w:r w:rsidR="001027D8" w:rsidRPr="00846769">
        <w:rPr>
          <w:rFonts w:cstheme="minorHAnsi"/>
        </w:rPr>
        <w:t xml:space="preserve"> international and national scales), o</w:t>
      </w:r>
      <w:r w:rsidRPr="00846769">
        <w:rPr>
          <w:rFonts w:cstheme="minorHAnsi"/>
        </w:rPr>
        <w:t>nce a bivalve has been introduced into an area</w:t>
      </w:r>
      <w:r w:rsidR="001027D8" w:rsidRPr="00846769">
        <w:rPr>
          <w:rFonts w:cstheme="minorHAnsi"/>
        </w:rPr>
        <w:t>,</w:t>
      </w:r>
      <w:r w:rsidRPr="00846769">
        <w:rPr>
          <w:rFonts w:cstheme="minorHAnsi"/>
        </w:rPr>
        <w:t xml:space="preserve"> it can disperse naturally</w:t>
      </w:r>
      <w:r w:rsidR="001027D8" w:rsidRPr="00846769">
        <w:rPr>
          <w:rFonts w:cstheme="minorHAnsi"/>
        </w:rPr>
        <w:t xml:space="preserve"> over shorter distances </w:t>
      </w:r>
      <w:r w:rsidR="004C7654" w:rsidRPr="00846769">
        <w:rPr>
          <w:rFonts w:cstheme="minorHAnsi"/>
        </w:rPr>
        <w:t>at local and regional scales</w:t>
      </w:r>
      <w:r w:rsidRPr="00846769">
        <w:rPr>
          <w:rFonts w:cstheme="minorHAnsi"/>
        </w:rPr>
        <w:t xml:space="preserve">. Control of natural dispersal from established populations is likely to be impractical or impossible, which is why response actions need to be taken before a population can establish. </w:t>
      </w:r>
    </w:p>
    <w:p w14:paraId="353B74D0" w14:textId="140F8C6D" w:rsidR="006939E1" w:rsidRPr="006A1811" w:rsidRDefault="00B5740F" w:rsidP="00BF317B">
      <w:r w:rsidRPr="00846769">
        <w:rPr>
          <w:rFonts w:cstheme="minorHAnsi"/>
        </w:rPr>
        <w:t xml:space="preserve">Bivalves are </w:t>
      </w:r>
      <w:r w:rsidR="005734AE" w:rsidRPr="00846769">
        <w:rPr>
          <w:rFonts w:cstheme="minorHAnsi"/>
        </w:rPr>
        <w:t xml:space="preserve">primarily </w:t>
      </w:r>
      <w:r w:rsidRPr="00846769">
        <w:rPr>
          <w:rFonts w:cstheme="minorHAnsi"/>
        </w:rPr>
        <w:t xml:space="preserve">broadcast spawners with a single female bivalve </w:t>
      </w:r>
      <w:r w:rsidR="00C4184D" w:rsidRPr="00846769">
        <w:rPr>
          <w:rFonts w:cstheme="minorHAnsi"/>
        </w:rPr>
        <w:t>capable of releasing</w:t>
      </w:r>
      <w:r w:rsidRPr="00846769">
        <w:rPr>
          <w:rFonts w:cstheme="minorHAnsi"/>
        </w:rPr>
        <w:t xml:space="preserve"> tens of thousands of eggs into the </w:t>
      </w:r>
      <w:r w:rsidRPr="006A1811">
        <w:rPr>
          <w:rFonts w:cstheme="minorHAnsi"/>
        </w:rPr>
        <w:t>environment</w:t>
      </w:r>
      <w:r w:rsidR="00C4184D" w:rsidRPr="006A1811">
        <w:rPr>
          <w:rFonts w:cstheme="minorHAnsi"/>
        </w:rPr>
        <w:t xml:space="preserve"> during one spawning event</w:t>
      </w:r>
      <w:r w:rsidRPr="006A1811">
        <w:rPr>
          <w:rFonts w:cstheme="minorHAnsi"/>
        </w:rPr>
        <w:t xml:space="preserve">. Planktonic larvae are capable of being dispersed widely via currents (Dias et al. 2018). Several bivalves have continually spread from a focal point after their introduction. The spread of </w:t>
      </w:r>
      <w:r w:rsidRPr="006A1811">
        <w:rPr>
          <w:rFonts w:cstheme="minorHAnsi"/>
          <w:i/>
          <w:iCs/>
        </w:rPr>
        <w:t>P</w:t>
      </w:r>
      <w:r w:rsidR="00E43D2A" w:rsidRPr="006A1811">
        <w:rPr>
          <w:rFonts w:cstheme="minorHAnsi"/>
          <w:i/>
          <w:iCs/>
        </w:rPr>
        <w:t>.</w:t>
      </w:r>
      <w:r w:rsidRPr="006A1811">
        <w:rPr>
          <w:rFonts w:cstheme="minorHAnsi"/>
          <w:i/>
          <w:iCs/>
        </w:rPr>
        <w:t xml:space="preserve"> amurensis </w:t>
      </w:r>
      <w:r w:rsidRPr="006A1811">
        <w:rPr>
          <w:rFonts w:cstheme="minorHAnsi"/>
        </w:rPr>
        <w:t xml:space="preserve">throughout San Francisco Bay is thought to be from natural dispersal via juvenile clams drifting with the tide. </w:t>
      </w:r>
      <w:r w:rsidR="008C248A" w:rsidRPr="006A1811">
        <w:rPr>
          <w:rFonts w:cstheme="minorHAnsi"/>
        </w:rPr>
        <w:t xml:space="preserve">A common </w:t>
      </w:r>
      <w:r w:rsidR="00A074E9" w:rsidRPr="006A1811">
        <w:rPr>
          <w:rFonts w:cstheme="minorHAnsi"/>
        </w:rPr>
        <w:t>characteristic of</w:t>
      </w:r>
      <w:r w:rsidRPr="006A1811">
        <w:t xml:space="preserve"> </w:t>
      </w:r>
      <w:r w:rsidRPr="006A1811">
        <w:rPr>
          <w:i/>
          <w:iCs/>
        </w:rPr>
        <w:t>M</w:t>
      </w:r>
      <w:r w:rsidR="00E43D2A" w:rsidRPr="006A1811">
        <w:rPr>
          <w:i/>
          <w:iCs/>
        </w:rPr>
        <w:t xml:space="preserve">. </w:t>
      </w:r>
      <w:r w:rsidRPr="006A1811">
        <w:rPr>
          <w:i/>
          <w:iCs/>
        </w:rPr>
        <w:t xml:space="preserve">gigas </w:t>
      </w:r>
      <w:r w:rsidRPr="006A1811">
        <w:t xml:space="preserve">introductions is that </w:t>
      </w:r>
      <w:r w:rsidR="00A074E9" w:rsidRPr="006A1811">
        <w:t>this species</w:t>
      </w:r>
      <w:r w:rsidRPr="006A1811">
        <w:t xml:space="preserve"> can go from a relatively confined aquaculture population to becoming a major biomass component of wild systems</w:t>
      </w:r>
      <w:r w:rsidR="004C7654" w:rsidRPr="006A1811">
        <w:t xml:space="preserve"> via natural dispersal</w:t>
      </w:r>
      <w:r w:rsidRPr="006A1811">
        <w:t>.</w:t>
      </w:r>
    </w:p>
    <w:p w14:paraId="71B2B0AF" w14:textId="77777777" w:rsidR="00E43D2A" w:rsidRPr="006A1811" w:rsidRDefault="00E43D2A" w:rsidP="00E43D2A">
      <w:pPr>
        <w:pStyle w:val="Heading3"/>
        <w:numPr>
          <w:ilvl w:val="1"/>
          <w:numId w:val="4"/>
        </w:numPr>
      </w:pPr>
      <w:bookmarkStart w:id="334" w:name="_Toc191998660"/>
      <w:r w:rsidRPr="006A1811">
        <w:t>Debris and flotsam</w:t>
      </w:r>
      <w:bookmarkEnd w:id="334"/>
    </w:p>
    <w:p w14:paraId="6F311265" w14:textId="0AF1500D" w:rsidR="00E43D2A" w:rsidRPr="00846769" w:rsidRDefault="00E43D2A" w:rsidP="00E43D2A">
      <w:r w:rsidRPr="006A1811">
        <w:rPr>
          <w:rFonts w:cstheme="minorHAnsi"/>
        </w:rPr>
        <w:t xml:space="preserve">Although introductions of bivalves via </w:t>
      </w:r>
      <w:r w:rsidR="00DE49A5">
        <w:rPr>
          <w:rFonts w:cstheme="minorHAnsi"/>
        </w:rPr>
        <w:t>debris and flotsam</w:t>
      </w:r>
      <w:r w:rsidRPr="006A1811">
        <w:rPr>
          <w:rFonts w:cstheme="minorHAnsi"/>
        </w:rPr>
        <w:t xml:space="preserve"> are rare, it can be an important pathway under certain circumstances, such as following a natural disaster or shipwrecks.</w:t>
      </w:r>
      <w:r w:rsidRPr="006A1811">
        <w:t xml:space="preserve"> The propensity of bivalve molluscs to foul structures means they can attach themselves to debris and flotsam and drift with ocean currents</w:t>
      </w:r>
      <w:r w:rsidR="00541487" w:rsidRPr="006A1811">
        <w:t xml:space="preserve"> (</w:t>
      </w:r>
      <w:proofErr w:type="spellStart"/>
      <w:r w:rsidR="00541487" w:rsidRPr="006A1811">
        <w:t>P</w:t>
      </w:r>
      <w:r w:rsidR="00541487" w:rsidRPr="006A1811">
        <w:rPr>
          <w:rFonts w:cstheme="minorHAnsi"/>
        </w:rPr>
        <w:t>ó</w:t>
      </w:r>
      <w:r w:rsidR="00541487" w:rsidRPr="006A1811">
        <w:t>voa</w:t>
      </w:r>
      <w:proofErr w:type="spellEnd"/>
      <w:r w:rsidR="00541487" w:rsidRPr="006A1811">
        <w:t xml:space="preserve"> et al. 2021)</w:t>
      </w:r>
      <w:r w:rsidRPr="006A1811">
        <w:t xml:space="preserve">. Debris can be carried over long distances. </w:t>
      </w:r>
      <w:r w:rsidRPr="006A1811">
        <w:rPr>
          <w:rFonts w:cstheme="minorHAnsi"/>
        </w:rPr>
        <w:t xml:space="preserve">Debris from the 2011 Japanese earthquake and tsunami drifted by ocean currents across the Pacific and washed-up on the west coast of North America, bringing with it a diverse range of introduced species, including the bivalve </w:t>
      </w:r>
      <w:r w:rsidRPr="006A1811">
        <w:rPr>
          <w:rFonts w:cstheme="minorHAnsi"/>
          <w:i/>
          <w:iCs/>
        </w:rPr>
        <w:t xml:space="preserve">Mytilus </w:t>
      </w:r>
      <w:proofErr w:type="spellStart"/>
      <w:r w:rsidRPr="006A1811">
        <w:rPr>
          <w:rFonts w:cstheme="minorHAnsi"/>
          <w:i/>
          <w:iCs/>
        </w:rPr>
        <w:t>galloprovincialis</w:t>
      </w:r>
      <w:proofErr w:type="spellEnd"/>
      <w:r w:rsidRPr="006A1811">
        <w:rPr>
          <w:rFonts w:cstheme="minorHAnsi"/>
        </w:rPr>
        <w:t xml:space="preserve"> (Therriault et al. 2018).</w:t>
      </w:r>
      <w:r w:rsidRPr="006A1811">
        <w:t xml:space="preserve"> In Australia, </w:t>
      </w:r>
      <w:r w:rsidRPr="006A1811">
        <w:rPr>
          <w:i/>
          <w:iCs/>
        </w:rPr>
        <w:t xml:space="preserve">P. viridis </w:t>
      </w:r>
      <w:r w:rsidRPr="006A1811">
        <w:t>was reported from a log washed up on the beach of Mornington Island in 2019.</w:t>
      </w:r>
      <w:r w:rsidR="00541487" w:rsidRPr="006A1811">
        <w:t xml:space="preserve"> Marine debris from southeast Asia has also been found washed ashore in northern Australia (Wilcox et al. 2015).</w:t>
      </w:r>
      <w:r w:rsidRPr="006A1811">
        <w:t xml:space="preserve"> Debris may also be the cause of important secondary </w:t>
      </w:r>
      <w:r w:rsidR="00541487" w:rsidRPr="006A1811">
        <w:t xml:space="preserve">spread </w:t>
      </w:r>
      <w:r w:rsidRPr="006A1811">
        <w:t>within a species’ introduced range</w:t>
      </w:r>
      <w:r w:rsidR="00541487" w:rsidRPr="006A1811">
        <w:t>, especially</w:t>
      </w:r>
      <w:r w:rsidR="00541487">
        <w:t xml:space="preserve"> after storms or flooding events on coastlines</w:t>
      </w:r>
      <w:r w:rsidRPr="00846769">
        <w:t xml:space="preserve">. </w:t>
      </w:r>
    </w:p>
    <w:p w14:paraId="28A5D733" w14:textId="77777777" w:rsidR="00E43D2A" w:rsidRPr="00846769" w:rsidRDefault="00E43D2A" w:rsidP="00BF317B">
      <w:pPr>
        <w:rPr>
          <w:rFonts w:cstheme="minorHAnsi"/>
        </w:rPr>
      </w:pPr>
    </w:p>
    <w:p w14:paraId="15C79602" w14:textId="77777777" w:rsidR="006939E1" w:rsidRPr="00846769" w:rsidRDefault="006939E1" w:rsidP="00BF317B"/>
    <w:p w14:paraId="24D2779C" w14:textId="77777777" w:rsidR="006939E1" w:rsidRPr="00846769" w:rsidRDefault="006939E1" w:rsidP="00BF317B">
      <w:pPr>
        <w:sectPr w:rsidR="006939E1" w:rsidRPr="00846769" w:rsidSect="001D1D74">
          <w:pgSz w:w="11906" w:h="16838"/>
          <w:pgMar w:top="1440" w:right="1440" w:bottom="1440" w:left="1440" w:header="708" w:footer="708" w:gutter="0"/>
          <w:cols w:space="708"/>
          <w:docGrid w:linePitch="360"/>
        </w:sectPr>
      </w:pPr>
    </w:p>
    <w:p w14:paraId="0626B95A" w14:textId="3A9A767D" w:rsidR="006939E1" w:rsidRPr="00846769" w:rsidRDefault="00F8733B" w:rsidP="00A04E26">
      <w:pPr>
        <w:pStyle w:val="Heading2"/>
        <w:ind w:left="709" w:hanging="709"/>
      </w:pPr>
      <w:bookmarkStart w:id="335" w:name="_Hemigrapsus_takanoi"/>
      <w:bookmarkStart w:id="336" w:name="_Principles_for_containment,"/>
      <w:bookmarkStart w:id="337" w:name="_Preventing_and_monitoring"/>
      <w:bookmarkStart w:id="338" w:name="_Toc43120307"/>
      <w:bookmarkStart w:id="339" w:name="_Toc87599101"/>
      <w:bookmarkStart w:id="340" w:name="_Toc191998661"/>
      <w:bookmarkEnd w:id="335"/>
      <w:bookmarkEnd w:id="336"/>
      <w:bookmarkEnd w:id="337"/>
      <w:r w:rsidRPr="00846769">
        <w:lastRenderedPageBreak/>
        <w:t>Preventing</w:t>
      </w:r>
      <w:r w:rsidR="00B5740F" w:rsidRPr="00846769">
        <w:t xml:space="preserve"> and monitoring spread</w:t>
      </w:r>
      <w:bookmarkEnd w:id="338"/>
      <w:bookmarkEnd w:id="339"/>
      <w:bookmarkEnd w:id="340"/>
    </w:p>
    <w:p w14:paraId="16A17416" w14:textId="0B8154FB" w:rsidR="006939E1" w:rsidRPr="00846769" w:rsidRDefault="00187592" w:rsidP="00BF317B">
      <w:pPr>
        <w:rPr>
          <w:rFonts w:cstheme="minorHAnsi"/>
        </w:rPr>
      </w:pPr>
      <w:r w:rsidRPr="00846769">
        <w:rPr>
          <w:rFonts w:cstheme="minorHAnsi"/>
        </w:rPr>
        <w:t xml:space="preserve">The likelihood </w:t>
      </w:r>
      <w:r w:rsidR="00B5740F" w:rsidRPr="00846769">
        <w:rPr>
          <w:rFonts w:cstheme="minorHAnsi"/>
        </w:rPr>
        <w:t>for eradication of a</w:t>
      </w:r>
      <w:r w:rsidRPr="00846769">
        <w:rPr>
          <w:rFonts w:cstheme="minorHAnsi"/>
        </w:rPr>
        <w:t>n</w:t>
      </w:r>
      <w:r w:rsidR="00B5740F" w:rsidRPr="00846769">
        <w:rPr>
          <w:rFonts w:cstheme="minorHAnsi"/>
        </w:rPr>
        <w:t xml:space="preserve"> incursion by</w:t>
      </w:r>
      <w:r w:rsidRPr="00846769">
        <w:rPr>
          <w:rFonts w:cstheme="minorHAnsi"/>
        </w:rPr>
        <w:t xml:space="preserve"> </w:t>
      </w:r>
      <w:r w:rsidR="00541487">
        <w:rPr>
          <w:rFonts w:cstheme="minorHAnsi"/>
        </w:rPr>
        <w:t xml:space="preserve">an </w:t>
      </w:r>
      <w:r w:rsidRPr="00846769">
        <w:rPr>
          <w:rFonts w:cstheme="minorHAnsi"/>
        </w:rPr>
        <w:t>invasive</w:t>
      </w:r>
      <w:r w:rsidR="00B5740F" w:rsidRPr="00846769">
        <w:rPr>
          <w:rFonts w:cstheme="minorHAnsi"/>
        </w:rPr>
        <w:t xml:space="preserve"> marine bivalve</w:t>
      </w:r>
      <w:r w:rsidR="00541487">
        <w:rPr>
          <w:rFonts w:cstheme="minorHAnsi"/>
        </w:rPr>
        <w:t xml:space="preserve"> will</w:t>
      </w:r>
      <w:r w:rsidR="00B5740F" w:rsidRPr="00846769">
        <w:rPr>
          <w:rFonts w:cstheme="minorHAnsi"/>
        </w:rPr>
        <w:t xml:space="preserve"> </w:t>
      </w:r>
      <w:r w:rsidRPr="00846769">
        <w:rPr>
          <w:rFonts w:cstheme="minorHAnsi"/>
        </w:rPr>
        <w:t>increase</w:t>
      </w:r>
      <w:r w:rsidR="00541487">
        <w:rPr>
          <w:rFonts w:cstheme="minorHAnsi"/>
        </w:rPr>
        <w:t xml:space="preserve"> </w:t>
      </w:r>
      <w:r w:rsidRPr="00846769">
        <w:rPr>
          <w:rFonts w:cstheme="minorHAnsi"/>
        </w:rPr>
        <w:t>with</w:t>
      </w:r>
      <w:r w:rsidR="00B5740F" w:rsidRPr="00846769">
        <w:rPr>
          <w:rFonts w:cstheme="minorHAnsi"/>
        </w:rPr>
        <w:t xml:space="preserve"> early detection and rapid action. Eradication is most likely to be successful in shallow and/or partially or fully enclosed waterways where the incursion can be contained and</w:t>
      </w:r>
      <w:r w:rsidRPr="00846769">
        <w:rPr>
          <w:rFonts w:cstheme="minorHAnsi"/>
        </w:rPr>
        <w:t xml:space="preserve"> where</w:t>
      </w:r>
      <w:r w:rsidR="00B5740F" w:rsidRPr="00846769">
        <w:rPr>
          <w:rFonts w:cstheme="minorHAnsi"/>
        </w:rPr>
        <w:t xml:space="preserve"> natural dispersal is limited. In open coastal waters with moderate</w:t>
      </w:r>
      <w:r w:rsidRPr="00846769">
        <w:rPr>
          <w:rFonts w:cstheme="minorHAnsi"/>
        </w:rPr>
        <w:t>-</w:t>
      </w:r>
      <w:r w:rsidR="00B5740F" w:rsidRPr="00846769">
        <w:rPr>
          <w:rFonts w:cstheme="minorHAnsi"/>
        </w:rPr>
        <w:t>to</w:t>
      </w:r>
      <w:r w:rsidRPr="00846769">
        <w:rPr>
          <w:rFonts w:cstheme="minorHAnsi"/>
        </w:rPr>
        <w:t>-</w:t>
      </w:r>
      <w:r w:rsidR="00B5740F" w:rsidRPr="00846769">
        <w:rPr>
          <w:rFonts w:cstheme="minorHAnsi"/>
        </w:rPr>
        <w:t xml:space="preserve">high water exchange, emergency containment is likely to be </w:t>
      </w:r>
      <w:r w:rsidR="00DE49A5">
        <w:rPr>
          <w:rFonts w:cstheme="minorHAnsi"/>
        </w:rPr>
        <w:t>restricted</w:t>
      </w:r>
      <w:r w:rsidR="00DE49A5" w:rsidRPr="00846769">
        <w:rPr>
          <w:rFonts w:cstheme="minorHAnsi"/>
        </w:rPr>
        <w:t xml:space="preserve"> </w:t>
      </w:r>
      <w:r w:rsidR="00B5740F" w:rsidRPr="00846769">
        <w:rPr>
          <w:rFonts w:cstheme="minorHAnsi"/>
        </w:rPr>
        <w:t xml:space="preserve">to those bivalves with limited adult and larval dispersal. </w:t>
      </w:r>
      <w:r w:rsidRPr="00846769">
        <w:rPr>
          <w:rFonts w:cstheme="minorHAnsi"/>
        </w:rPr>
        <w:t xml:space="preserve">Management to prevent or minimise further spread or reduce populations may be more appropriate where surveys indicate that an incursion is widespread. </w:t>
      </w:r>
      <w:r w:rsidR="00B5740F" w:rsidRPr="00846769">
        <w:rPr>
          <w:rFonts w:cstheme="minorHAnsi"/>
        </w:rPr>
        <w:t>In all cases</w:t>
      </w:r>
      <w:r w:rsidRPr="00846769">
        <w:rPr>
          <w:rFonts w:cstheme="minorHAnsi"/>
        </w:rPr>
        <w:t>,</w:t>
      </w:r>
      <w:r w:rsidR="00B5740F" w:rsidRPr="00846769">
        <w:rPr>
          <w:rFonts w:cstheme="minorHAnsi"/>
        </w:rPr>
        <w:t xml:space="preserve"> intensive public consultation and education is essential to ensure support and/or compliance with response actions.</w:t>
      </w:r>
    </w:p>
    <w:p w14:paraId="4835F0C4" w14:textId="1CB255B5" w:rsidR="00187592" w:rsidRPr="00846769" w:rsidRDefault="00187592" w:rsidP="00187592">
      <w:r w:rsidRPr="00846769">
        <w:t xml:space="preserve">This section covers the basis of </w:t>
      </w:r>
      <w:r w:rsidR="00C11E9B" w:rsidRPr="00846769">
        <w:t>invasive marine bivalve</w:t>
      </w:r>
      <w:r w:rsidRPr="00846769">
        <w:t xml:space="preserve"> containment or eradication from the infested area and any potentially contaminated vectors by explanation of principles for preventing and monitoring spread, including:</w:t>
      </w:r>
    </w:p>
    <w:p w14:paraId="6659511C" w14:textId="5213D74F" w:rsidR="00187592" w:rsidRPr="00846769" w:rsidRDefault="00F528E3" w:rsidP="00187592">
      <w:pPr>
        <w:pStyle w:val="ListBullet"/>
      </w:pPr>
      <w:r w:rsidRPr="00846769">
        <w:t xml:space="preserve">vector </w:t>
      </w:r>
      <w:r w:rsidR="00187592" w:rsidRPr="00846769">
        <w:t>management to prevent spread</w:t>
      </w:r>
    </w:p>
    <w:p w14:paraId="0B897E2F" w14:textId="63CA9AB8" w:rsidR="00187592" w:rsidRPr="00846769" w:rsidRDefault="00187592" w:rsidP="00187592">
      <w:pPr>
        <w:pStyle w:val="ListBullet"/>
      </w:pPr>
      <w:r w:rsidRPr="00846769">
        <w:t>surveillance of high-risk vectors</w:t>
      </w:r>
    </w:p>
    <w:p w14:paraId="34BA90D7" w14:textId="106BF4F9" w:rsidR="00187592" w:rsidRPr="00846769" w:rsidRDefault="00187592" w:rsidP="00187592">
      <w:pPr>
        <w:pStyle w:val="ListBullet"/>
      </w:pPr>
      <w:r w:rsidRPr="00846769">
        <w:t>management of infected vectors and marine infrastructure</w:t>
      </w:r>
    </w:p>
    <w:p w14:paraId="2FAE2E60" w14:textId="2254FC45" w:rsidR="00187592" w:rsidRPr="00846769" w:rsidRDefault="00187592" w:rsidP="00BF317B">
      <w:pPr>
        <w:pStyle w:val="ListBullet"/>
      </w:pPr>
      <w:r w:rsidRPr="00846769">
        <w:t>tracing the incursion.</w:t>
      </w:r>
    </w:p>
    <w:p w14:paraId="4AEF20EC" w14:textId="61E99AB8" w:rsidR="006939E1" w:rsidRPr="00846769" w:rsidRDefault="00B5740F" w:rsidP="00BF317B">
      <w:pPr>
        <w:pStyle w:val="Heading3"/>
        <w:numPr>
          <w:ilvl w:val="1"/>
          <w:numId w:val="4"/>
        </w:numPr>
      </w:pPr>
      <w:bookmarkStart w:id="341" w:name="_Toc43120308"/>
      <w:bookmarkStart w:id="342" w:name="_Toc87599102"/>
      <w:bookmarkStart w:id="343" w:name="_Toc191998662"/>
      <w:r w:rsidRPr="00846769">
        <w:t>M</w:t>
      </w:r>
      <w:r w:rsidR="00187592" w:rsidRPr="00846769">
        <w:t>anagement</w:t>
      </w:r>
      <w:r w:rsidRPr="00846769">
        <w:t xml:space="preserve"> </w:t>
      </w:r>
      <w:r w:rsidR="00187592" w:rsidRPr="00846769">
        <w:t>to</w:t>
      </w:r>
      <w:r w:rsidRPr="00846769">
        <w:t xml:space="preserve"> prevent spread</w:t>
      </w:r>
      <w:bookmarkEnd w:id="341"/>
      <w:bookmarkEnd w:id="342"/>
      <w:bookmarkEnd w:id="343"/>
    </w:p>
    <w:p w14:paraId="35F56BB6" w14:textId="57DB7F88" w:rsidR="00187592" w:rsidRPr="00846769" w:rsidRDefault="00187592" w:rsidP="00187592">
      <w:pPr>
        <w:rPr>
          <w:rFonts w:cstheme="minorHAnsi"/>
        </w:rPr>
      </w:pPr>
      <w:r w:rsidRPr="00846769">
        <w:rPr>
          <w:rFonts w:cstheme="minorHAnsi"/>
        </w:rPr>
        <w:t>Preventing the spread of the invasive marine bivalve may include the following management practices, which are best implemented early in the response:</w:t>
      </w:r>
    </w:p>
    <w:p w14:paraId="2331E449" w14:textId="26368EC0" w:rsidR="00187592" w:rsidRPr="00846769" w:rsidRDefault="00C11E9B" w:rsidP="00187592">
      <w:pPr>
        <w:pStyle w:val="ListBullet"/>
      </w:pPr>
      <w:r w:rsidRPr="00846769">
        <w:t>p</w:t>
      </w:r>
      <w:r w:rsidR="00187592" w:rsidRPr="00846769">
        <w:t>ublic communication and engagement</w:t>
      </w:r>
    </w:p>
    <w:p w14:paraId="4C0F7CB7" w14:textId="55363B76" w:rsidR="00187592" w:rsidRPr="00846769" w:rsidRDefault="005734AE" w:rsidP="00187592">
      <w:pPr>
        <w:pStyle w:val="ListBullet"/>
      </w:pPr>
      <w:r w:rsidRPr="00846769">
        <w:t>quarantine</w:t>
      </w:r>
      <w:r w:rsidR="00187592" w:rsidRPr="00846769">
        <w:t xml:space="preserve"> and movement control</w:t>
      </w:r>
      <w:r w:rsidRPr="00846769">
        <w:t>s</w:t>
      </w:r>
    </w:p>
    <w:p w14:paraId="09305B2A" w14:textId="382BC9E7" w:rsidR="00187592" w:rsidRDefault="00187592" w:rsidP="00187592">
      <w:pPr>
        <w:pStyle w:val="ListBullet"/>
      </w:pPr>
      <w:r w:rsidRPr="00846769">
        <w:t>delimitation</w:t>
      </w:r>
    </w:p>
    <w:p w14:paraId="033E8236" w14:textId="6EBB9AF6" w:rsidR="00541487" w:rsidRDefault="00541487" w:rsidP="00541487">
      <w:pPr>
        <w:pStyle w:val="ListBullet"/>
      </w:pPr>
      <w:r>
        <w:t>containment where possible</w:t>
      </w:r>
    </w:p>
    <w:p w14:paraId="5BB454B6" w14:textId="09241D42" w:rsidR="00541487" w:rsidRPr="00846769" w:rsidRDefault="00541487" w:rsidP="00541487">
      <w:pPr>
        <w:pStyle w:val="ListBullet"/>
      </w:pPr>
      <w:r>
        <w:t>collection and disposal of small infestations before spawning.</w:t>
      </w:r>
    </w:p>
    <w:p w14:paraId="1F261634" w14:textId="77777777" w:rsidR="00187592" w:rsidRPr="00846769" w:rsidRDefault="00187592" w:rsidP="00187592">
      <w:pPr>
        <w:pStyle w:val="ListBullet"/>
        <w:numPr>
          <w:ilvl w:val="0"/>
          <w:numId w:val="0"/>
        </w:numPr>
        <w:ind w:left="425" w:hanging="425"/>
      </w:pPr>
      <w:r w:rsidRPr="00846769">
        <w:t>These management practices may also be applicable at any stage of the following response phases:</w:t>
      </w:r>
    </w:p>
    <w:p w14:paraId="132E885C" w14:textId="521B2A45" w:rsidR="00187592" w:rsidRPr="00846769" w:rsidRDefault="00187592" w:rsidP="00187592">
      <w:pPr>
        <w:pStyle w:val="ListBullet"/>
      </w:pPr>
      <w:r w:rsidRPr="00846769">
        <w:t>investigation phase and alert phase</w:t>
      </w:r>
    </w:p>
    <w:p w14:paraId="7B31DF20" w14:textId="54215BA2" w:rsidR="00187592" w:rsidRPr="00846769" w:rsidRDefault="00187592" w:rsidP="00187592">
      <w:pPr>
        <w:pStyle w:val="ListBullet"/>
      </w:pPr>
      <w:r w:rsidRPr="00846769">
        <w:t>operations phase</w:t>
      </w:r>
    </w:p>
    <w:p w14:paraId="4349C72F" w14:textId="02ED6D67" w:rsidR="00187592" w:rsidRPr="00846769" w:rsidRDefault="00187592" w:rsidP="00187592">
      <w:pPr>
        <w:pStyle w:val="ListBullet"/>
      </w:pPr>
      <w:r w:rsidRPr="00846769">
        <w:t>stand</w:t>
      </w:r>
      <w:r w:rsidR="00E95577">
        <w:t>-</w:t>
      </w:r>
      <w:r w:rsidRPr="00846769">
        <w:t>down phase.</w:t>
      </w:r>
    </w:p>
    <w:p w14:paraId="6E0549A1" w14:textId="1C1D52BF" w:rsidR="00187592" w:rsidRPr="00846769" w:rsidRDefault="00187592" w:rsidP="00187592">
      <w:pPr>
        <w:pStyle w:val="Heading4"/>
        <w:numPr>
          <w:ilvl w:val="2"/>
          <w:numId w:val="4"/>
        </w:numPr>
      </w:pPr>
      <w:r w:rsidRPr="00846769">
        <w:t>Public communication and engagement</w:t>
      </w:r>
    </w:p>
    <w:p w14:paraId="5BE68A7E" w14:textId="0C522A9F" w:rsidR="00187592" w:rsidRPr="00846769" w:rsidRDefault="00187592" w:rsidP="00187592">
      <w:r w:rsidRPr="00846769">
        <w:t>Sometimes referred to as public relations, this is the management and communication of public information and perceptions. Communication and engagement with all stakeholders, including Commonwealth, state</w:t>
      </w:r>
      <w:r w:rsidR="002620B0">
        <w:t>,</w:t>
      </w:r>
      <w:r w:rsidRPr="00846769">
        <w:t xml:space="preserve"> and territory government agencies, industry</w:t>
      </w:r>
      <w:r w:rsidR="00C11E9B" w:rsidRPr="00846769">
        <w:t>,</w:t>
      </w:r>
      <w:r w:rsidRPr="00846769">
        <w:t xml:space="preserve"> and community partners are critical to gain acceptance of management or eradication attempts, compliance with any regulations, and to encourage participation in surveillance activities and reporting.</w:t>
      </w:r>
    </w:p>
    <w:p w14:paraId="365BD7EB" w14:textId="698AAAA8" w:rsidR="00187592" w:rsidRPr="00846769" w:rsidRDefault="00187592" w:rsidP="00187592">
      <w:r w:rsidRPr="00846769">
        <w:lastRenderedPageBreak/>
        <w:t xml:space="preserve">Communication and engagement should occur early in any </w:t>
      </w:r>
      <w:r w:rsidR="00B87DCD" w:rsidRPr="00846769">
        <w:t xml:space="preserve">invasive marine bivalve </w:t>
      </w:r>
      <w:r w:rsidRPr="00846769">
        <w:t>response and should be maintained during recovery efforts and until the end of the stand</w:t>
      </w:r>
      <w:r w:rsidR="00E95577">
        <w:t>-</w:t>
      </w:r>
      <w:r w:rsidRPr="00846769">
        <w:t>down phase.</w:t>
      </w:r>
    </w:p>
    <w:p w14:paraId="7C772B88" w14:textId="07C1EF9D" w:rsidR="00187592" w:rsidRPr="00846769" w:rsidRDefault="00187592" w:rsidP="00187592">
      <w:r w:rsidRPr="00846769">
        <w:t xml:space="preserve">The affected jurisdiction may establish </w:t>
      </w:r>
      <w:r w:rsidR="00C11E9B" w:rsidRPr="00846769">
        <w:t>an</w:t>
      </w:r>
      <w:r w:rsidR="002669BF">
        <w:t xml:space="preserve"> Incident Management Team</w:t>
      </w:r>
      <w:r w:rsidR="00C11E9B" w:rsidRPr="00846769">
        <w:t xml:space="preserve"> </w:t>
      </w:r>
      <w:r w:rsidR="002669BF">
        <w:t>(</w:t>
      </w:r>
      <w:r w:rsidR="006A63DA" w:rsidRPr="00846769">
        <w:t>IMT</w:t>
      </w:r>
      <w:r w:rsidR="002669BF">
        <w:t>)</w:t>
      </w:r>
      <w:r w:rsidR="00C11E9B" w:rsidRPr="00846769">
        <w:t>,</w:t>
      </w:r>
      <w:r w:rsidRPr="00846769">
        <w:t xml:space="preserve"> in which a Public Information function will be activated. The Public Information function covers the overall strategic communication approach to the incident including specific activities</w:t>
      </w:r>
      <w:r w:rsidR="00784AC0" w:rsidRPr="00846769">
        <w:t>:</w:t>
      </w:r>
      <w:r w:rsidRPr="00846769">
        <w:t xml:space="preserve"> call centre operation, media, social media, website content, community and stakeholder engagement, as well as the development of collateral such as flyers, signage</w:t>
      </w:r>
      <w:r w:rsidR="00784AC0" w:rsidRPr="00846769">
        <w:t>,</w:t>
      </w:r>
      <w:r w:rsidRPr="00846769">
        <w:t xml:space="preserve"> and similar communication materials.</w:t>
      </w:r>
    </w:p>
    <w:p w14:paraId="02CE0675" w14:textId="6F4F38BB" w:rsidR="00187592" w:rsidRPr="00846769" w:rsidRDefault="00187592" w:rsidP="00187592">
      <w:r w:rsidRPr="00846769">
        <w:t xml:space="preserve">The Public Information function works with the </w:t>
      </w:r>
      <w:hyperlink r:id="rId104" w:anchor=":~:text=NBCEN%20produces%20public%20information%20in,the%20national%20biosecurity%20response%20arrangements." w:history="1">
        <w:r w:rsidRPr="00846769">
          <w:rPr>
            <w:rStyle w:val="Hyperlink"/>
          </w:rPr>
          <w:t>National Biosecurity Communication and Engagement Network</w:t>
        </w:r>
      </w:hyperlink>
      <w:r w:rsidRPr="00846769">
        <w:t xml:space="preserve"> (NBCEN) to develop nationally consistent messaging. Regardless of incident level, the NBCEN can be used to </w:t>
      </w:r>
      <w:r w:rsidRPr="00A841CD">
        <w:t>coordinate the public information response nationally (A</w:t>
      </w:r>
      <w:r w:rsidR="00C80491" w:rsidRPr="00A841CD">
        <w:t>nimal Health Australia</w:t>
      </w:r>
      <w:r w:rsidRPr="00A841CD">
        <w:t xml:space="preserve"> 2023) The NBCEN</w:t>
      </w:r>
      <w:r w:rsidRPr="00846769">
        <w:t xml:space="preserve"> consists of a communication representative from each jurisdiction including other relevant organisations which can provide technical expertise. A member from NBCEN (usually the Commonwealth representative) attends the </w:t>
      </w:r>
      <w:r w:rsidRPr="00846769">
        <w:rPr>
          <w:rFonts w:cstheme="minorHAnsi"/>
        </w:rPr>
        <w:t>Consultative Committee on Introduced Marine Pest Emergencies (</w:t>
      </w:r>
      <w:r w:rsidR="00541487" w:rsidRPr="00A04E26">
        <w:t>CCIMPE</w:t>
      </w:r>
      <w:r w:rsidRPr="00846769">
        <w:rPr>
          <w:rFonts w:cstheme="minorHAnsi"/>
        </w:rPr>
        <w:t xml:space="preserve">) </w:t>
      </w:r>
      <w:r w:rsidRPr="00846769">
        <w:t xml:space="preserve">meetings and develops national talking points in conjunction with the combat jurisdiction to facilitate the delivery of consistent messaging that can be agreed to and used by all jurisdictions. The NBCEN is guided by the </w:t>
      </w:r>
      <w:hyperlink r:id="rId105" w:history="1">
        <w:r w:rsidRPr="00846769">
          <w:rPr>
            <w:rStyle w:val="Hyperlink"/>
            <w:rFonts w:cstheme="minorHAnsi"/>
          </w:rPr>
          <w:t>Biosecurity Incident Public Information Manual (BIPIM)</w:t>
        </w:r>
        <w:r w:rsidRPr="00846769">
          <w:rPr>
            <w:rStyle w:val="Hyperlink"/>
          </w:rPr>
          <w:t>.</w:t>
        </w:r>
      </w:hyperlink>
      <w:r w:rsidRPr="00846769">
        <w:t xml:space="preserve"> More on the national arrangements, including NBCEN</w:t>
      </w:r>
      <w:r w:rsidR="00784AC0" w:rsidRPr="00846769">
        <w:t>,</w:t>
      </w:r>
      <w:r w:rsidRPr="00846769">
        <w:t xml:space="preserve"> can be found on the </w:t>
      </w:r>
      <w:hyperlink r:id="rId106" w:history="1">
        <w:r w:rsidRPr="00846769">
          <w:rPr>
            <w:rStyle w:val="Hyperlink"/>
            <w:rFonts w:cstheme="minorHAnsi"/>
          </w:rPr>
          <w:t>Outbreak website</w:t>
        </w:r>
      </w:hyperlink>
      <w:r w:rsidRPr="00846769">
        <w:t>.</w:t>
      </w:r>
    </w:p>
    <w:p w14:paraId="020165EC" w14:textId="6D069572" w:rsidR="00187592" w:rsidRPr="00846769" w:rsidRDefault="00187592" w:rsidP="00B87DCD">
      <w:r w:rsidRPr="00846769">
        <w:t>Public communication and engagement need to consider affected individuals and businesses and the economic and social (</w:t>
      </w:r>
      <w:r w:rsidR="0004422F">
        <w:t>e.g.</w:t>
      </w:r>
      <w:r w:rsidRPr="00846769">
        <w:t xml:space="preserve"> mental health) aspects of impacts of response activities. Relief and recovery support may need to be coordinated for emergency-affected individuals and communities. The </w:t>
      </w:r>
      <w:hyperlink r:id="rId107" w:history="1">
        <w:r w:rsidRPr="00846769">
          <w:rPr>
            <w:rStyle w:val="Hyperlink"/>
          </w:rPr>
          <w:t>BIMS: Marine pest version</w:t>
        </w:r>
      </w:hyperlink>
      <w:r w:rsidRPr="00846769">
        <w:t xml:space="preserve"> provides guidance on relief and recovery roles in a biosecurity response context.</w:t>
      </w:r>
    </w:p>
    <w:p w14:paraId="61F4EDCF" w14:textId="238309CE" w:rsidR="006939E1" w:rsidRPr="00846769" w:rsidRDefault="00B5740F" w:rsidP="00187592">
      <w:pPr>
        <w:pStyle w:val="Heading4"/>
        <w:numPr>
          <w:ilvl w:val="2"/>
          <w:numId w:val="23"/>
        </w:numPr>
      </w:pPr>
      <w:r w:rsidRPr="00846769">
        <w:t>Quarantine and movement controls</w:t>
      </w:r>
    </w:p>
    <w:p w14:paraId="47A06C8B" w14:textId="4D405538" w:rsidR="00B87DCD" w:rsidRPr="00846769" w:rsidRDefault="00B87DCD" w:rsidP="00B87DCD">
      <w:r w:rsidRPr="00846769">
        <w:t>Quarantine and movement controls can be implemented during the investigation phase, alert phase, and operations phase, and are best implemented early (where possible) and refined when investigative work has provided additional information. The</w:t>
      </w:r>
      <w:r w:rsidR="002669BF">
        <w:t xml:space="preserve">se measures </w:t>
      </w:r>
      <w:r w:rsidRPr="00846769">
        <w:t>may end up being permanently implemented to minimise risk of spread</w:t>
      </w:r>
      <w:r w:rsidR="005734AE" w:rsidRPr="00846769">
        <w:t xml:space="preserve"> or impacts</w:t>
      </w:r>
      <w:r w:rsidRPr="00846769">
        <w:t xml:space="preserve"> in a long-term management program.</w:t>
      </w:r>
      <w:bookmarkStart w:id="344" w:name="_Investigation_phase_1"/>
      <w:bookmarkEnd w:id="344"/>
    </w:p>
    <w:p w14:paraId="7070DAF9" w14:textId="6FBD7244" w:rsidR="00B87DCD" w:rsidRPr="00846769" w:rsidRDefault="00B87DCD" w:rsidP="00B87DCD">
      <w:r w:rsidRPr="00846769">
        <w:rPr>
          <w:rFonts w:cstheme="minorHAnsi"/>
        </w:rPr>
        <w:t xml:space="preserve">When a suspected invasive marine bivalve is detected in an area, but a marine pest emergency has not yet been confirmed, the combat jurisdiction (notifying party) should </w:t>
      </w:r>
      <w:r w:rsidRPr="00846769">
        <w:t xml:space="preserve">take steps to limit the spread of the suspected pest from the investigation site or area. Limiting spread can be assisted by initiating restrictions on movements of potential vectors or release of water where this may contain propagules. </w:t>
      </w:r>
      <w:r w:rsidR="004C4B96">
        <w:t>Researchers and response field staff have a vital role to play in management of spread, including visibly implementing rigorous biosecurity measures when moving around the area.</w:t>
      </w:r>
    </w:p>
    <w:p w14:paraId="78BFDACF" w14:textId="2196242F" w:rsidR="00B87DCD" w:rsidRPr="00846769" w:rsidRDefault="00B87DCD" w:rsidP="00B87DCD">
      <w:pPr>
        <w:pStyle w:val="Heading4"/>
        <w:numPr>
          <w:ilvl w:val="2"/>
          <w:numId w:val="23"/>
        </w:numPr>
      </w:pPr>
      <w:r w:rsidRPr="00846769">
        <w:t>Delimitation</w:t>
      </w:r>
    </w:p>
    <w:p w14:paraId="733A1D53" w14:textId="5E55B58A" w:rsidR="00B87DCD" w:rsidRPr="00846769" w:rsidRDefault="00B87DCD" w:rsidP="00B87DCD">
      <w:r w:rsidRPr="00846769">
        <w:rPr>
          <w:rFonts w:cstheme="minorHAnsi"/>
        </w:rPr>
        <w:t>A delimiting survey establishes the geographic extent of an area considered to be infested by</w:t>
      </w:r>
      <w:r w:rsidR="006F165C" w:rsidRPr="00846769">
        <w:rPr>
          <w:rFonts w:cstheme="minorHAnsi"/>
        </w:rPr>
        <w:t xml:space="preserve"> </w:t>
      </w:r>
      <w:r w:rsidRPr="00846769">
        <w:rPr>
          <w:rFonts w:cstheme="minorHAnsi"/>
        </w:rPr>
        <w:t xml:space="preserve">an invasive marine </w:t>
      </w:r>
      <w:r w:rsidR="004C4B96" w:rsidRPr="00846769">
        <w:rPr>
          <w:rFonts w:cstheme="minorHAnsi"/>
        </w:rPr>
        <w:t>bivalve</w:t>
      </w:r>
      <w:r w:rsidR="004C4B96">
        <w:rPr>
          <w:rFonts w:cstheme="minorHAnsi"/>
        </w:rPr>
        <w:t xml:space="preserve"> and will also identify areas where the bivalve is deemed to be absent</w:t>
      </w:r>
      <w:r w:rsidRPr="00846769">
        <w:rPr>
          <w:rFonts w:cstheme="minorHAnsi"/>
        </w:rPr>
        <w:t xml:space="preserve">. As part of the investigation phase, delimitation informs feasibility of eradication and areas to target for eradication or control and management. Delimitation may also occur throughout the later phases of the response to inform the next steps of a response or </w:t>
      </w:r>
      <w:r w:rsidR="00C11E9B" w:rsidRPr="00846769">
        <w:rPr>
          <w:rFonts w:cstheme="minorHAnsi"/>
        </w:rPr>
        <w:t xml:space="preserve">determining </w:t>
      </w:r>
      <w:r w:rsidRPr="00846769">
        <w:rPr>
          <w:rFonts w:cstheme="minorHAnsi"/>
        </w:rPr>
        <w:t>the</w:t>
      </w:r>
      <w:r w:rsidR="00C11E9B" w:rsidRPr="00846769">
        <w:rPr>
          <w:rFonts w:cstheme="minorHAnsi"/>
        </w:rPr>
        <w:t xml:space="preserve"> </w:t>
      </w:r>
      <w:r w:rsidR="004C4B96">
        <w:rPr>
          <w:rFonts w:cstheme="minorHAnsi"/>
        </w:rPr>
        <w:t xml:space="preserve">status of a marine pest </w:t>
      </w:r>
      <w:r w:rsidR="004C4B96">
        <w:rPr>
          <w:rFonts w:cstheme="minorHAnsi"/>
        </w:rPr>
        <w:lastRenderedPageBreak/>
        <w:t>(present or absent).</w:t>
      </w:r>
      <w:r w:rsidR="00784AC0" w:rsidRPr="00846769">
        <w:rPr>
          <w:rFonts w:cstheme="minorHAnsi"/>
        </w:rPr>
        <w:t xml:space="preserve"> In some cases, delimitation may take over one year to capture the seasonal appearance of some </w:t>
      </w:r>
      <w:r w:rsidR="00C11E9B" w:rsidRPr="00846769">
        <w:rPr>
          <w:rFonts w:cstheme="minorHAnsi"/>
        </w:rPr>
        <w:t xml:space="preserve">invasive marine bivalves. </w:t>
      </w:r>
      <w:r w:rsidR="00784AC0" w:rsidRPr="00846769">
        <w:rPr>
          <w:rFonts w:cstheme="minorHAnsi"/>
        </w:rPr>
        <w:t xml:space="preserve"> </w:t>
      </w:r>
    </w:p>
    <w:p w14:paraId="6D43BD7F" w14:textId="557B516D" w:rsidR="00B87DCD" w:rsidRPr="00846769" w:rsidRDefault="00B87DCD" w:rsidP="00B87DCD">
      <w:pPr>
        <w:rPr>
          <w:rFonts w:cstheme="minorHAnsi"/>
        </w:rPr>
      </w:pPr>
      <w:r w:rsidRPr="00846769">
        <w:rPr>
          <w:rFonts w:cstheme="minorHAnsi"/>
        </w:rPr>
        <w:t>For more information on delimiting an incursion</w:t>
      </w:r>
      <w:r w:rsidR="005734AE" w:rsidRPr="00846769">
        <w:rPr>
          <w:rFonts w:cstheme="minorHAnsi"/>
        </w:rPr>
        <w:t>,</w:t>
      </w:r>
      <w:r w:rsidRPr="00846769">
        <w:rPr>
          <w:rFonts w:cstheme="minorHAnsi"/>
        </w:rPr>
        <w:t xml:space="preserve"> see </w:t>
      </w:r>
      <w:hyperlink w:anchor="_Delimitation_during_an" w:history="1">
        <w:r w:rsidR="005734AE" w:rsidRPr="00846769">
          <w:rPr>
            <w:rStyle w:val="Hyperlink"/>
          </w:rPr>
          <w:t>Section 4.1.</w:t>
        </w:r>
      </w:hyperlink>
    </w:p>
    <w:p w14:paraId="1AA3DDD1" w14:textId="77777777" w:rsidR="006A63DA" w:rsidRPr="00846769" w:rsidRDefault="006A63DA" w:rsidP="006A63DA">
      <w:pPr>
        <w:pStyle w:val="Heading4"/>
        <w:numPr>
          <w:ilvl w:val="2"/>
          <w:numId w:val="4"/>
        </w:numPr>
      </w:pPr>
      <w:bookmarkStart w:id="345" w:name="_Toc43120309"/>
      <w:bookmarkStart w:id="346" w:name="_Toc87599103"/>
      <w:r w:rsidRPr="00846769">
        <w:t>Tracing an incursion</w:t>
      </w:r>
    </w:p>
    <w:bookmarkEnd w:id="345"/>
    <w:bookmarkEnd w:id="346"/>
    <w:p w14:paraId="36E11633" w14:textId="28DA13B2" w:rsidR="00C25A55" w:rsidRPr="00846769" w:rsidRDefault="00C25A55" w:rsidP="00C25A55">
      <w:pPr>
        <w:rPr>
          <w:rFonts w:cstheme="minorHAnsi"/>
        </w:rPr>
      </w:pPr>
      <w:r w:rsidRPr="00846769">
        <w:rPr>
          <w:rFonts w:cstheme="minorHAnsi"/>
        </w:rPr>
        <w:t xml:space="preserve">Tracing is used to discover the </w:t>
      </w:r>
      <w:r w:rsidR="00EC2081" w:rsidRPr="00846769">
        <w:rPr>
          <w:rFonts w:cstheme="minorHAnsi"/>
        </w:rPr>
        <w:t>me</w:t>
      </w:r>
      <w:r w:rsidR="00EC2081">
        <w:rPr>
          <w:rFonts w:cstheme="minorHAnsi"/>
        </w:rPr>
        <w:t>chanism</w:t>
      </w:r>
      <w:r w:rsidR="00EC2081" w:rsidRPr="00846769">
        <w:rPr>
          <w:rFonts w:cstheme="minorHAnsi"/>
        </w:rPr>
        <w:t xml:space="preserve"> </w:t>
      </w:r>
      <w:r w:rsidRPr="00846769">
        <w:rPr>
          <w:rFonts w:cstheme="minorHAnsi"/>
        </w:rPr>
        <w:t xml:space="preserve">and pattern of the spread of </w:t>
      </w:r>
      <w:r w:rsidR="000B3E6B" w:rsidRPr="00846769">
        <w:rPr>
          <w:rFonts w:cstheme="minorHAnsi"/>
        </w:rPr>
        <w:t>an invasive marine bivalve</w:t>
      </w:r>
      <w:r w:rsidRPr="00846769">
        <w:rPr>
          <w:rFonts w:cstheme="minorHAnsi"/>
        </w:rPr>
        <w:t xml:space="preserve"> and may include trace-forward and trace-back. Tracing</w:t>
      </w:r>
      <w:r w:rsidR="002669BF">
        <w:rPr>
          <w:rFonts w:cstheme="minorHAnsi"/>
        </w:rPr>
        <w:t xml:space="preserve"> back</w:t>
      </w:r>
      <w:r w:rsidRPr="00846769">
        <w:rPr>
          <w:rFonts w:cstheme="minorHAnsi"/>
        </w:rPr>
        <w:t xml:space="preserve"> is used to discover where an incursion may have originated from and identify additional outbreak sites within Australia. The first location to have the detection of an invasive marine bivalve may not be the original site of introduction. Tracing is crucial to defining and modifying the dimensions of specified areas defined in </w:t>
      </w:r>
      <w:r w:rsidR="005734AE" w:rsidRPr="00846769">
        <w:rPr>
          <w:rFonts w:cstheme="minorHAnsi"/>
          <w:u w:color="0070C0"/>
        </w:rPr>
        <w:fldChar w:fldCharType="begin"/>
      </w:r>
      <w:r w:rsidR="005734AE" w:rsidRPr="00846769">
        <w:rPr>
          <w:rFonts w:cstheme="minorHAnsi"/>
        </w:rPr>
        <w:instrText xml:space="preserve"> REF _Ref171814280 \h </w:instrText>
      </w:r>
      <w:r w:rsidR="005734AE" w:rsidRPr="00846769">
        <w:rPr>
          <w:rFonts w:cstheme="minorHAnsi"/>
          <w:u w:color="0070C0"/>
        </w:rPr>
      </w:r>
      <w:r w:rsidR="005734AE" w:rsidRPr="00846769">
        <w:rPr>
          <w:rFonts w:cstheme="minorHAnsi"/>
          <w:u w:color="0070C0"/>
        </w:rPr>
        <w:fldChar w:fldCharType="separate"/>
      </w:r>
      <w:r w:rsidR="005734AE" w:rsidRPr="00846769">
        <w:t>Figure 4</w:t>
      </w:r>
      <w:r w:rsidR="005734AE" w:rsidRPr="00846769">
        <w:rPr>
          <w:rFonts w:cstheme="minorHAnsi"/>
          <w:u w:color="0070C0"/>
        </w:rPr>
        <w:fldChar w:fldCharType="end"/>
      </w:r>
      <w:r w:rsidR="005734AE" w:rsidRPr="00846769">
        <w:rPr>
          <w:rFonts w:cstheme="minorHAnsi"/>
        </w:rPr>
        <w:t>.</w:t>
      </w:r>
    </w:p>
    <w:p w14:paraId="741D69A2" w14:textId="14DF53B7" w:rsidR="00C25A55" w:rsidRPr="00846769" w:rsidRDefault="00C25A55" w:rsidP="00C25A55">
      <w:pPr>
        <w:rPr>
          <w:rFonts w:cstheme="minorHAnsi"/>
        </w:rPr>
      </w:pPr>
      <w:bookmarkStart w:id="347" w:name="_Hlk170731719"/>
      <w:r w:rsidRPr="00846769">
        <w:rPr>
          <w:rFonts w:cstheme="minorHAnsi"/>
        </w:rPr>
        <w:t xml:space="preserve">Tracing an incursion usually occurs at the same time as a delimiting survey (refer to </w:t>
      </w:r>
      <w:hyperlink w:anchor="_Delimitation_during_an" w:history="1">
        <w:r w:rsidRPr="00846769">
          <w:rPr>
            <w:rStyle w:val="Hyperlink"/>
            <w:rFonts w:cstheme="minorHAnsi"/>
          </w:rPr>
          <w:t xml:space="preserve">Section </w:t>
        </w:r>
        <w:r w:rsidR="00F94347" w:rsidRPr="00846769">
          <w:rPr>
            <w:rStyle w:val="Hyperlink"/>
            <w:rFonts w:cstheme="minorHAnsi"/>
          </w:rPr>
          <w:t>4.1</w:t>
        </w:r>
      </w:hyperlink>
      <w:r w:rsidRPr="00846769">
        <w:rPr>
          <w:rFonts w:cstheme="minorHAnsi"/>
        </w:rPr>
        <w:t xml:space="preserve">). Trace-back and trace-forward information is used to determine how and where a marine pest first entered a site and where it may </w:t>
      </w:r>
      <w:r w:rsidRPr="00DD01E4">
        <w:rPr>
          <w:rFonts w:cstheme="minorHAnsi"/>
        </w:rPr>
        <w:t xml:space="preserve">possibly </w:t>
      </w:r>
      <w:r w:rsidRPr="00A841CD">
        <w:rPr>
          <w:rFonts w:cstheme="minorHAnsi"/>
        </w:rPr>
        <w:t>spread to (</w:t>
      </w:r>
      <w:r w:rsidR="00EC2081" w:rsidRPr="00A841CD">
        <w:rPr>
          <w:rFonts w:cstheme="minorHAnsi"/>
        </w:rPr>
        <w:t>v</w:t>
      </w:r>
      <w:r w:rsidRPr="00A841CD">
        <w:rPr>
          <w:rFonts w:cstheme="minorHAnsi"/>
        </w:rPr>
        <w:t>an Havre &amp; Whittle 2015).</w:t>
      </w:r>
    </w:p>
    <w:p w14:paraId="276A5427" w14:textId="4C5B5818" w:rsidR="00C25A55" w:rsidRPr="00846769" w:rsidRDefault="00C25A55" w:rsidP="00C25A55">
      <w:pPr>
        <w:rPr>
          <w:rFonts w:cstheme="minorHAnsi"/>
        </w:rPr>
      </w:pPr>
      <w:bookmarkStart w:id="348" w:name="_Hlk170731751"/>
      <w:bookmarkEnd w:id="347"/>
      <w:r w:rsidRPr="00846769">
        <w:rPr>
          <w:rFonts w:cstheme="minorHAnsi"/>
        </w:rPr>
        <w:t>Tracing an incursion requires investigations into:</w:t>
      </w:r>
    </w:p>
    <w:p w14:paraId="352B3004" w14:textId="77777777" w:rsidR="00C25A55" w:rsidRPr="00846769" w:rsidRDefault="00C25A55" w:rsidP="00C25A55">
      <w:pPr>
        <w:pStyle w:val="ListBullet"/>
      </w:pPr>
      <w:r w:rsidRPr="00846769">
        <w:t>the length of time the species has been present</w:t>
      </w:r>
    </w:p>
    <w:p w14:paraId="54DDC6BE" w14:textId="77777777" w:rsidR="00C25A55" w:rsidRPr="00846769" w:rsidRDefault="00C25A55" w:rsidP="00C25A55">
      <w:pPr>
        <w:pStyle w:val="ListBullet"/>
      </w:pPr>
      <w:r w:rsidRPr="00846769">
        <w:t>the initial source and location of infestation</w:t>
      </w:r>
    </w:p>
    <w:p w14:paraId="5B1E5731" w14:textId="77777777" w:rsidR="00C25A55" w:rsidRPr="00846769" w:rsidRDefault="00C25A55" w:rsidP="00C25A55">
      <w:pPr>
        <w:pStyle w:val="ListBullet"/>
      </w:pPr>
      <w:r w:rsidRPr="00846769">
        <w:t>whether the pest is likely to have reproduced</w:t>
      </w:r>
    </w:p>
    <w:p w14:paraId="3603C96B" w14:textId="22452673" w:rsidR="00C25A55" w:rsidRPr="00846769" w:rsidRDefault="00C25A55" w:rsidP="00C25A55">
      <w:pPr>
        <w:pStyle w:val="ListBullet"/>
      </w:pPr>
      <w:r w:rsidRPr="00846769">
        <w:t>the possible movement of water, vessels, animals, submersible equipment, and other potential vectors for the pest to and from the site</w:t>
      </w:r>
    </w:p>
    <w:p w14:paraId="4A52E6D0" w14:textId="73E548BF" w:rsidR="00C25A55" w:rsidRPr="00846769" w:rsidRDefault="00C25A55" w:rsidP="00C25A55">
      <w:pPr>
        <w:pStyle w:val="ListBullet"/>
      </w:pPr>
      <w:r w:rsidRPr="00846769">
        <w:t>the existence and location of other potentially infested areas, particularly areas of suitable habitat.</w:t>
      </w:r>
    </w:p>
    <w:p w14:paraId="23BF00F7" w14:textId="7EC2A3DD" w:rsidR="00C25A55" w:rsidRPr="00846769" w:rsidRDefault="00C25A55" w:rsidP="00C25A55">
      <w:pPr>
        <w:pStyle w:val="Heading5"/>
        <w:numPr>
          <w:ilvl w:val="3"/>
          <w:numId w:val="4"/>
        </w:numPr>
      </w:pPr>
      <w:bookmarkStart w:id="349" w:name="_Trace-back"/>
      <w:bookmarkEnd w:id="348"/>
      <w:bookmarkEnd w:id="349"/>
      <w:r w:rsidRPr="00846769">
        <w:t>Trace-back</w:t>
      </w:r>
    </w:p>
    <w:p w14:paraId="07861C85" w14:textId="1290A6B5" w:rsidR="00C25A55" w:rsidRPr="00A841CD" w:rsidRDefault="00C25A55" w:rsidP="00C25A55">
      <w:r w:rsidRPr="00846769">
        <w:rPr>
          <w:rFonts w:cstheme="minorHAnsi"/>
        </w:rPr>
        <w:t xml:space="preserve">Trace-back information can be used to determine the possible extent of an incursion, particularly for a primary incursion where a single size or age class is present. Working backwards from the estimated age of the specimens and the known settlement biology and larval lifecycle of the species, </w:t>
      </w:r>
      <w:r w:rsidR="00EC2081">
        <w:rPr>
          <w:rFonts w:cstheme="minorHAnsi"/>
        </w:rPr>
        <w:t>hydrodynamic</w:t>
      </w:r>
      <w:r w:rsidRPr="00846769">
        <w:rPr>
          <w:rFonts w:cstheme="minorHAnsi"/>
        </w:rPr>
        <w:t xml:space="preserve"> modelling can estimate the source of a spawning event. This source information can be used to determine where else in the area the prevailing currents could have spread the larvae (Burgman et al. 2013; </w:t>
      </w:r>
      <w:r w:rsidRPr="005F7F32">
        <w:rPr>
          <w:rFonts w:cstheme="minorHAnsi"/>
        </w:rPr>
        <w:t>Hauser et al. 2016). The</w:t>
      </w:r>
      <w:r w:rsidRPr="00846769">
        <w:rPr>
          <w:rFonts w:cstheme="minorHAnsi"/>
        </w:rPr>
        <w:t xml:space="preserve"> </w:t>
      </w:r>
      <w:r w:rsidRPr="00A841CD">
        <w:rPr>
          <w:rFonts w:cstheme="minorHAnsi"/>
        </w:rPr>
        <w:t xml:space="preserve">use of DNA-based methods can help identify both source and connected populations and areas of provenance </w:t>
      </w:r>
      <w:r w:rsidRPr="00A841CD">
        <w:t>(Roux et al. 2020).</w:t>
      </w:r>
    </w:p>
    <w:p w14:paraId="20055477" w14:textId="7CD113F8" w:rsidR="00C25A55" w:rsidRPr="00A841CD" w:rsidRDefault="00C25A55" w:rsidP="00C25A55">
      <w:pPr>
        <w:rPr>
          <w:rFonts w:cstheme="minorHAnsi"/>
        </w:rPr>
      </w:pPr>
      <w:r w:rsidRPr="00A841CD">
        <w:rPr>
          <w:rFonts w:cstheme="minorHAnsi"/>
        </w:rPr>
        <w:t>Elements of demography of the invasive marine bivalve populations may be inferred from the size or age distribution within the population and reproductive state of bivalves collected during investigations. A population that contains individuals that vary widely in size, are reproductively active, or contain two or more distinct size cohorts, could be indicative of successful local reproduction and multiple recruitment events.</w:t>
      </w:r>
    </w:p>
    <w:p w14:paraId="73550914" w14:textId="7BC31E92" w:rsidR="00C25A55" w:rsidRPr="00A841CD" w:rsidRDefault="00C25A55" w:rsidP="00C25A55">
      <w:pPr>
        <w:pStyle w:val="Heading5"/>
        <w:numPr>
          <w:ilvl w:val="3"/>
          <w:numId w:val="4"/>
        </w:numPr>
      </w:pPr>
      <w:bookmarkStart w:id="350" w:name="_Trace-forward"/>
      <w:bookmarkEnd w:id="350"/>
      <w:r w:rsidRPr="00A841CD">
        <w:t>Trace-forward</w:t>
      </w:r>
    </w:p>
    <w:p w14:paraId="06940FE9" w14:textId="6127289F" w:rsidR="00C25A55" w:rsidRPr="00846769" w:rsidRDefault="00C25A55" w:rsidP="00C25A55">
      <w:pPr>
        <w:rPr>
          <w:rFonts w:cstheme="minorHAnsi"/>
        </w:rPr>
      </w:pPr>
      <w:r w:rsidRPr="00A841CD">
        <w:rPr>
          <w:rFonts w:cstheme="minorHAnsi"/>
        </w:rPr>
        <w:t>Trace-forward information can be used to identify locations outside the infested area that may have been exposed to the pests by vectors that have departed the known infested area (van Havre &amp; Whittle 2015).</w:t>
      </w:r>
      <w:r w:rsidRPr="00A841CD">
        <w:t xml:space="preserve"> </w:t>
      </w:r>
      <w:r w:rsidRPr="00A841CD">
        <w:rPr>
          <w:rFonts w:cstheme="minorHAnsi"/>
        </w:rPr>
        <w:t>Areas near detection</w:t>
      </w:r>
      <w:r w:rsidR="00DD1970" w:rsidRPr="00A841CD">
        <w:rPr>
          <w:rFonts w:cstheme="minorHAnsi"/>
        </w:rPr>
        <w:t xml:space="preserve"> sites</w:t>
      </w:r>
      <w:r w:rsidRPr="00A841CD">
        <w:rPr>
          <w:rFonts w:cstheme="minorHAnsi"/>
        </w:rPr>
        <w:t xml:space="preserve"> can be</w:t>
      </w:r>
      <w:r w:rsidRPr="00DD01E4">
        <w:rPr>
          <w:rFonts w:cstheme="minorHAnsi"/>
        </w:rPr>
        <w:t xml:space="preserve"> surveyed</w:t>
      </w:r>
      <w:r w:rsidRPr="00846769">
        <w:rPr>
          <w:rFonts w:cstheme="minorHAnsi"/>
        </w:rPr>
        <w:t xml:space="preserve"> in more detail on pest distribution or abundance if needed for assessment of eradication feasibility. Surveillance of areas of potential </w:t>
      </w:r>
      <w:r w:rsidRPr="00846769">
        <w:rPr>
          <w:rFonts w:cstheme="minorHAnsi"/>
        </w:rPr>
        <w:lastRenderedPageBreak/>
        <w:t>secondary spread can then be prioritised based on risk, informed by vectors, modelling</w:t>
      </w:r>
      <w:r w:rsidR="00DD1970" w:rsidRPr="00846769">
        <w:rPr>
          <w:rFonts w:cstheme="minorHAnsi"/>
        </w:rPr>
        <w:t xml:space="preserve">, </w:t>
      </w:r>
      <w:r w:rsidRPr="00846769">
        <w:rPr>
          <w:rFonts w:cstheme="minorHAnsi"/>
        </w:rPr>
        <w:t xml:space="preserve">and habitat </w:t>
      </w:r>
      <w:r w:rsidRPr="00A841CD">
        <w:rPr>
          <w:rFonts w:cstheme="minorHAnsi"/>
        </w:rPr>
        <w:t>suitability (Brown et al. 2013).</w:t>
      </w:r>
    </w:p>
    <w:p w14:paraId="58350F2D" w14:textId="751AE5AD" w:rsidR="00C25A55" w:rsidRPr="00846769" w:rsidRDefault="00DD1970" w:rsidP="00C25A55">
      <w:pPr>
        <w:rPr>
          <w:rFonts w:cstheme="minorHAnsi"/>
        </w:rPr>
      </w:pPr>
      <w:bookmarkStart w:id="351" w:name="_Hlk170732002"/>
      <w:r w:rsidRPr="00846769">
        <w:rPr>
          <w:rFonts w:cstheme="minorHAnsi"/>
        </w:rPr>
        <w:t>For more information on data sources for tracing vectors, see</w:t>
      </w:r>
      <w:r w:rsidR="00F94347" w:rsidRPr="00846769">
        <w:rPr>
          <w:rFonts w:cstheme="minorHAnsi"/>
        </w:rPr>
        <w:t xml:space="preserve"> </w:t>
      </w:r>
      <w:hyperlink w:anchor="_Data_sources_for" w:history="1">
        <w:r w:rsidR="00F94347" w:rsidRPr="00846769">
          <w:rPr>
            <w:rStyle w:val="Hyperlink"/>
            <w:rFonts w:cstheme="minorHAnsi"/>
          </w:rPr>
          <w:t>Section 4.1.1.2.</w:t>
        </w:r>
      </w:hyperlink>
    </w:p>
    <w:bookmarkEnd w:id="351"/>
    <w:p w14:paraId="02202C73" w14:textId="60AF822B" w:rsidR="00B87DCD" w:rsidRPr="00846769" w:rsidRDefault="00B87DCD" w:rsidP="00B87DCD">
      <w:pPr>
        <w:pStyle w:val="Heading4"/>
        <w:numPr>
          <w:ilvl w:val="2"/>
          <w:numId w:val="23"/>
        </w:numPr>
      </w:pPr>
      <w:r w:rsidRPr="00846769">
        <w:t>Investigation and alert phase</w:t>
      </w:r>
    </w:p>
    <w:p w14:paraId="0E78F120" w14:textId="77777777" w:rsidR="006939E1" w:rsidRPr="00846769" w:rsidRDefault="00B5740F" w:rsidP="00BF317B">
      <w:pPr>
        <w:pStyle w:val="Heading5"/>
        <w:numPr>
          <w:ilvl w:val="3"/>
          <w:numId w:val="4"/>
        </w:numPr>
      </w:pPr>
      <w:bookmarkStart w:id="352" w:name="_Investigation_phase"/>
      <w:bookmarkEnd w:id="352"/>
      <w:r w:rsidRPr="00846769">
        <w:t>Investigation phase</w:t>
      </w:r>
    </w:p>
    <w:p w14:paraId="2750EA44" w14:textId="5C0FDE1F" w:rsidR="00B87DCD" w:rsidRPr="00846769" w:rsidRDefault="00B87DCD" w:rsidP="17A389D9">
      <w:r w:rsidRPr="00846769">
        <w:t xml:space="preserve">The investigation phase includes confirmation of </w:t>
      </w:r>
      <w:r w:rsidR="00784AC0" w:rsidRPr="00846769">
        <w:t>the bivalve’s species identity</w:t>
      </w:r>
      <w:r w:rsidRPr="00846769">
        <w:t xml:space="preserve"> and should attempt to identify all potential vectors present at the </w:t>
      </w:r>
      <w:r w:rsidR="00784AC0" w:rsidRPr="00846769">
        <w:t xml:space="preserve">outbreak </w:t>
      </w:r>
      <w:r w:rsidRPr="00846769">
        <w:t xml:space="preserve">site. Species identification is confirmed using morphological features via taxonomic experts, molecular diagnostics such as qPCR and DNA sequencing, or </w:t>
      </w:r>
      <w:r w:rsidR="002669BF">
        <w:t>a combination of traditional taxonomy and molecular methods</w:t>
      </w:r>
      <w:r w:rsidR="002669BF" w:rsidRPr="00846769">
        <w:t xml:space="preserve"> </w:t>
      </w:r>
      <w:r w:rsidR="002669BF">
        <w:t>(</w:t>
      </w:r>
      <w:r w:rsidR="00F94347" w:rsidRPr="00846769">
        <w:t xml:space="preserve">see </w:t>
      </w:r>
      <w:hyperlink w:anchor="_Molecular_detection_and" w:history="1">
        <w:r w:rsidR="00F94347" w:rsidRPr="00846769">
          <w:rPr>
            <w:rStyle w:val="Hyperlink"/>
          </w:rPr>
          <w:t>Section 4.</w:t>
        </w:r>
        <w:r w:rsidR="00AA2729">
          <w:rPr>
            <w:rStyle w:val="Hyperlink"/>
          </w:rPr>
          <w:t>3.1</w:t>
        </w:r>
      </w:hyperlink>
      <w:r w:rsidR="00F94347" w:rsidRPr="00846769">
        <w:t>).</w:t>
      </w:r>
    </w:p>
    <w:p w14:paraId="39FB3BED" w14:textId="1B9F8252" w:rsidR="00B87DCD" w:rsidRPr="00846769" w:rsidRDefault="00B87DCD" w:rsidP="17A389D9">
      <w:r w:rsidRPr="00846769">
        <w:t xml:space="preserve">Concurrent management actions need to be undertaken while species identification is being confirmed. If necessary, where morphological identification will take some time, molecular identification may be sufficient to act on. </w:t>
      </w:r>
      <w:r w:rsidR="00254B91" w:rsidRPr="00846769">
        <w:t>The combat jurisdiction should notify t</w:t>
      </w:r>
      <w:r w:rsidRPr="00846769">
        <w:t>he CCIMPE Secretariat (</w:t>
      </w:r>
      <w:hyperlink r:id="rId108" w:history="1">
        <w:r w:rsidR="000B3E6B" w:rsidRPr="00846769">
          <w:rPr>
            <w:rStyle w:val="Hyperlink"/>
          </w:rPr>
          <w:t>CCIMPE@aff.gov.au</w:t>
        </w:r>
      </w:hyperlink>
      <w:r w:rsidRPr="00846769">
        <w:t xml:space="preserve">) </w:t>
      </w:r>
      <w:r w:rsidR="00254B91" w:rsidRPr="00846769">
        <w:t>of</w:t>
      </w:r>
      <w:r w:rsidRPr="00846769">
        <w:t xml:space="preserve"> the suspect incursion within 24 hours via email, which permits eligibility for NEBRA consideration. This is </w:t>
      </w:r>
      <w:r w:rsidR="000B3E6B" w:rsidRPr="00846769">
        <w:t>classed as an</w:t>
      </w:r>
      <w:r w:rsidRPr="00846769">
        <w:t xml:space="preserve"> informal notification.</w:t>
      </w:r>
      <w:r w:rsidR="00254B91" w:rsidRPr="00846769">
        <w:t xml:space="preserve"> The </w:t>
      </w:r>
      <w:hyperlink r:id="rId109" w:history="1">
        <w:r w:rsidR="00254B91" w:rsidRPr="00846769">
          <w:rPr>
            <w:rStyle w:val="Hyperlink"/>
          </w:rPr>
          <w:t>Australian Chief Environmental Biosecurity Officer (ACEBO)</w:t>
        </w:r>
      </w:hyperlink>
      <w:r w:rsidR="00254B91" w:rsidRPr="00846769">
        <w:t xml:space="preserve"> will also be informally notified of the suspect detection</w:t>
      </w:r>
      <w:r w:rsidR="00784AC0" w:rsidRPr="00846769">
        <w:t xml:space="preserve"> via the CCIMPE Secretariat</w:t>
      </w:r>
      <w:r w:rsidR="00254B91" w:rsidRPr="00846769">
        <w:t xml:space="preserve">. </w:t>
      </w:r>
    </w:p>
    <w:p w14:paraId="0C5AA3CC" w14:textId="7FBDCEB7" w:rsidR="00B87DCD" w:rsidRPr="00846769" w:rsidRDefault="00B87DCD" w:rsidP="17A389D9">
      <w:r w:rsidRPr="00846769">
        <w:t xml:space="preserve">Once confirmation is received on the species </w:t>
      </w:r>
      <w:r w:rsidR="00784AC0" w:rsidRPr="00846769">
        <w:t>identity</w:t>
      </w:r>
      <w:r w:rsidRPr="00846769">
        <w:t>, the combat jurisdiction should submit a Preliminary Information Data Sheet (PIDS) containing details on the initial detection to the CCIMPE Secretariat via email. Th</w:t>
      </w:r>
      <w:r w:rsidR="00784AC0" w:rsidRPr="00846769">
        <w:t>e submission of the PIDS is the</w:t>
      </w:r>
      <w:r w:rsidRPr="00846769">
        <w:t xml:space="preserve"> formal notification</w:t>
      </w:r>
      <w:r w:rsidR="00784AC0" w:rsidRPr="00846769">
        <w:t xml:space="preserve"> of the detection</w:t>
      </w:r>
      <w:r w:rsidRPr="00846769">
        <w:t xml:space="preserve">. </w:t>
      </w:r>
      <w:r w:rsidR="00254B91" w:rsidRPr="00846769">
        <w:t>The AECBO is also formally notified of the confirmed detection</w:t>
      </w:r>
      <w:r w:rsidR="00784AC0" w:rsidRPr="00846769">
        <w:t xml:space="preserve"> via the CCIMPE Secretariat</w:t>
      </w:r>
      <w:r w:rsidR="00254B91" w:rsidRPr="00846769">
        <w:t>, and the PIDS is circulated to CCIMPE</w:t>
      </w:r>
      <w:r w:rsidR="000B3E6B" w:rsidRPr="00846769">
        <w:t xml:space="preserve"> including any actions to be taken</w:t>
      </w:r>
      <w:r w:rsidR="00254B91" w:rsidRPr="00846769">
        <w:t xml:space="preserve">. </w:t>
      </w:r>
      <w:bookmarkStart w:id="353" w:name="_Hlk170732527"/>
      <w:r w:rsidR="00254B91" w:rsidRPr="00846769">
        <w:t xml:space="preserve">The combat jurisdiction may request CCIMPE to convene a meeting to provide technical advice on the incident. </w:t>
      </w:r>
      <w:bookmarkEnd w:id="353"/>
    </w:p>
    <w:p w14:paraId="6D073776" w14:textId="403615C4" w:rsidR="00FE22DF" w:rsidRPr="00846769" w:rsidRDefault="008D389B" w:rsidP="17A389D9">
      <w:r w:rsidRPr="00846769">
        <w:t>Potential</w:t>
      </w:r>
      <w:r w:rsidR="6FD6E378" w:rsidRPr="00846769">
        <w:t xml:space="preserve"> vectors for </w:t>
      </w:r>
      <w:r w:rsidR="00254B91" w:rsidRPr="00846769">
        <w:t xml:space="preserve">invasive </w:t>
      </w:r>
      <w:r w:rsidR="6FD6E378" w:rsidRPr="00846769">
        <w:t>marine bivalve</w:t>
      </w:r>
      <w:r w:rsidRPr="00846769">
        <w:t>s are discussed</w:t>
      </w:r>
      <w:r w:rsidR="00F94347" w:rsidRPr="00846769">
        <w:t xml:space="preserve"> in </w:t>
      </w:r>
      <w:hyperlink w:anchor="_Pathways_and_vectors" w:history="1">
        <w:r w:rsidR="00F94347" w:rsidRPr="00846769">
          <w:rPr>
            <w:rStyle w:val="Hyperlink"/>
          </w:rPr>
          <w:t>Section 2</w:t>
        </w:r>
      </w:hyperlink>
      <w:r w:rsidR="00F94347" w:rsidRPr="00846769">
        <w:t xml:space="preserve">. </w:t>
      </w:r>
      <w:r w:rsidR="1CB85419" w:rsidRPr="00846769">
        <w:t>As a first step</w:t>
      </w:r>
      <w:r w:rsidR="05B19490" w:rsidRPr="00846769">
        <w:t xml:space="preserve"> in the investigation phase</w:t>
      </w:r>
      <w:r w:rsidR="1CB85419" w:rsidRPr="00846769">
        <w:t xml:space="preserve">, </w:t>
      </w:r>
      <w:r w:rsidR="6FD6E378" w:rsidRPr="00846769">
        <w:t xml:space="preserve">relevant parties </w:t>
      </w:r>
      <w:r w:rsidR="4582EAC7" w:rsidRPr="00846769">
        <w:t xml:space="preserve">should be notified </w:t>
      </w:r>
      <w:r w:rsidR="6FD6E378" w:rsidRPr="00846769">
        <w:t xml:space="preserve">about the investigation into a marine pest </w:t>
      </w:r>
      <w:r w:rsidR="4EC57B58" w:rsidRPr="00846769">
        <w:t>incident</w:t>
      </w:r>
      <w:r w:rsidR="00F94347" w:rsidRPr="00846769">
        <w:t xml:space="preserve"> in the relevant area</w:t>
      </w:r>
      <w:r w:rsidR="00AA2729">
        <w:t xml:space="preserve"> (e.g. </w:t>
      </w:r>
      <w:r w:rsidR="6FD6E378" w:rsidRPr="00846769">
        <w:t>port authorities, marina operators, vessel owners</w:t>
      </w:r>
      <w:r w:rsidRPr="00846769">
        <w:t>,</w:t>
      </w:r>
      <w:r w:rsidR="6FD6E378" w:rsidRPr="00846769">
        <w:t xml:space="preserve"> and aquaculture facilities</w:t>
      </w:r>
      <w:r w:rsidR="00AA2729">
        <w:t>)</w:t>
      </w:r>
      <w:r w:rsidR="6FD6E378" w:rsidRPr="00846769">
        <w:t xml:space="preserve">. Cooperation from stakeholders is important </w:t>
      </w:r>
      <w:proofErr w:type="gramStart"/>
      <w:r w:rsidR="00FE22DF" w:rsidRPr="00846769">
        <w:t xml:space="preserve">in order </w:t>
      </w:r>
      <w:r w:rsidR="6FD6E378" w:rsidRPr="00846769">
        <w:t>to</w:t>
      </w:r>
      <w:proofErr w:type="gramEnd"/>
      <w:r w:rsidR="6FD6E378" w:rsidRPr="00846769">
        <w:t xml:space="preserve"> stop, restrict</w:t>
      </w:r>
      <w:r w:rsidR="00FE22DF" w:rsidRPr="00846769">
        <w:t>,</w:t>
      </w:r>
      <w:r w:rsidR="6FD6E378" w:rsidRPr="00846769">
        <w:t xml:space="preserve"> or inform the </w:t>
      </w:r>
      <w:r w:rsidR="00FE22DF" w:rsidRPr="00846769">
        <w:t>combat jurisdiction</w:t>
      </w:r>
      <w:r w:rsidR="6FD6E378" w:rsidRPr="00846769">
        <w:t xml:space="preserve"> of the risks associated with movement of vectors </w:t>
      </w:r>
      <w:r w:rsidR="00AA2729">
        <w:t xml:space="preserve">to and </w:t>
      </w:r>
      <w:r w:rsidR="6FD6E378" w:rsidRPr="00846769">
        <w:t xml:space="preserve">from the site. Compliance with movement controls may be enhanced by </w:t>
      </w:r>
      <w:r w:rsidR="00FE22DF" w:rsidRPr="00846769">
        <w:t xml:space="preserve">communication and </w:t>
      </w:r>
      <w:r w:rsidR="6FD6E378" w:rsidRPr="00846769">
        <w:t xml:space="preserve">distribution of appropriate public awareness materials about the pest. </w:t>
      </w:r>
    </w:p>
    <w:p w14:paraId="692E09E7" w14:textId="3F10DF44" w:rsidR="00AA2729" w:rsidRDefault="00FE22DF" w:rsidP="00AA2729">
      <w:pPr>
        <w:rPr>
          <w:rFonts w:cstheme="minorHAnsi"/>
        </w:rPr>
      </w:pPr>
      <w:r w:rsidRPr="00846769">
        <w:t xml:space="preserve">Care needs to be taken when transporting specimens to avoid any chance of accidental release. </w:t>
      </w:r>
      <w:r w:rsidR="6FD6E378" w:rsidRPr="00846769">
        <w:t>In this phase</w:t>
      </w:r>
      <w:r w:rsidR="00254B91" w:rsidRPr="00846769">
        <w:t>,</w:t>
      </w:r>
      <w:r w:rsidR="6FD6E378" w:rsidRPr="00846769">
        <w:t xml:space="preserve"> appropriate local authorities need to be contacted to obtain permission for relevant surveillance and sampling activities in specified areas (</w:t>
      </w:r>
      <w:r w:rsidR="0004422F">
        <w:t>e.g.</w:t>
      </w:r>
      <w:r w:rsidR="6FD6E378" w:rsidRPr="00846769">
        <w:t xml:space="preserve"> marine parks, conservation areas</w:t>
      </w:r>
      <w:r w:rsidR="008D389B" w:rsidRPr="00846769">
        <w:t>,</w:t>
      </w:r>
      <w:r w:rsidRPr="00846769">
        <w:t xml:space="preserve"> and nature reserves</w:t>
      </w:r>
      <w:r w:rsidR="6FD6E378" w:rsidRPr="00846769">
        <w:t>)</w:t>
      </w:r>
      <w:r w:rsidR="00F94347" w:rsidRPr="00846769">
        <w:t xml:space="preserve">, </w:t>
      </w:r>
      <w:r w:rsidRPr="00846769">
        <w:t>and for dealing with species listed in relevant legislation of any state or territory waters</w:t>
      </w:r>
      <w:r w:rsidR="00C80491">
        <w:t>.</w:t>
      </w:r>
      <w:r w:rsidRPr="00846769">
        <w:t xml:space="preserve"> </w:t>
      </w:r>
      <w:r w:rsidR="00AA2729">
        <w:rPr>
          <w:rFonts w:cstheme="minorHAnsi"/>
        </w:rPr>
        <w:t xml:space="preserve">Please refer to Appendix E in the </w:t>
      </w:r>
      <w:hyperlink r:id="rId110" w:anchor="marine-pest-response-manual" w:history="1">
        <w:r w:rsidR="00AA2729" w:rsidRPr="00AA2729">
          <w:rPr>
            <w:rStyle w:val="Hyperlink"/>
            <w:rFonts w:cstheme="minorHAnsi"/>
          </w:rPr>
          <w:t>Marine pest response manual</w:t>
        </w:r>
      </w:hyperlink>
      <w:r w:rsidR="00AA2729">
        <w:rPr>
          <w:rFonts w:cstheme="minorHAnsi"/>
        </w:rPr>
        <w:t xml:space="preserve"> for suitable specimen-handling techniques when sampling bivalves. That appendix </w:t>
      </w:r>
      <w:r w:rsidR="00AA2729" w:rsidRPr="006F6B0D">
        <w:rPr>
          <w:rFonts w:cstheme="minorHAnsi"/>
        </w:rPr>
        <w:t>has sample handling and preferred narcotising, fixation</w:t>
      </w:r>
      <w:r w:rsidR="00AA2729">
        <w:rPr>
          <w:rFonts w:cstheme="minorHAnsi"/>
        </w:rPr>
        <w:t>,</w:t>
      </w:r>
      <w:r w:rsidR="00AA2729" w:rsidRPr="006F6B0D">
        <w:rPr>
          <w:rFonts w:cstheme="minorHAnsi"/>
        </w:rPr>
        <w:t xml:space="preserve"> and preservation techniques for </w:t>
      </w:r>
      <w:r w:rsidR="00AA2729">
        <w:rPr>
          <w:rFonts w:cstheme="minorHAnsi"/>
        </w:rPr>
        <w:t>bivalves</w:t>
      </w:r>
      <w:r w:rsidR="00AA2729" w:rsidRPr="006F6B0D">
        <w:rPr>
          <w:rFonts w:cstheme="minorHAnsi"/>
        </w:rPr>
        <w:t>. It also gives advice on appropriate levels of experience required for sample processing.</w:t>
      </w:r>
    </w:p>
    <w:p w14:paraId="6BAFA11A" w14:textId="263EE25F" w:rsidR="008D389B" w:rsidRPr="00846769" w:rsidRDefault="008D389B" w:rsidP="17A389D9"/>
    <w:p w14:paraId="7E9579B6" w14:textId="77777777" w:rsidR="006939E1" w:rsidRPr="00846769" w:rsidRDefault="00B5740F" w:rsidP="00BF317B">
      <w:pPr>
        <w:pStyle w:val="Heading5"/>
        <w:numPr>
          <w:ilvl w:val="3"/>
          <w:numId w:val="4"/>
        </w:numPr>
      </w:pPr>
      <w:bookmarkStart w:id="354" w:name="_Alert_phase"/>
      <w:bookmarkEnd w:id="354"/>
      <w:r w:rsidRPr="00846769">
        <w:lastRenderedPageBreak/>
        <w:t>Alert phase</w:t>
      </w:r>
    </w:p>
    <w:p w14:paraId="696E1B12" w14:textId="77777777" w:rsidR="00E2703C" w:rsidRPr="00846769" w:rsidRDefault="6FD6E378" w:rsidP="17A389D9">
      <w:r w:rsidRPr="00846769">
        <w:t xml:space="preserve">If the initial investigation finds that an invasive </w:t>
      </w:r>
      <w:r w:rsidR="70BD0257" w:rsidRPr="00846769">
        <w:t xml:space="preserve">marine </w:t>
      </w:r>
      <w:r w:rsidRPr="00846769">
        <w:t xml:space="preserve">bivalve is likely to be present, the </w:t>
      </w:r>
      <w:r w:rsidR="00FE22DF" w:rsidRPr="00846769">
        <w:t xml:space="preserve">combat jurisdiction </w:t>
      </w:r>
      <w:r w:rsidRPr="00846769">
        <w:t xml:space="preserve">should </w:t>
      </w:r>
      <w:r w:rsidR="00FE22DF" w:rsidRPr="00846769">
        <w:t>communicate the findings to</w:t>
      </w:r>
      <w:r w:rsidRPr="00846769">
        <w:t xml:space="preserve"> CCIMPE for consideration of the appropriate course of action recommended by the affected jurisdiction to manage the risk of spread from affected sites. </w:t>
      </w:r>
    </w:p>
    <w:p w14:paraId="78C55D8C" w14:textId="0C846286" w:rsidR="00E2703C" w:rsidRPr="00846769" w:rsidRDefault="00E2703C" w:rsidP="00E2703C">
      <w:pPr>
        <w:pStyle w:val="ListBullet"/>
        <w:numPr>
          <w:ilvl w:val="0"/>
          <w:numId w:val="0"/>
        </w:numPr>
      </w:pPr>
      <w:r w:rsidRPr="00846769">
        <w:t xml:space="preserve">During the alert phase, an incident management team (IMT) may be appointed to confirm the identification of the suspected invasive marine bivalve and the likely extent of an incursion. The IMT is established by the </w:t>
      </w:r>
      <w:r w:rsidR="004E4E44" w:rsidRPr="00846769">
        <w:t>i</w:t>
      </w:r>
      <w:r w:rsidRPr="00846769">
        <w:t xml:space="preserve">ncident </w:t>
      </w:r>
      <w:r w:rsidR="004E4E44" w:rsidRPr="00846769">
        <w:t>m</w:t>
      </w:r>
      <w:r w:rsidRPr="00846769">
        <w:t xml:space="preserve">anager and works from its designated operations centre. Staff performing incident management functions should have the appropriate skills, knowledge, and experience to perform incident management functions, where possible. For further information on the functions of an IMT, see </w:t>
      </w:r>
      <w:hyperlink r:id="rId111" w:history="1">
        <w:r w:rsidRPr="00846769">
          <w:rPr>
            <w:rStyle w:val="Hyperlink"/>
            <w:lang w:eastAsia="ja-JP"/>
          </w:rPr>
          <w:t>BIMS: Marine pest version</w:t>
        </w:r>
      </w:hyperlink>
      <w:r w:rsidRPr="00846769">
        <w:rPr>
          <w:rStyle w:val="Hyperlink"/>
          <w:lang w:eastAsia="ja-JP"/>
        </w:rPr>
        <w:t>.</w:t>
      </w:r>
    </w:p>
    <w:p w14:paraId="476B26DD" w14:textId="57413B11" w:rsidR="006939E1" w:rsidRPr="00846769" w:rsidRDefault="6FD6E378" w:rsidP="17A389D9">
      <w:r w:rsidRPr="00846769">
        <w:t xml:space="preserve">The </w:t>
      </w:r>
      <w:r w:rsidR="00E2703C" w:rsidRPr="00846769">
        <w:t xml:space="preserve">IMT </w:t>
      </w:r>
      <w:r w:rsidRPr="00846769">
        <w:t>must ensure appropriate measures are implemented. These could include:</w:t>
      </w:r>
    </w:p>
    <w:p w14:paraId="74BECDEA" w14:textId="3E298152" w:rsidR="006939E1" w:rsidRPr="00846769" w:rsidRDefault="00B5740F" w:rsidP="00BF317B">
      <w:pPr>
        <w:pStyle w:val="ListBullet"/>
      </w:pPr>
      <w:r w:rsidRPr="00846769">
        <w:t xml:space="preserve">restrictions on movement of potential vectors, such as vessels, fishing gear, and aquaculture equipment into and out of suspect </w:t>
      </w:r>
      <w:r w:rsidR="00254B91" w:rsidRPr="00846769">
        <w:t>areas</w:t>
      </w:r>
    </w:p>
    <w:p w14:paraId="56EE7DD9" w14:textId="3A78DB0C" w:rsidR="006939E1" w:rsidRPr="00846769" w:rsidRDefault="002445C4" w:rsidP="00BF317B">
      <w:pPr>
        <w:pStyle w:val="ListBullet"/>
      </w:pPr>
      <w:r w:rsidRPr="00846769">
        <w:t xml:space="preserve">managing </w:t>
      </w:r>
      <w:r w:rsidR="00B5740F" w:rsidRPr="00846769">
        <w:t xml:space="preserve">the movement of people, such as property owners, </w:t>
      </w:r>
      <w:r w:rsidR="00254B91" w:rsidRPr="00846769">
        <w:t>business owner</w:t>
      </w:r>
      <w:r w:rsidR="00FE22DF" w:rsidRPr="00846769">
        <w:t>s</w:t>
      </w:r>
      <w:r w:rsidR="00254B91" w:rsidRPr="00846769">
        <w:t xml:space="preserve"> and employees, </w:t>
      </w:r>
      <w:r w:rsidR="00B5740F" w:rsidRPr="00846769">
        <w:t xml:space="preserve">tourists, scientists, into or out of suspect </w:t>
      </w:r>
      <w:r w:rsidR="00254B91" w:rsidRPr="00846769">
        <w:t>areas</w:t>
      </w:r>
      <w:r w:rsidR="00B5740F" w:rsidRPr="00846769">
        <w:t>, as appropriate. This may require police involvement</w:t>
      </w:r>
    </w:p>
    <w:p w14:paraId="473CE0BF" w14:textId="3D2A92A6" w:rsidR="00254B91" w:rsidRPr="00846769" w:rsidRDefault="00254B91" w:rsidP="00BF317B">
      <w:pPr>
        <w:pStyle w:val="ListBullet"/>
      </w:pPr>
      <w:r w:rsidRPr="00846769">
        <w:t>managing water movements where possible</w:t>
      </w:r>
    </w:p>
    <w:p w14:paraId="165EC0C8" w14:textId="50E6AD0A" w:rsidR="006939E1" w:rsidRPr="00846769" w:rsidRDefault="22CAE942">
      <w:pPr>
        <w:pStyle w:val="ListBullet"/>
      </w:pPr>
      <w:r w:rsidRPr="00846769">
        <w:t xml:space="preserve">promoting </w:t>
      </w:r>
      <w:r w:rsidR="00B5740F" w:rsidRPr="00846769">
        <w:t>awareness of methods to report sightings of the pest and access general information</w:t>
      </w:r>
    </w:p>
    <w:p w14:paraId="4C166F0E" w14:textId="41CD85BB" w:rsidR="006939E1" w:rsidRPr="00846769" w:rsidRDefault="00B5740F">
      <w:pPr>
        <w:pStyle w:val="ListBullet"/>
      </w:pPr>
      <w:r w:rsidRPr="00846769">
        <w:t>tracing potential vectors that have left the affected site</w:t>
      </w:r>
    </w:p>
    <w:p w14:paraId="13AF40FC" w14:textId="5C265A43" w:rsidR="006939E1" w:rsidRPr="00846769" w:rsidRDefault="00B5740F">
      <w:pPr>
        <w:pStyle w:val="ListBullet"/>
      </w:pPr>
      <w:r w:rsidRPr="00846769">
        <w:t>hydrodynamic modelling to determine potential spread of larval stages</w:t>
      </w:r>
      <w:r w:rsidR="00AA2729">
        <w:t xml:space="preserve"> or gametes of bivalves</w:t>
      </w:r>
    </w:p>
    <w:p w14:paraId="455CAF4E" w14:textId="04C2C2C4" w:rsidR="006939E1" w:rsidRPr="00846769" w:rsidRDefault="00B5740F" w:rsidP="00BF317B">
      <w:pPr>
        <w:pStyle w:val="ListBullet"/>
      </w:pPr>
      <w:r w:rsidRPr="00846769">
        <w:t xml:space="preserve">redirecting vessels that have already left the site to appropriate </w:t>
      </w:r>
      <w:r w:rsidR="00254B91" w:rsidRPr="00846769">
        <w:t>sites for inspection and/or decontamination if appropriate</w:t>
      </w:r>
    </w:p>
    <w:p w14:paraId="797F8090" w14:textId="49029828" w:rsidR="00254B91" w:rsidRPr="00846769" w:rsidRDefault="00254B91" w:rsidP="00BF317B">
      <w:pPr>
        <w:pStyle w:val="ListBullet"/>
      </w:pPr>
      <w:r w:rsidRPr="00846769">
        <w:t>informing other destination jurisdictions of vessel movements from</w:t>
      </w:r>
      <w:r w:rsidR="00FE22DF" w:rsidRPr="00846769">
        <w:t xml:space="preserve"> the</w:t>
      </w:r>
      <w:r w:rsidRPr="00846769">
        <w:t xml:space="preserve"> high-risk areas</w:t>
      </w:r>
    </w:p>
    <w:p w14:paraId="0FBE202D" w14:textId="039424E8" w:rsidR="006939E1" w:rsidRPr="00846769" w:rsidRDefault="00B5740F" w:rsidP="00BF317B">
      <w:pPr>
        <w:pStyle w:val="ListBullet"/>
      </w:pPr>
      <w:r w:rsidRPr="00846769">
        <w:t>notifying relevant experts when appropriate.</w:t>
      </w:r>
    </w:p>
    <w:p w14:paraId="5060BB4E" w14:textId="5726F78C" w:rsidR="00254B91" w:rsidRPr="00846769" w:rsidRDefault="00254B91" w:rsidP="00254B91">
      <w:pPr>
        <w:pStyle w:val="ListBullet"/>
        <w:numPr>
          <w:ilvl w:val="0"/>
          <w:numId w:val="0"/>
        </w:numPr>
      </w:pPr>
      <w:r w:rsidRPr="00846769">
        <w:t xml:space="preserve">If required during the alert phase and following CCIMPE endorsement, a National Biosecurity Incident Response Plan (NBIRP) may be submitted to the National Management Group (NMG) for consideration of national cost-sharing arrangements under the </w:t>
      </w:r>
      <w:hyperlink r:id="rId112" w:history="1">
        <w:r w:rsidRPr="00846769">
          <w:rPr>
            <w:rStyle w:val="Hyperlink"/>
            <w:lang w:eastAsia="ja-JP"/>
          </w:rPr>
          <w:t>National Environmental Biosecurity Response Agreement 2.0</w:t>
        </w:r>
      </w:hyperlink>
      <w:r w:rsidRPr="00846769">
        <w:rPr>
          <w:lang w:eastAsia="ja-JP"/>
        </w:rPr>
        <w:t xml:space="preserve"> </w:t>
      </w:r>
      <w:r w:rsidRPr="00846769">
        <w:t xml:space="preserve">(NEBRA) to help resource a national biosecurity incident response. In such instances, the NMG makes decisions that inform the national coordination of the response, while CCIMPE provides the technical advice on measures required. </w:t>
      </w:r>
    </w:p>
    <w:p w14:paraId="0609710D" w14:textId="344EA66E" w:rsidR="009D6616" w:rsidRPr="00846769" w:rsidRDefault="009D6616" w:rsidP="009D6616">
      <w:pPr>
        <w:pStyle w:val="Heading4"/>
        <w:numPr>
          <w:ilvl w:val="2"/>
          <w:numId w:val="23"/>
        </w:numPr>
      </w:pPr>
      <w:bookmarkStart w:id="355" w:name="_Operations_phase"/>
      <w:bookmarkEnd w:id="355"/>
      <w:r w:rsidRPr="00846769">
        <w:t>Operations phase</w:t>
      </w:r>
    </w:p>
    <w:p w14:paraId="6E3739D4" w14:textId="75EDCEE0" w:rsidR="006939E1" w:rsidRPr="00846769" w:rsidRDefault="00B5740F" w:rsidP="00BF317B">
      <w:pPr>
        <w:rPr>
          <w:rFonts w:cstheme="minorHAnsi"/>
        </w:rPr>
      </w:pPr>
      <w:r w:rsidRPr="00846769">
        <w:rPr>
          <w:rFonts w:cstheme="minorHAnsi"/>
        </w:rPr>
        <w:t xml:space="preserve">The operations phase will be guided by whether eradication of the </w:t>
      </w:r>
      <w:r w:rsidR="009D6616" w:rsidRPr="00846769">
        <w:rPr>
          <w:rFonts w:cstheme="minorHAnsi"/>
        </w:rPr>
        <w:t>invasive marine bivalve</w:t>
      </w:r>
      <w:r w:rsidRPr="00846769">
        <w:rPr>
          <w:rFonts w:cstheme="minorHAnsi"/>
        </w:rPr>
        <w:t xml:space="preserve"> is determined to be feasible or not feasible.</w:t>
      </w:r>
      <w:r w:rsidR="00FE22DF" w:rsidRPr="00846769">
        <w:rPr>
          <w:rFonts w:cstheme="minorHAnsi"/>
        </w:rPr>
        <w:t xml:space="preserve"> A</w:t>
      </w:r>
      <w:r w:rsidR="00AA2729">
        <w:rPr>
          <w:rFonts w:cstheme="minorHAnsi"/>
        </w:rPr>
        <w:t xml:space="preserve">n </w:t>
      </w:r>
      <w:r w:rsidR="00FE22DF" w:rsidRPr="00846769">
        <w:rPr>
          <w:rFonts w:cstheme="minorHAnsi"/>
        </w:rPr>
        <w:t xml:space="preserve">assessment is undertaken in accordance with Schedule 3 of the NEBRA </w:t>
      </w:r>
      <w:r w:rsidR="00D6163A" w:rsidRPr="00846769">
        <w:rPr>
          <w:rFonts w:cstheme="minorHAnsi"/>
        </w:rPr>
        <w:t xml:space="preserve">to determine the technical feasibility of eradicating the invasive bivalve during a proposed national response. The feasibility of undertaking a national response is based on conclusions reached by using scientific information to evaluate the proposed response. </w:t>
      </w:r>
    </w:p>
    <w:p w14:paraId="500F2B0B" w14:textId="78FFBE8F" w:rsidR="00D6163A" w:rsidRPr="00846769" w:rsidRDefault="00D6163A" w:rsidP="00BF317B">
      <w:pPr>
        <w:rPr>
          <w:rFonts w:cstheme="minorHAnsi"/>
        </w:rPr>
      </w:pPr>
      <w:r w:rsidRPr="00846769">
        <w:t>For more information</w:t>
      </w:r>
      <w:r w:rsidR="004E4E44" w:rsidRPr="00846769">
        <w:t>,</w:t>
      </w:r>
      <w:r w:rsidRPr="00846769">
        <w:t xml:space="preserve"> see the Schedule 3 of the</w:t>
      </w:r>
      <w:r w:rsidRPr="00846769">
        <w:rPr>
          <w:lang w:eastAsia="ja-JP"/>
        </w:rPr>
        <w:t xml:space="preserve"> </w:t>
      </w:r>
      <w:hyperlink r:id="rId113" w:history="1">
        <w:r w:rsidRPr="00846769">
          <w:rPr>
            <w:rStyle w:val="Hyperlink"/>
          </w:rPr>
          <w:t>NEBRA</w:t>
        </w:r>
      </w:hyperlink>
      <w:r w:rsidRPr="00846769">
        <w:t>.</w:t>
      </w:r>
    </w:p>
    <w:p w14:paraId="3BAFB120" w14:textId="4323BA2F" w:rsidR="009D6616" w:rsidRPr="00846769" w:rsidRDefault="009D6616" w:rsidP="009D6616">
      <w:pPr>
        <w:pStyle w:val="Heading5"/>
        <w:numPr>
          <w:ilvl w:val="3"/>
          <w:numId w:val="4"/>
        </w:numPr>
      </w:pPr>
      <w:r w:rsidRPr="00846769">
        <w:lastRenderedPageBreak/>
        <w:t>Eradication considered feasible</w:t>
      </w:r>
    </w:p>
    <w:p w14:paraId="6CB777F7" w14:textId="3F265CF0" w:rsidR="006939E1" w:rsidRPr="00846769" w:rsidRDefault="00B5740F" w:rsidP="00BF317B">
      <w:r w:rsidRPr="00846769">
        <w:t xml:space="preserve">If an investigation reveals a potentially eradicable incursion </w:t>
      </w:r>
      <w:r w:rsidR="00480428">
        <w:t>of</w:t>
      </w:r>
      <w:r w:rsidR="004E4E44" w:rsidRPr="00846769">
        <w:t xml:space="preserve"> an </w:t>
      </w:r>
      <w:r w:rsidRPr="00846769">
        <w:t xml:space="preserve">invasive marine bivalve, then movement restrictions implemented in the investigation phase should remain in </w:t>
      </w:r>
      <w:r w:rsidR="00D258A9" w:rsidRPr="00846769">
        <w:t>place</w:t>
      </w:r>
      <w:r w:rsidR="009D6616" w:rsidRPr="00846769">
        <w:t xml:space="preserve"> and amended as appropriate to reflect emerging </w:t>
      </w:r>
      <w:r w:rsidR="00D6163A" w:rsidRPr="00846769">
        <w:t>information</w:t>
      </w:r>
      <w:r w:rsidRPr="00846769">
        <w:t>.</w:t>
      </w:r>
    </w:p>
    <w:p w14:paraId="558239C3" w14:textId="1F0DA467" w:rsidR="006939E1" w:rsidRPr="00846769" w:rsidRDefault="00B5740F" w:rsidP="00BF317B">
      <w:pPr>
        <w:rPr>
          <w:rFonts w:cstheme="minorHAnsi"/>
        </w:rPr>
      </w:pPr>
      <w:r w:rsidRPr="00846769">
        <w:rPr>
          <w:rFonts w:cstheme="minorHAnsi"/>
        </w:rPr>
        <w:t xml:space="preserve">Quarantine restrictions require establishing specified areas </w:t>
      </w:r>
      <w:r w:rsidR="005734AE" w:rsidRPr="00846769">
        <w:rPr>
          <w:rFonts w:cstheme="minorHAnsi"/>
        </w:rPr>
        <w:t>(</w:t>
      </w:r>
      <w:r w:rsidR="00F94347" w:rsidRPr="00846769">
        <w:rPr>
          <w:rFonts w:cstheme="minorHAnsi"/>
        </w:rPr>
        <w:fldChar w:fldCharType="begin"/>
      </w:r>
      <w:r w:rsidR="00F94347" w:rsidRPr="00846769">
        <w:rPr>
          <w:rFonts w:cstheme="minorHAnsi"/>
        </w:rPr>
        <w:instrText xml:space="preserve"> REF _Ref171814280 \h </w:instrText>
      </w:r>
      <w:r w:rsidR="00F94347" w:rsidRPr="00846769">
        <w:rPr>
          <w:rFonts w:cstheme="minorHAnsi"/>
        </w:rPr>
      </w:r>
      <w:r w:rsidR="00F94347" w:rsidRPr="00846769">
        <w:rPr>
          <w:rFonts w:cstheme="minorHAnsi"/>
        </w:rPr>
        <w:fldChar w:fldCharType="separate"/>
      </w:r>
      <w:r w:rsidR="00F94347" w:rsidRPr="00846769">
        <w:t>Figure 4</w:t>
      </w:r>
      <w:r w:rsidR="00F94347" w:rsidRPr="00846769">
        <w:rPr>
          <w:rFonts w:cstheme="minorHAnsi"/>
        </w:rPr>
        <w:fldChar w:fldCharType="end"/>
      </w:r>
      <w:r w:rsidRPr="00846769">
        <w:rPr>
          <w:rFonts w:cstheme="minorHAnsi"/>
        </w:rPr>
        <w:t>):</w:t>
      </w:r>
    </w:p>
    <w:p w14:paraId="1B25FB4B" w14:textId="532F88DC" w:rsidR="00E33B6A" w:rsidRPr="00846769" w:rsidRDefault="00E33B6A" w:rsidP="00E33B6A">
      <w:pPr>
        <w:pStyle w:val="ListBullet"/>
      </w:pPr>
      <w:r w:rsidRPr="00846769">
        <w:t xml:space="preserve">Infested area – all or part of a waterway in which a marine pest </w:t>
      </w:r>
      <w:r w:rsidR="004E4E44" w:rsidRPr="00846769">
        <w:t>incident</w:t>
      </w:r>
      <w:r w:rsidRPr="00846769">
        <w:t xml:space="preserve"> is known or </w:t>
      </w:r>
      <w:r w:rsidR="00D6163A" w:rsidRPr="00846769">
        <w:t xml:space="preserve">deemed </w:t>
      </w:r>
      <w:r w:rsidRPr="00846769">
        <w:t>to exist, pending confirmation of pest identification</w:t>
      </w:r>
    </w:p>
    <w:p w14:paraId="35D2575A" w14:textId="3C757DC2" w:rsidR="00D258A9" w:rsidRPr="00846769" w:rsidRDefault="00D258A9" w:rsidP="00E33B6A">
      <w:pPr>
        <w:pStyle w:val="ListBullet"/>
      </w:pPr>
      <w:r w:rsidRPr="00846769">
        <w:t xml:space="preserve">Dangerous contact area(s) </w:t>
      </w:r>
      <w:r w:rsidR="00E33B6A" w:rsidRPr="00846769">
        <w:t>–</w:t>
      </w:r>
      <w:r w:rsidR="00D6163A" w:rsidRPr="00846769">
        <w:t xml:space="preserve"> </w:t>
      </w:r>
      <w:r w:rsidRPr="00846769">
        <w:t xml:space="preserve">an area close to an infested area in which a </w:t>
      </w:r>
      <w:r w:rsidR="00D6163A" w:rsidRPr="00846769">
        <w:t xml:space="preserve">marine </w:t>
      </w:r>
      <w:r w:rsidRPr="00846769">
        <w:t>pest has not been detected but due to its potential for infestation</w:t>
      </w:r>
      <w:r w:rsidR="00E33B6A" w:rsidRPr="00846769">
        <w:t>,</w:t>
      </w:r>
      <w:r w:rsidRPr="00846769">
        <w:t xml:space="preserve"> will be subject to the same movement restrictions as an infested area</w:t>
      </w:r>
    </w:p>
    <w:p w14:paraId="5B667BAC" w14:textId="77777777" w:rsidR="00015D0A" w:rsidRDefault="00015D0A" w:rsidP="00015D0A">
      <w:pPr>
        <w:pStyle w:val="ListBullet"/>
      </w:pPr>
      <w:r w:rsidRPr="00C4451F">
        <w:t xml:space="preserve">Suspect area </w:t>
      </w:r>
      <w:r w:rsidRPr="00846769">
        <w:t>–</w:t>
      </w:r>
      <w:r>
        <w:t xml:space="preserve"> an ‘at-risk’ </w:t>
      </w:r>
      <w:r w:rsidRPr="00846769">
        <w:t xml:space="preserve">area which </w:t>
      </w:r>
      <w:r>
        <w:t>may be</w:t>
      </w:r>
      <w:r w:rsidRPr="00C4451F">
        <w:t xml:space="preserve"> </w:t>
      </w:r>
      <w:r>
        <w:t xml:space="preserve">linked to the infested area or has the potential to harbour a marine pest and is </w:t>
      </w:r>
      <w:r w:rsidRPr="00C4451F">
        <w:t xml:space="preserve">subject to the same movement restrictions as an </w:t>
      </w:r>
      <w:r>
        <w:t>infested</w:t>
      </w:r>
      <w:r w:rsidRPr="00C4451F">
        <w:t xml:space="preserve"> area, pending further investigation</w:t>
      </w:r>
    </w:p>
    <w:p w14:paraId="7E7F8D24" w14:textId="20D0BA06" w:rsidR="004F44BF" w:rsidRDefault="003707E0" w:rsidP="004F44BF">
      <w:pPr>
        <w:pStyle w:val="ListBullet"/>
        <w:sectPr w:rsidR="004F44BF" w:rsidSect="004F44BF">
          <w:type w:val="continuous"/>
          <w:pgSz w:w="11906" w:h="16838"/>
          <w:pgMar w:top="1440" w:right="1440" w:bottom="1440" w:left="1440" w:header="709" w:footer="709" w:gutter="0"/>
          <w:cols w:space="708"/>
          <w:docGrid w:linePitch="360"/>
        </w:sectPr>
      </w:pPr>
      <w:r w:rsidRPr="00846769">
        <w:t>Restricted area – surrounds an infested area, dangerous contact area, and suspect area and is subject to intensive surveillance and movement controls o</w:t>
      </w:r>
      <w:r w:rsidR="004E4E44" w:rsidRPr="00846769">
        <w:t>f</w:t>
      </w:r>
      <w:r w:rsidRPr="00846769">
        <w:t xml:space="preserve"> potential vectors</w:t>
      </w:r>
      <w:r w:rsidRPr="00846769">
        <w:rPr>
          <w:rStyle w:val="FootnoteReference"/>
          <w:rFonts w:cstheme="minorHAnsi"/>
        </w:rPr>
        <w:footnoteReference w:id="4"/>
      </w:r>
    </w:p>
    <w:p w14:paraId="08D8363F" w14:textId="09794DE9" w:rsidR="006939E1" w:rsidRPr="00846769" w:rsidRDefault="00B5740F" w:rsidP="004F44BF">
      <w:pPr>
        <w:pStyle w:val="ListBullet"/>
      </w:pPr>
      <w:r w:rsidRPr="004F44BF">
        <w:t>Control</w:t>
      </w:r>
      <w:r w:rsidRPr="00846769">
        <w:t xml:space="preserve"> area</w:t>
      </w:r>
      <w:r w:rsidR="00E33B6A" w:rsidRPr="00846769">
        <w:t xml:space="preserve"> –</w:t>
      </w:r>
      <w:r w:rsidRPr="00846769">
        <w:t xml:space="preserve"> </w:t>
      </w:r>
      <w:r w:rsidR="00E33B6A" w:rsidRPr="00846769">
        <w:t>surrounds the</w:t>
      </w:r>
      <w:r w:rsidRPr="00846769">
        <w:t xml:space="preserve"> restricted area in which biosecurity conditions apply to the entry or exit of potential vectors or specific risk items.</w:t>
      </w:r>
    </w:p>
    <w:p w14:paraId="69A5B925" w14:textId="545CF8AE" w:rsidR="006939E1" w:rsidRPr="00846769" w:rsidRDefault="6FD6E378" w:rsidP="17A389D9">
      <w:r w:rsidRPr="00846769">
        <w:t xml:space="preserve">Similar terminology is applied to potentially infested vectors within each area. For example, a vessel within a dangerous contact area would be classified as a ‘dangerous contact vessel’ and a vessel within an infested area would be classified as an ‘infested vessel’. For more information on response area classifications, see the </w:t>
      </w:r>
      <w:hyperlink r:id="rId114" w:history="1">
        <w:r w:rsidRPr="00846769">
          <w:rPr>
            <w:rStyle w:val="Hyperlink"/>
          </w:rPr>
          <w:t>BIMS</w:t>
        </w:r>
        <w:r w:rsidR="00E33B6A" w:rsidRPr="00846769">
          <w:rPr>
            <w:rStyle w:val="Hyperlink"/>
          </w:rPr>
          <w:t>:</w:t>
        </w:r>
        <w:r w:rsidRPr="00846769">
          <w:rPr>
            <w:rStyle w:val="Hyperlink"/>
          </w:rPr>
          <w:t xml:space="preserve"> Marine Pest Version</w:t>
        </w:r>
      </w:hyperlink>
      <w:r w:rsidRPr="00846769">
        <w:t>.</w:t>
      </w:r>
    </w:p>
    <w:p w14:paraId="0D731A17" w14:textId="296DF0F8" w:rsidR="005734AE" w:rsidRPr="00846769" w:rsidRDefault="005734AE" w:rsidP="005734AE">
      <w:pPr>
        <w:pStyle w:val="Caption"/>
      </w:pPr>
      <w:bookmarkStart w:id="356" w:name="_Ref171814280"/>
      <w:bookmarkStart w:id="357" w:name="_Toc191999517"/>
      <w:r w:rsidRPr="00846769">
        <w:lastRenderedPageBreak/>
        <w:t xml:space="preserve">Figure </w:t>
      </w:r>
      <w:r w:rsidR="00C53006" w:rsidRPr="00846769">
        <w:fldChar w:fldCharType="begin"/>
      </w:r>
      <w:r w:rsidR="00C53006" w:rsidRPr="00846769">
        <w:instrText xml:space="preserve"> SEQ Figure \* ARABIC </w:instrText>
      </w:r>
      <w:r w:rsidR="00C53006" w:rsidRPr="00846769">
        <w:fldChar w:fldCharType="separate"/>
      </w:r>
      <w:r w:rsidR="00192097" w:rsidRPr="00846769">
        <w:t>4</w:t>
      </w:r>
      <w:r w:rsidR="00C53006" w:rsidRPr="00846769">
        <w:fldChar w:fldCharType="end"/>
      </w:r>
      <w:bookmarkEnd w:id="356"/>
      <w:r w:rsidRPr="00846769">
        <w:t xml:space="preserve"> Specified areas that may be designated during a marine pest emergency</w:t>
      </w:r>
      <w:bookmarkEnd w:id="357"/>
    </w:p>
    <w:p w14:paraId="5DFFFC5B" w14:textId="43F1C7F6" w:rsidR="005734AE" w:rsidRPr="00846769" w:rsidRDefault="005734AE" w:rsidP="17A389D9">
      <w:r w:rsidRPr="00846769">
        <w:rPr>
          <w:noProof/>
        </w:rPr>
        <w:drawing>
          <wp:inline distT="0" distB="0" distL="0" distR="0" wp14:anchorId="2D90FC4A" wp14:editId="4A164DEB">
            <wp:extent cx="5292488" cy="4566503"/>
            <wp:effectExtent l="0" t="0" r="3810" b="5715"/>
            <wp:docPr id="1763405337" name="Picture 3" descr="Diagram illustrating the specified areas that may be designated during a marine pest emergency using circles. The Infested area, dangerous area and suspect area circles are within a larger restricted area circle, these are contained within another larger control area circle, and outside of the control area circle is the free area. The infested area is shaded in oran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05337" name="Picture 3" descr="Diagram illustrating the specified areas that may be designated during a marine pest emergency using circles. The Infested area, dangerous area and suspect area circles are within a larger restricted area circle, these are contained within another larger control area circle, and outside of the control area circle is the free area. The infested area is shaded in orange. &#10;"/>
                    <pic:cNvPicPr/>
                  </pic:nvPicPr>
                  <pic:blipFill>
                    <a:blip r:embed="rId115" cstate="email">
                      <a:extLst>
                        <a:ext uri="{28A0092B-C50C-407E-A947-70E740481C1C}">
                          <a14:useLocalDpi xmlns:a14="http://schemas.microsoft.com/office/drawing/2010/main" val="0"/>
                        </a:ext>
                      </a:extLst>
                    </a:blip>
                    <a:stretch>
                      <a:fillRect/>
                    </a:stretch>
                  </pic:blipFill>
                  <pic:spPr>
                    <a:xfrm>
                      <a:off x="0" y="0"/>
                      <a:ext cx="5292488" cy="4566503"/>
                    </a:xfrm>
                    <a:prstGeom prst="rect">
                      <a:avLst/>
                    </a:prstGeom>
                  </pic:spPr>
                </pic:pic>
              </a:graphicData>
            </a:graphic>
          </wp:inline>
        </w:drawing>
      </w:r>
    </w:p>
    <w:p w14:paraId="203D91DB" w14:textId="34603B41" w:rsidR="00CC64C9" w:rsidRPr="00846769" w:rsidRDefault="00B5740F" w:rsidP="00CC64C9">
      <w:pPr>
        <w:pStyle w:val="FigureTableNoteSource"/>
      </w:pPr>
      <w:r w:rsidRPr="00846769">
        <w:t xml:space="preserve">Source: </w:t>
      </w:r>
      <w:r w:rsidR="0087205E" w:rsidRPr="00846769">
        <w:t xml:space="preserve">Adapted from </w:t>
      </w:r>
      <w:r w:rsidRPr="00846769">
        <w:t>BIMS</w:t>
      </w:r>
      <w:r w:rsidR="0087205E" w:rsidRPr="00846769">
        <w:t xml:space="preserve">: </w:t>
      </w:r>
      <w:r w:rsidRPr="00A841CD">
        <w:t xml:space="preserve">Marine </w:t>
      </w:r>
      <w:r w:rsidR="00F94347" w:rsidRPr="00A841CD">
        <w:t>p</w:t>
      </w:r>
      <w:r w:rsidRPr="00A841CD">
        <w:t xml:space="preserve">est </w:t>
      </w:r>
      <w:r w:rsidR="00F94347" w:rsidRPr="00A841CD">
        <w:t>v</w:t>
      </w:r>
      <w:r w:rsidRPr="00A841CD">
        <w:t xml:space="preserve">ersion </w:t>
      </w:r>
      <w:r w:rsidR="0087205E" w:rsidRPr="00A841CD">
        <w:t>(</w:t>
      </w:r>
      <w:r w:rsidRPr="00A841CD">
        <w:t>2020</w:t>
      </w:r>
      <w:r w:rsidR="0087205E" w:rsidRPr="00A841CD">
        <w:t>)</w:t>
      </w:r>
    </w:p>
    <w:p w14:paraId="14B3ED3E" w14:textId="7D75835D" w:rsidR="006939E1" w:rsidRPr="00846769" w:rsidRDefault="00B5740F" w:rsidP="00BF317B">
      <w:pPr>
        <w:rPr>
          <w:rFonts w:cstheme="minorHAnsi"/>
        </w:rPr>
      </w:pPr>
      <w:r w:rsidRPr="00846769">
        <w:rPr>
          <w:rFonts w:cstheme="minorHAnsi"/>
        </w:rPr>
        <w:t>The extent of each specified area should be determined by:</w:t>
      </w:r>
    </w:p>
    <w:p w14:paraId="55A1229D" w14:textId="0888667D" w:rsidR="006939E1" w:rsidRPr="00846769" w:rsidRDefault="00B5740F" w:rsidP="00BF317B">
      <w:pPr>
        <w:pStyle w:val="ListBullet"/>
      </w:pPr>
      <w:r w:rsidRPr="00846769">
        <w:t>an initial delimiting survey of the area (see</w:t>
      </w:r>
      <w:r w:rsidR="00F23F3E" w:rsidRPr="00846769">
        <w:t xml:space="preserve"> </w:t>
      </w:r>
      <w:hyperlink w:anchor="_Designing_a_delimiting" w:history="1">
        <w:r w:rsidR="00F23F3E" w:rsidRPr="00846769">
          <w:rPr>
            <w:rStyle w:val="Hyperlink"/>
          </w:rPr>
          <w:t xml:space="preserve">Section </w:t>
        </w:r>
        <w:r w:rsidR="00F94347" w:rsidRPr="00846769">
          <w:rPr>
            <w:rStyle w:val="Hyperlink"/>
          </w:rPr>
          <w:t>4.1.1</w:t>
        </w:r>
      </w:hyperlink>
      <w:r w:rsidR="00F23F3E" w:rsidRPr="00846769">
        <w:t xml:space="preserve"> for</w:t>
      </w:r>
      <w:r w:rsidRPr="00846769">
        <w:t xml:space="preserve"> </w:t>
      </w:r>
      <w:r w:rsidRPr="00846769">
        <w:rPr>
          <w:u w:color="0070C0"/>
        </w:rPr>
        <w:t>guidelines on designing a delimiting survey</w:t>
      </w:r>
      <w:r w:rsidRPr="00846769">
        <w:t>)</w:t>
      </w:r>
    </w:p>
    <w:p w14:paraId="21B9B8A1" w14:textId="5E872311" w:rsidR="006939E1" w:rsidRPr="00846769" w:rsidRDefault="6FD6E378">
      <w:pPr>
        <w:pStyle w:val="ListBullet"/>
      </w:pPr>
      <w:r w:rsidRPr="00846769">
        <w:t xml:space="preserve">an evaluation of the length of time the species has been present and whether it is likely to have reproduced. This could be calculated by the size and distribution of the </w:t>
      </w:r>
      <w:r w:rsidR="000F572D" w:rsidRPr="00846769">
        <w:t>bivalves</w:t>
      </w:r>
      <w:r w:rsidRPr="00846769">
        <w:t xml:space="preserve"> in the affected area, the number of cohorts apparent and, when possible, examination of the reproductive status </w:t>
      </w:r>
      <w:bookmarkStart w:id="358" w:name="_Hlk170735202"/>
      <w:r w:rsidRPr="00846769">
        <w:t>(</w:t>
      </w:r>
      <w:r w:rsidR="0004422F">
        <w:t>e.g.</w:t>
      </w:r>
      <w:r w:rsidRPr="00846769">
        <w:t xml:space="preserve"> </w:t>
      </w:r>
      <w:r w:rsidRPr="005F7F32">
        <w:t xml:space="preserve">evidence of </w:t>
      </w:r>
      <w:r w:rsidR="76B5919B" w:rsidRPr="005F7F32">
        <w:t xml:space="preserve">mature gonads – </w:t>
      </w:r>
      <w:r w:rsidR="76B5919B" w:rsidRPr="00A841CD">
        <w:t>see Mc</w:t>
      </w:r>
      <w:r w:rsidR="00F23F3E" w:rsidRPr="00A841CD">
        <w:t>D</w:t>
      </w:r>
      <w:r w:rsidR="76B5919B" w:rsidRPr="00A841CD">
        <w:t>onald et al. 2018</w:t>
      </w:r>
      <w:r w:rsidRPr="00A841CD">
        <w:t>)</w:t>
      </w:r>
      <w:bookmarkEnd w:id="358"/>
    </w:p>
    <w:p w14:paraId="42C01343" w14:textId="22A2BB25" w:rsidR="00B35611" w:rsidRPr="00846769" w:rsidRDefault="00B35611">
      <w:pPr>
        <w:pStyle w:val="ListBullet"/>
      </w:pPr>
      <w:r w:rsidRPr="00846769">
        <w:t>larval period</w:t>
      </w:r>
      <w:r w:rsidR="000F572D" w:rsidRPr="00846769">
        <w:t xml:space="preserve"> and dispersal capability</w:t>
      </w:r>
    </w:p>
    <w:p w14:paraId="507F3E07" w14:textId="04DF7E87" w:rsidR="006939E1" w:rsidRPr="00846769" w:rsidRDefault="00B5740F">
      <w:pPr>
        <w:pStyle w:val="ListBullet"/>
      </w:pPr>
      <w:r w:rsidRPr="00846769">
        <w:t xml:space="preserve">the strength and distribution of directional </w:t>
      </w:r>
      <w:r w:rsidR="00D258A9" w:rsidRPr="00846769">
        <w:t>or tidal currents</w:t>
      </w:r>
      <w:r w:rsidR="00B35611" w:rsidRPr="00846769">
        <w:t>, or other episodic weather events</w:t>
      </w:r>
    </w:p>
    <w:p w14:paraId="3C7B7BF8" w14:textId="77777777" w:rsidR="006939E1" w:rsidRPr="00846769" w:rsidRDefault="00B5740F" w:rsidP="00BF317B">
      <w:pPr>
        <w:pStyle w:val="ListBullet"/>
      </w:pPr>
      <w:r w:rsidRPr="00846769">
        <w:t>expert advice.</w:t>
      </w:r>
    </w:p>
    <w:p w14:paraId="684FA25F" w14:textId="2A9CC602" w:rsidR="006939E1" w:rsidRPr="00846769" w:rsidRDefault="00B5740F" w:rsidP="00BF317B">
      <w:pPr>
        <w:pStyle w:val="ListBullet"/>
        <w:numPr>
          <w:ilvl w:val="0"/>
          <w:numId w:val="0"/>
        </w:numPr>
      </w:pPr>
      <w:r w:rsidRPr="00846769">
        <w:t>It is important to recognise that in aquatic situations a simple radius around a detection is inadequate. Hydrodynamics</w:t>
      </w:r>
      <w:r w:rsidR="00B35611" w:rsidRPr="00846769">
        <w:t>, physic</w:t>
      </w:r>
      <w:r w:rsidR="00015D0A">
        <w:t xml:space="preserve">al or </w:t>
      </w:r>
      <w:r w:rsidR="00B35611" w:rsidRPr="00846769">
        <w:t>chemical parameters</w:t>
      </w:r>
      <w:r w:rsidR="00F23F3E" w:rsidRPr="00846769">
        <w:t xml:space="preserve"> </w:t>
      </w:r>
      <w:r w:rsidRPr="00846769">
        <w:t xml:space="preserve">of the </w:t>
      </w:r>
      <w:r w:rsidR="00B35611" w:rsidRPr="00846769">
        <w:t>habitat,</w:t>
      </w:r>
      <w:r w:rsidRPr="00846769">
        <w:t xml:space="preserve"> </w:t>
      </w:r>
      <w:r w:rsidR="000F572D" w:rsidRPr="00846769">
        <w:t xml:space="preserve">geography of the area, </w:t>
      </w:r>
      <w:r w:rsidRPr="00846769">
        <w:t>and ecology of the target species need to be considered to determine the specified areas.</w:t>
      </w:r>
    </w:p>
    <w:p w14:paraId="52150914" w14:textId="77777777" w:rsidR="006939E1" w:rsidRPr="00846769" w:rsidRDefault="00B5740F" w:rsidP="00BF317B">
      <w:pPr>
        <w:rPr>
          <w:rFonts w:cstheme="minorHAnsi"/>
        </w:rPr>
      </w:pPr>
      <w:r w:rsidRPr="00846769">
        <w:rPr>
          <w:rFonts w:cstheme="minorHAnsi"/>
        </w:rPr>
        <w:t>Movement restrictions may include limiting:</w:t>
      </w:r>
    </w:p>
    <w:p w14:paraId="688BCE36" w14:textId="77777777" w:rsidR="00F23F3E" w:rsidRPr="00846769" w:rsidRDefault="00B5740F" w:rsidP="00BF317B">
      <w:pPr>
        <w:pStyle w:val="ListBullet"/>
      </w:pPr>
      <w:r w:rsidRPr="00846769">
        <w:lastRenderedPageBreak/>
        <w:t>the movement of vessels</w:t>
      </w:r>
    </w:p>
    <w:p w14:paraId="7A1EB018" w14:textId="38AB8446" w:rsidR="00F23F3E" w:rsidRPr="00846769" w:rsidRDefault="00B5740F" w:rsidP="00BF317B">
      <w:pPr>
        <w:pStyle w:val="ListBullet"/>
      </w:pPr>
      <w:r w:rsidRPr="00846769">
        <w:t>equipment exposed to the pest</w:t>
      </w:r>
      <w:r w:rsidR="00F23F3E" w:rsidRPr="00846769">
        <w:t xml:space="preserve"> (will vary depend</w:t>
      </w:r>
      <w:r w:rsidR="000F572D" w:rsidRPr="00846769">
        <w:t>ing</w:t>
      </w:r>
      <w:r w:rsidR="00F23F3E" w:rsidRPr="00846769">
        <w:t xml:space="preserve"> on target species)</w:t>
      </w:r>
    </w:p>
    <w:p w14:paraId="0C0A13B1" w14:textId="3D06E324" w:rsidR="006939E1" w:rsidRPr="00846769" w:rsidRDefault="00B5740F" w:rsidP="00BF317B">
      <w:pPr>
        <w:pStyle w:val="ListBullet"/>
      </w:pPr>
      <w:r w:rsidRPr="00846769">
        <w:t>aquaculture stock or equipment</w:t>
      </w:r>
    </w:p>
    <w:p w14:paraId="5F0CBE11" w14:textId="021DE9A6" w:rsidR="00F23F3E" w:rsidRPr="00846769" w:rsidRDefault="00F23F3E" w:rsidP="00BF317B">
      <w:pPr>
        <w:pStyle w:val="ListBullet"/>
      </w:pPr>
      <w:r w:rsidRPr="00846769">
        <w:t xml:space="preserve">access </w:t>
      </w:r>
      <w:r w:rsidR="00E95577">
        <w:t xml:space="preserve">to and </w:t>
      </w:r>
      <w:r w:rsidRPr="00846769">
        <w:t>within certain areas</w:t>
      </w:r>
    </w:p>
    <w:p w14:paraId="79A23574" w14:textId="75DF5564" w:rsidR="006939E1" w:rsidRPr="00846769" w:rsidRDefault="00B5740F">
      <w:pPr>
        <w:pStyle w:val="ListBullet"/>
      </w:pPr>
      <w:r w:rsidRPr="00846769">
        <w:t xml:space="preserve">the uptake or movement of ballast water or other water </w:t>
      </w:r>
      <w:r w:rsidR="00F23F3E" w:rsidRPr="00846769">
        <w:t xml:space="preserve">(such as influent and effluent water from land-based aquaculture or managed water bodies) </w:t>
      </w:r>
      <w:r w:rsidRPr="00846769">
        <w:t>within the control areas where appropriate controls are not in place.</w:t>
      </w:r>
    </w:p>
    <w:p w14:paraId="5EE9A045" w14:textId="75A8F252" w:rsidR="006939E1" w:rsidRPr="00846769" w:rsidRDefault="00B5740F" w:rsidP="644D5D34">
      <w:r w:rsidRPr="00846769">
        <w:t>Implementation of restrictions will be a dynamic process, determined by the location and extent of</w:t>
      </w:r>
      <w:r w:rsidR="08C88C46" w:rsidRPr="00846769">
        <w:t xml:space="preserve"> the</w:t>
      </w:r>
      <w:r w:rsidRPr="00846769">
        <w:t xml:space="preserve"> infestation and whether the aim is to eradicate the pest or to control its spread. Some restrictions may be deemed impractical or unnecessary in a circumstance, but others will be critically important for eradication or control. Effective communication and accurate information dissemination are critical to ensure compliance and acceptance of restrictions.</w:t>
      </w:r>
    </w:p>
    <w:p w14:paraId="2CEA5688" w14:textId="214DF042" w:rsidR="00B6612C" w:rsidRPr="00846769" w:rsidRDefault="00B6612C" w:rsidP="00B6612C">
      <w:pPr>
        <w:pStyle w:val="ListBullet"/>
        <w:numPr>
          <w:ilvl w:val="0"/>
          <w:numId w:val="0"/>
        </w:numPr>
      </w:pPr>
      <w:bookmarkStart w:id="359" w:name="_Hlk170735342"/>
      <w:r w:rsidRPr="00846769">
        <w:rPr>
          <w:rFonts w:cstheme="minorHAnsi"/>
        </w:rPr>
        <w:t xml:space="preserve">For more information on incident management functions, see the </w:t>
      </w:r>
      <w:hyperlink r:id="rId116" w:history="1"/>
      <w:hyperlink r:id="rId117" w:history="1">
        <w:r w:rsidRPr="00846769">
          <w:rPr>
            <w:rStyle w:val="Hyperlink"/>
            <w:lang w:eastAsia="ja-JP"/>
          </w:rPr>
          <w:t>BIMS: Marine pest version</w:t>
        </w:r>
      </w:hyperlink>
      <w:r w:rsidRPr="00846769">
        <w:rPr>
          <w:rStyle w:val="Hyperlink"/>
          <w:lang w:eastAsia="ja-JP"/>
        </w:rPr>
        <w:t>.</w:t>
      </w:r>
    </w:p>
    <w:bookmarkEnd w:id="359"/>
    <w:p w14:paraId="2A1FDBFD" w14:textId="76FF38B0" w:rsidR="00702239" w:rsidRPr="00846769" w:rsidRDefault="00702239" w:rsidP="00702239">
      <w:pPr>
        <w:pStyle w:val="Heading5"/>
        <w:numPr>
          <w:ilvl w:val="3"/>
          <w:numId w:val="4"/>
        </w:numPr>
      </w:pPr>
      <w:r w:rsidRPr="00846769">
        <w:t xml:space="preserve">Eradication </w:t>
      </w:r>
      <w:r w:rsidR="002704F9" w:rsidRPr="00846769">
        <w:t xml:space="preserve">considered </w:t>
      </w:r>
      <w:r w:rsidRPr="00846769">
        <w:t>not feasible</w:t>
      </w:r>
    </w:p>
    <w:p w14:paraId="6DEF054C" w14:textId="3730E0C0" w:rsidR="00702239" w:rsidRPr="00846769" w:rsidRDefault="009D6616" w:rsidP="009D6616">
      <w:r w:rsidRPr="00846769">
        <w:t xml:space="preserve">If an investigation reveals an incursion of an invasive marine bivalve is unlikely to be eradicable, then interim containment measures to prevent translocation </w:t>
      </w:r>
      <w:r w:rsidR="000F572D" w:rsidRPr="00846769">
        <w:t xml:space="preserve">from any infested waterway </w:t>
      </w:r>
      <w:r w:rsidRPr="00846769">
        <w:t xml:space="preserve">should be implemented to minimise the risk of the pest being spread from the affected area. </w:t>
      </w:r>
    </w:p>
    <w:p w14:paraId="3B314A18" w14:textId="4A974C9D" w:rsidR="002704F9" w:rsidRPr="00846769" w:rsidRDefault="00702239" w:rsidP="009D6616">
      <w:bookmarkStart w:id="360" w:name="_Hlk170735444"/>
      <w:r w:rsidRPr="00846769">
        <w:t>If CCIMPE determines that eradication is not feasible, CCIMPE will provide this recommendation</w:t>
      </w:r>
      <w:r w:rsidR="00FB7051" w:rsidRPr="00846769">
        <w:t xml:space="preserve"> and formal advice to the </w:t>
      </w:r>
      <w:r w:rsidRPr="00846769">
        <w:t>NMG</w:t>
      </w:r>
      <w:r w:rsidR="00FB7051" w:rsidRPr="00846769">
        <w:t>. The NMG will make a final decision</w:t>
      </w:r>
      <w:r w:rsidR="002704F9" w:rsidRPr="00846769">
        <w:t xml:space="preserve"> on this recommendation and whether to move into a stand</w:t>
      </w:r>
      <w:r w:rsidR="00E95577">
        <w:t>-</w:t>
      </w:r>
      <w:r w:rsidR="002704F9" w:rsidRPr="00846769">
        <w:t>down phase</w:t>
      </w:r>
      <w:r w:rsidRPr="00846769">
        <w:t xml:space="preserve">. </w:t>
      </w:r>
      <w:r w:rsidR="009D6616" w:rsidRPr="00846769">
        <w:t>A stand</w:t>
      </w:r>
      <w:r w:rsidR="00E95577">
        <w:t>-</w:t>
      </w:r>
      <w:r w:rsidR="009D6616" w:rsidRPr="00846769">
        <w:t xml:space="preserve">down phase may be entered either directly from the alert phase or from the operations phase </w:t>
      </w:r>
      <w:r w:rsidR="00FB7051" w:rsidRPr="00846769">
        <w:t>when NMG agrees with</w:t>
      </w:r>
      <w:r w:rsidR="009D6616" w:rsidRPr="00846769">
        <w:t xml:space="preserve"> CCIMPE</w:t>
      </w:r>
      <w:r w:rsidR="00FB7051" w:rsidRPr="00846769">
        <w:t>’</w:t>
      </w:r>
      <w:r w:rsidR="002704F9" w:rsidRPr="00846769">
        <w:t>s</w:t>
      </w:r>
      <w:r w:rsidR="009D6616" w:rsidRPr="00846769">
        <w:t xml:space="preserve"> </w:t>
      </w:r>
      <w:r w:rsidR="002704F9" w:rsidRPr="00846769">
        <w:t>recommendation</w:t>
      </w:r>
      <w:r w:rsidR="009D6616" w:rsidRPr="00846769">
        <w:t xml:space="preserve"> </w:t>
      </w:r>
      <w:r w:rsidR="002704F9" w:rsidRPr="00846769">
        <w:t>that</w:t>
      </w:r>
      <w:r w:rsidR="009D6616" w:rsidRPr="00846769">
        <w:t xml:space="preserve"> there is no need to initiate a national biosecurity incident response. </w:t>
      </w:r>
    </w:p>
    <w:bookmarkEnd w:id="360"/>
    <w:p w14:paraId="17F849F8" w14:textId="15CB3ED3" w:rsidR="00FB7051" w:rsidRPr="00846769" w:rsidRDefault="009D6616" w:rsidP="002704F9">
      <w:r w:rsidRPr="00846769">
        <w:t>The stand</w:t>
      </w:r>
      <w:r w:rsidR="00E95577">
        <w:t>-</w:t>
      </w:r>
      <w:r w:rsidRPr="00846769">
        <w:t xml:space="preserve">down of </w:t>
      </w:r>
      <w:r w:rsidR="00702239" w:rsidRPr="00846769">
        <w:t xml:space="preserve">the </w:t>
      </w:r>
      <w:r w:rsidRPr="00846769">
        <w:t xml:space="preserve">NMG does not mean that actions and consultation within CCIMPE cease. This consultation and communication through CCIMPE will continue </w:t>
      </w:r>
      <w:proofErr w:type="gramStart"/>
      <w:r w:rsidRPr="00846769">
        <w:t>as long as</w:t>
      </w:r>
      <w:proofErr w:type="gramEnd"/>
      <w:r w:rsidRPr="00846769">
        <w:t xml:space="preserve"> the affected jurisdiction(s) and/or CCIMPE deem it necessary. </w:t>
      </w:r>
      <w:r w:rsidR="00702239" w:rsidRPr="00846769">
        <w:t>Agreement for l</w:t>
      </w:r>
      <w:r w:rsidRPr="00846769">
        <w:t xml:space="preserve">onger term management </w:t>
      </w:r>
      <w:r w:rsidR="00702239" w:rsidRPr="00846769">
        <w:t xml:space="preserve">and resourcing </w:t>
      </w:r>
      <w:r w:rsidRPr="00846769">
        <w:t xml:space="preserve">options should be formulated and agreed to, and resourcing for longer term management determined. </w:t>
      </w:r>
      <w:r w:rsidR="00702239" w:rsidRPr="00846769">
        <w:t>Although a stand</w:t>
      </w:r>
      <w:r w:rsidR="00E95577">
        <w:t>-</w:t>
      </w:r>
      <w:r w:rsidR="00702239" w:rsidRPr="00846769">
        <w:t xml:space="preserve">down phase may be entered, jurisdictions may transition from an operational phase to management. </w:t>
      </w:r>
    </w:p>
    <w:p w14:paraId="61D388DE" w14:textId="051F8BC5" w:rsidR="00A6168D" w:rsidRPr="00846769" w:rsidRDefault="00A6168D" w:rsidP="00A6168D">
      <w:pPr>
        <w:pStyle w:val="Heading5"/>
        <w:numPr>
          <w:ilvl w:val="3"/>
          <w:numId w:val="4"/>
        </w:numPr>
      </w:pPr>
      <w:r w:rsidRPr="00846769">
        <w:t xml:space="preserve">The Australian Government </w:t>
      </w:r>
      <w:r w:rsidRPr="00846769">
        <w:rPr>
          <w:i/>
          <w:iCs/>
        </w:rPr>
        <w:t>Biosecurity Act 2015</w:t>
      </w:r>
    </w:p>
    <w:p w14:paraId="6E92A097" w14:textId="77777777" w:rsidR="004F44BF" w:rsidRPr="00846769" w:rsidRDefault="00A6168D" w:rsidP="004F44BF">
      <w:pPr>
        <w:rPr>
          <w:rFonts w:cstheme="minorHAnsi"/>
        </w:rPr>
      </w:pPr>
      <w:r w:rsidRPr="00846769">
        <w:rPr>
          <w:rFonts w:cstheme="minorHAnsi"/>
        </w:rPr>
        <w:t xml:space="preserve">The </w:t>
      </w:r>
      <w:r w:rsidRPr="00846769">
        <w:rPr>
          <w:rStyle w:val="Emphasis"/>
        </w:rPr>
        <w:t xml:space="preserve">Biosecurity Act 2015 </w:t>
      </w:r>
      <w:r w:rsidRPr="00846769">
        <w:rPr>
          <w:rFonts w:cstheme="minorHAnsi"/>
        </w:rPr>
        <w:t xml:space="preserve">can be used in the absence of appropriate </w:t>
      </w:r>
      <w:r w:rsidR="000F572D" w:rsidRPr="00846769">
        <w:rPr>
          <w:rFonts w:cstheme="minorHAnsi"/>
        </w:rPr>
        <w:t>s</w:t>
      </w:r>
      <w:r w:rsidRPr="00846769">
        <w:rPr>
          <w:rFonts w:cstheme="minorHAnsi"/>
        </w:rPr>
        <w:t xml:space="preserve">tate or </w:t>
      </w:r>
      <w:r w:rsidR="000F572D" w:rsidRPr="00846769">
        <w:rPr>
          <w:rFonts w:cstheme="minorHAnsi"/>
        </w:rPr>
        <w:t>t</w:t>
      </w:r>
      <w:r w:rsidRPr="00846769">
        <w:rPr>
          <w:rFonts w:cstheme="minorHAnsi"/>
        </w:rPr>
        <w:t xml:space="preserve">erritory legislative powers and may be used in </w:t>
      </w:r>
      <w:r w:rsidR="000F572D" w:rsidRPr="00846769">
        <w:rPr>
          <w:rFonts w:cstheme="minorHAnsi"/>
        </w:rPr>
        <w:t xml:space="preserve">certain </w:t>
      </w:r>
      <w:r w:rsidRPr="00846769">
        <w:rPr>
          <w:rFonts w:cstheme="minorHAnsi"/>
        </w:rPr>
        <w:t>circumstances, including directing conveyances</w:t>
      </w:r>
      <w:r w:rsidRPr="00846769">
        <w:rPr>
          <w:rStyle w:val="FootnoteReference"/>
          <w:rFonts w:cstheme="minorHAnsi"/>
        </w:rPr>
        <w:footnoteReference w:id="5"/>
      </w:r>
      <w:r w:rsidR="004F44BF">
        <w:rPr>
          <w:rFonts w:cstheme="minorHAnsi"/>
        </w:rPr>
        <w:t xml:space="preserve"> </w:t>
      </w:r>
      <w:r w:rsidR="004F44BF" w:rsidRPr="00846769">
        <w:rPr>
          <w:rFonts w:cstheme="minorHAnsi"/>
        </w:rPr>
        <w:t>(</w:t>
      </w:r>
      <w:hyperlink w:anchor="_Appendix_C:_Using_2" w:history="1">
        <w:r w:rsidR="004F44BF" w:rsidRPr="00846769">
          <w:rPr>
            <w:rStyle w:val="Hyperlink"/>
            <w:rFonts w:cstheme="minorHAnsi"/>
          </w:rPr>
          <w:t>Appendix C</w:t>
        </w:r>
      </w:hyperlink>
      <w:r w:rsidR="004F44BF" w:rsidRPr="00846769">
        <w:rPr>
          <w:rFonts w:cstheme="minorHAnsi"/>
        </w:rPr>
        <w:t>):</w:t>
      </w:r>
    </w:p>
    <w:p w14:paraId="5DBAB475" w14:textId="0A27C3C2" w:rsidR="004F44BF" w:rsidRDefault="004F44BF" w:rsidP="00A6168D">
      <w:pPr>
        <w:rPr>
          <w:rFonts w:cstheme="minorHAnsi"/>
        </w:rPr>
        <w:sectPr w:rsidR="004F44BF" w:rsidSect="004F44BF">
          <w:type w:val="continuous"/>
          <w:pgSz w:w="11906" w:h="16838"/>
          <w:pgMar w:top="1440" w:right="1440" w:bottom="1440" w:left="1440" w:header="709" w:footer="709" w:gutter="0"/>
          <w:cols w:space="708"/>
          <w:docGrid w:linePitch="360"/>
        </w:sectPr>
      </w:pPr>
    </w:p>
    <w:p w14:paraId="43F7ACA4" w14:textId="39E844EC" w:rsidR="00A6168D" w:rsidRPr="00846769" w:rsidRDefault="000F572D" w:rsidP="00A6168D">
      <w:pPr>
        <w:pStyle w:val="ListBullet"/>
      </w:pPr>
      <w:r w:rsidRPr="00846769">
        <w:t>i</w:t>
      </w:r>
      <w:r w:rsidR="00A6168D" w:rsidRPr="00846769">
        <w:t>nto port</w:t>
      </w:r>
    </w:p>
    <w:p w14:paraId="37E0F64D" w14:textId="7E7A11B9" w:rsidR="00A6168D" w:rsidRPr="00846769" w:rsidRDefault="000F572D" w:rsidP="00A6168D">
      <w:pPr>
        <w:pStyle w:val="ListBullet"/>
      </w:pPr>
      <w:r w:rsidRPr="00846769">
        <w:t>t</w:t>
      </w:r>
      <w:r w:rsidR="00A6168D" w:rsidRPr="00846769">
        <w:t>o not enter a port and to obey further instruction</w:t>
      </w:r>
    </w:p>
    <w:p w14:paraId="5515F4CA" w14:textId="33F2A829" w:rsidR="00A6168D" w:rsidRPr="00846769" w:rsidRDefault="000F572D" w:rsidP="00A6168D">
      <w:pPr>
        <w:pStyle w:val="ListBullet"/>
      </w:pPr>
      <w:r w:rsidRPr="00846769">
        <w:t>t</w:t>
      </w:r>
      <w:r w:rsidR="00A6168D" w:rsidRPr="00846769">
        <w:t xml:space="preserve">o undergo a treatment action deemed necessary by the </w:t>
      </w:r>
      <w:r w:rsidRPr="00846769">
        <w:t xml:space="preserve">incident manager. </w:t>
      </w:r>
    </w:p>
    <w:p w14:paraId="0E2EB66C" w14:textId="50B3B901" w:rsidR="00A6168D" w:rsidRPr="00846769" w:rsidRDefault="00A6168D" w:rsidP="00A6168D">
      <w:pPr>
        <w:rPr>
          <w:rFonts w:cstheme="minorHAnsi"/>
        </w:rPr>
      </w:pPr>
      <w:r w:rsidRPr="00846769">
        <w:rPr>
          <w:rFonts w:cstheme="minorHAnsi"/>
        </w:rPr>
        <w:t xml:space="preserve">The Australian Director of Biosecurity (or their delegate) can authorise state and territory officers as biosecurity officers under the </w:t>
      </w:r>
      <w:r w:rsidRPr="00846769">
        <w:rPr>
          <w:i/>
          <w:iCs/>
        </w:rPr>
        <w:t>Biosecurity Act</w:t>
      </w:r>
      <w:r w:rsidRPr="00846769">
        <w:rPr>
          <w:rFonts w:cstheme="minorHAnsi"/>
        </w:rPr>
        <w:t xml:space="preserve"> </w:t>
      </w:r>
      <w:r w:rsidRPr="00846769">
        <w:rPr>
          <w:rFonts w:cstheme="minorHAnsi"/>
          <w:i/>
          <w:iCs/>
        </w:rPr>
        <w:t>2015</w:t>
      </w:r>
      <w:r w:rsidRPr="00846769">
        <w:rPr>
          <w:rFonts w:cstheme="minorHAnsi"/>
        </w:rPr>
        <w:t xml:space="preserve">, which will enable certain actions to be </w:t>
      </w:r>
      <w:r w:rsidRPr="00846769">
        <w:rPr>
          <w:rFonts w:cstheme="minorHAnsi"/>
        </w:rPr>
        <w:lastRenderedPageBreak/>
        <w:t>undertaken in a biosecurity response. All actions taken against a conveyance should only be taken in relation to those identified as being at risk of spreading the invasive speci</w:t>
      </w:r>
      <w:r w:rsidRPr="00A841CD">
        <w:rPr>
          <w:rFonts w:cstheme="minorHAnsi"/>
        </w:rPr>
        <w:t>es (Ferguson 2000). The</w:t>
      </w:r>
      <w:r w:rsidRPr="00846769">
        <w:rPr>
          <w:rFonts w:cstheme="minorHAnsi"/>
        </w:rPr>
        <w:t xml:space="preserve"> </w:t>
      </w:r>
      <w:r w:rsidRPr="00846769">
        <w:rPr>
          <w:rFonts w:cstheme="minorHAnsi"/>
          <w:i/>
          <w:iCs/>
        </w:rPr>
        <w:t>Biosecurity Act 2015</w:t>
      </w:r>
      <w:r w:rsidRPr="00846769">
        <w:rPr>
          <w:rFonts w:cstheme="minorHAnsi"/>
        </w:rPr>
        <w:t xml:space="preserve"> is only intended to be used if there is no state or territory legislation that provides appropriate powers necessary for the response, </w:t>
      </w:r>
      <w:r w:rsidRPr="00846769">
        <w:t xml:space="preserve">aside from ballast water which is entirely covered by the </w:t>
      </w:r>
      <w:r w:rsidRPr="00846769">
        <w:rPr>
          <w:i/>
          <w:iCs/>
        </w:rPr>
        <w:t>Biosecurity Act 2015</w:t>
      </w:r>
      <w:r w:rsidRPr="00846769">
        <w:rPr>
          <w:rFonts w:cstheme="minorHAnsi"/>
        </w:rPr>
        <w:t>. A provisional list of other Commonwealth, state</w:t>
      </w:r>
      <w:r w:rsidR="002620B0">
        <w:rPr>
          <w:rFonts w:cstheme="minorHAnsi"/>
        </w:rPr>
        <w:t>,</w:t>
      </w:r>
      <w:r w:rsidRPr="00846769">
        <w:rPr>
          <w:rFonts w:cstheme="minorHAnsi"/>
        </w:rPr>
        <w:t xml:space="preserve"> and territory powers for intervention and detention of vessels is in </w:t>
      </w:r>
      <w:hyperlink w:anchor="_Appendix_D:_State" w:history="1">
        <w:r w:rsidRPr="00846769">
          <w:rPr>
            <w:rStyle w:val="Hyperlink"/>
            <w:rFonts w:cstheme="minorHAnsi"/>
          </w:rPr>
          <w:t>Appendix D</w:t>
        </w:r>
      </w:hyperlink>
      <w:r w:rsidRPr="00846769">
        <w:rPr>
          <w:rFonts w:cstheme="minorHAnsi"/>
        </w:rPr>
        <w:t>.</w:t>
      </w:r>
    </w:p>
    <w:p w14:paraId="3118F399" w14:textId="46FB74F3" w:rsidR="00A6168D" w:rsidRPr="00846769" w:rsidRDefault="00A6168D" w:rsidP="00A6168D">
      <w:r w:rsidRPr="00846769">
        <w:t>State and territories should consider enacting relevant fisheries or other legislation to prevent or control fishing within a control area and prevent or control translocation of stock and equipment</w:t>
      </w:r>
      <w:r w:rsidR="00631A7E" w:rsidRPr="00846769">
        <w:t xml:space="preserve"> from within it</w:t>
      </w:r>
      <w:r w:rsidRPr="00846769">
        <w:t xml:space="preserve">. Any requested movement of fishing gear or aquaculture stock or equipment should be subject to risk assessment consistent with procedures outlined in the </w:t>
      </w:r>
      <w:hyperlink r:id="rId118" w:history="1">
        <w:r w:rsidRPr="00A841CD">
          <w:rPr>
            <w:rStyle w:val="Hyperlink"/>
          </w:rPr>
          <w:t>National Policy Guidelines for the Translocation of Live Aquatic Animals</w:t>
        </w:r>
      </w:hyperlink>
      <w:r w:rsidRPr="00A841CD">
        <w:t xml:space="preserve"> (</w:t>
      </w:r>
      <w:r w:rsidR="00631A7E" w:rsidRPr="00A841CD">
        <w:t>DAFF 202</w:t>
      </w:r>
      <w:r w:rsidR="00B95B90" w:rsidRPr="00A841CD">
        <w:t>0</w:t>
      </w:r>
      <w:r w:rsidR="00933093" w:rsidRPr="00A841CD">
        <w:t>a</w:t>
      </w:r>
      <w:r w:rsidRPr="00A841CD">
        <w:t>). All potentially</w:t>
      </w:r>
      <w:r w:rsidRPr="00846769">
        <w:t xml:space="preserve"> infested fishing gear, aquaculture equipment</w:t>
      </w:r>
      <w:r w:rsidR="00561609" w:rsidRPr="00846769">
        <w:t>,</w:t>
      </w:r>
      <w:r w:rsidRPr="00846769">
        <w:t xml:space="preserve"> or stock should be treated and inspected before removal from the control area.</w:t>
      </w:r>
    </w:p>
    <w:p w14:paraId="25460E6C" w14:textId="1654AD82" w:rsidR="00A6168D" w:rsidRPr="00846769" w:rsidRDefault="00A6168D" w:rsidP="00A6168D">
      <w:r w:rsidRPr="00846769">
        <w:t xml:space="preserve">Refer to </w:t>
      </w:r>
      <w:hyperlink w:anchor="_Vessel_biofouling_management" w:history="1">
        <w:r w:rsidR="00631A7E" w:rsidRPr="00846769">
          <w:rPr>
            <w:rStyle w:val="Hyperlink"/>
          </w:rPr>
          <w:t xml:space="preserve">Section </w:t>
        </w:r>
        <w:r w:rsidR="00F94347" w:rsidRPr="00846769">
          <w:rPr>
            <w:rStyle w:val="Hyperlink"/>
          </w:rPr>
          <w:t>3.3.1</w:t>
        </w:r>
      </w:hyperlink>
      <w:r w:rsidR="00631A7E" w:rsidRPr="00846769">
        <w:t xml:space="preserve"> on </w:t>
      </w:r>
      <w:r w:rsidR="00F94347" w:rsidRPr="00846769">
        <w:t>vessel biofouling management</w:t>
      </w:r>
      <w:r w:rsidR="00631A7E" w:rsidRPr="00846769">
        <w:t xml:space="preserve"> and </w:t>
      </w:r>
      <w:hyperlink w:anchor="_Ballast_water_management" w:history="1">
        <w:r w:rsidR="00631A7E" w:rsidRPr="00846769">
          <w:rPr>
            <w:rStyle w:val="Hyperlink"/>
          </w:rPr>
          <w:t xml:space="preserve">Section </w:t>
        </w:r>
        <w:r w:rsidR="00F94347" w:rsidRPr="00846769">
          <w:rPr>
            <w:rStyle w:val="Hyperlink"/>
          </w:rPr>
          <w:t>3.3.2</w:t>
        </w:r>
      </w:hyperlink>
      <w:r w:rsidR="00F94347" w:rsidRPr="00846769">
        <w:t xml:space="preserve"> </w:t>
      </w:r>
      <w:r w:rsidR="00631A7E" w:rsidRPr="00846769">
        <w:t xml:space="preserve">on </w:t>
      </w:r>
      <w:r w:rsidR="00F94347" w:rsidRPr="00846769">
        <w:t>ballast water management</w:t>
      </w:r>
      <w:r w:rsidR="00631A7E" w:rsidRPr="00846769">
        <w:t xml:space="preserve"> relevant information. </w:t>
      </w:r>
    </w:p>
    <w:p w14:paraId="008BFB3E" w14:textId="25D375BD" w:rsidR="00A6168D" w:rsidRPr="00846769" w:rsidRDefault="00A6168D" w:rsidP="001018DF">
      <w:pPr>
        <w:pStyle w:val="ListBullet2"/>
        <w:numPr>
          <w:ilvl w:val="0"/>
          <w:numId w:val="0"/>
        </w:numPr>
      </w:pPr>
      <w:r w:rsidRPr="00846769">
        <w:t xml:space="preserve">For additional information on using the </w:t>
      </w:r>
      <w:r w:rsidRPr="00846769">
        <w:rPr>
          <w:rStyle w:val="Emphasis"/>
        </w:rPr>
        <w:t>Biosecurity Act 2015</w:t>
      </w:r>
      <w:r w:rsidRPr="00846769">
        <w:t xml:space="preserve"> during an emergency response see </w:t>
      </w:r>
      <w:hyperlink w:anchor="_Appendix_C:_Using_2" w:history="1">
        <w:r w:rsidRPr="00846769">
          <w:rPr>
            <w:rStyle w:val="Hyperlink"/>
          </w:rPr>
          <w:t>Appendix C.</w:t>
        </w:r>
      </w:hyperlink>
    </w:p>
    <w:p w14:paraId="333EDD71" w14:textId="5C810FCC" w:rsidR="00FB7051" w:rsidRPr="00846769" w:rsidRDefault="00FB7051" w:rsidP="00FB7051">
      <w:pPr>
        <w:pStyle w:val="Heading4"/>
        <w:numPr>
          <w:ilvl w:val="2"/>
          <w:numId w:val="4"/>
        </w:numPr>
      </w:pPr>
      <w:bookmarkStart w:id="362" w:name="_Stand_down_phase"/>
      <w:bookmarkEnd w:id="362"/>
      <w:r w:rsidRPr="00846769">
        <w:t>Stand</w:t>
      </w:r>
      <w:r w:rsidR="00E95577">
        <w:t>-</w:t>
      </w:r>
      <w:r w:rsidRPr="00846769">
        <w:t>down phase</w:t>
      </w:r>
    </w:p>
    <w:p w14:paraId="4746B6E8" w14:textId="0AB04EDE" w:rsidR="00FB7051" w:rsidRPr="00846769" w:rsidRDefault="00FB7051" w:rsidP="00FB7051">
      <w:r w:rsidRPr="00846769">
        <w:t>The stand</w:t>
      </w:r>
      <w:r w:rsidR="00E95577">
        <w:t>-</w:t>
      </w:r>
      <w:r w:rsidRPr="00846769">
        <w:t>down phase is in effect when, following appropriate consultation between the affected jurisdiction</w:t>
      </w:r>
      <w:r w:rsidR="00561609" w:rsidRPr="00846769">
        <w:t>(s)</w:t>
      </w:r>
      <w:r w:rsidRPr="00846769">
        <w:t xml:space="preserve"> and CCIMPE, all agree that there is no need to progress or continue with a national biosecurity incident response. During the stand</w:t>
      </w:r>
      <w:r w:rsidR="00E95577">
        <w:t>-</w:t>
      </w:r>
      <w:r w:rsidRPr="00846769">
        <w:t>down phase:</w:t>
      </w:r>
    </w:p>
    <w:p w14:paraId="7EE3AACF" w14:textId="77777777" w:rsidR="00FB7051" w:rsidRPr="00846769" w:rsidRDefault="00FB7051" w:rsidP="00FB7051">
      <w:pPr>
        <w:pStyle w:val="ListBullet"/>
      </w:pPr>
      <w:r w:rsidRPr="00846769">
        <w:t>a systematic approach to winding down operations must be taken to ensure operational effectiveness is not jeopardised</w:t>
      </w:r>
    </w:p>
    <w:p w14:paraId="7F1CC0CE" w14:textId="28CE637B" w:rsidR="00FB7051" w:rsidRPr="00846769" w:rsidRDefault="00FB7051" w:rsidP="00FB7051">
      <w:pPr>
        <w:pStyle w:val="ListBullet"/>
      </w:pPr>
      <w:r w:rsidRPr="00846769">
        <w:t>all personnel, agencies, and industry contacts involved in the emergency response are to be notified of the stand</w:t>
      </w:r>
      <w:r w:rsidR="00E95577">
        <w:t>-</w:t>
      </w:r>
      <w:r w:rsidRPr="00846769">
        <w:t>down</w:t>
      </w:r>
    </w:p>
    <w:p w14:paraId="0D1D978D" w14:textId="77777777" w:rsidR="00FB7051" w:rsidRPr="00846769" w:rsidRDefault="00FB7051" w:rsidP="00FB7051">
      <w:pPr>
        <w:pStyle w:val="ListBullet"/>
      </w:pPr>
      <w:r w:rsidRPr="00846769">
        <w:t>where the pest is not eradicable, alternative ongoing management options are to be considered and the most appropriate option implemented, given the risk and required investment</w:t>
      </w:r>
    </w:p>
    <w:p w14:paraId="434BA150" w14:textId="2740BAFD" w:rsidR="00FB7051" w:rsidRPr="00846769" w:rsidRDefault="00A332C9" w:rsidP="00FB7051">
      <w:pPr>
        <w:pStyle w:val="ListBullet"/>
      </w:pPr>
      <w:r>
        <w:t xml:space="preserve">transition to management and </w:t>
      </w:r>
      <w:r w:rsidR="00FB7051" w:rsidRPr="00846769">
        <w:t xml:space="preserve">recovery </w:t>
      </w:r>
      <w:r w:rsidR="004F44BF">
        <w:t xml:space="preserve">options are investigated prior to and </w:t>
      </w:r>
      <w:r w:rsidR="008D1D12">
        <w:t>throughout</w:t>
      </w:r>
      <w:r w:rsidR="00FB7051" w:rsidRPr="00846769">
        <w:t xml:space="preserve"> stand</w:t>
      </w:r>
      <w:r w:rsidR="00E95577">
        <w:t>-</w:t>
      </w:r>
      <w:r w:rsidR="006F165C" w:rsidRPr="00846769">
        <w:t>down</w:t>
      </w:r>
    </w:p>
    <w:p w14:paraId="06D79488" w14:textId="77777777" w:rsidR="00FB7051" w:rsidRPr="00846769" w:rsidRDefault="00FB7051" w:rsidP="00FB7051">
      <w:pPr>
        <w:pStyle w:val="ListBullet"/>
      </w:pPr>
      <w:r w:rsidRPr="00846769">
        <w:t>the outcomes of the response, and information on the management of the species going forward, should be communicated to stakeholders</w:t>
      </w:r>
    </w:p>
    <w:p w14:paraId="5008E66C" w14:textId="77777777" w:rsidR="00FB7051" w:rsidRPr="00846769" w:rsidRDefault="00FB7051" w:rsidP="00FB7051">
      <w:pPr>
        <w:pStyle w:val="ListBullet"/>
      </w:pPr>
      <w:r w:rsidRPr="00846769">
        <w:t>a comprehensive after-action review should be completed as soon as possible after the response stands down, to ensure that learnings can be captured for improvements in future responses.</w:t>
      </w:r>
    </w:p>
    <w:p w14:paraId="211B0046" w14:textId="642C9564" w:rsidR="002704F9" w:rsidRPr="00846769" w:rsidRDefault="00FB7051" w:rsidP="00FB7051">
      <w:pPr>
        <w:pStyle w:val="ListBullet"/>
        <w:numPr>
          <w:ilvl w:val="0"/>
          <w:numId w:val="0"/>
        </w:numPr>
      </w:pPr>
      <w:r w:rsidRPr="00846769">
        <w:t>The stand</w:t>
      </w:r>
      <w:r w:rsidR="00E95577">
        <w:t>-</w:t>
      </w:r>
      <w:r w:rsidRPr="00846769">
        <w:t xml:space="preserve">down phase must commence once operational objectives have been achieved, or otherwise in accordance with advice provided by CCIMPE and agreed by the NMG. The advice that an emergency eradication operational response is no longer needed must be </w:t>
      </w:r>
      <w:r w:rsidR="00015D0A" w:rsidRPr="00846769">
        <w:t>communicat</w:t>
      </w:r>
      <w:r w:rsidR="00015D0A">
        <w:t xml:space="preserve">ed </w:t>
      </w:r>
      <w:r w:rsidRPr="00846769">
        <w:t>to the affected jurisdiction(s).</w:t>
      </w:r>
    </w:p>
    <w:p w14:paraId="651CDC7F" w14:textId="5527B86F" w:rsidR="003F44D5" w:rsidRPr="00846769" w:rsidRDefault="00F94347" w:rsidP="00FB7051">
      <w:pPr>
        <w:pStyle w:val="ListBullet"/>
        <w:numPr>
          <w:ilvl w:val="0"/>
          <w:numId w:val="0"/>
        </w:numPr>
      </w:pPr>
      <w:r w:rsidRPr="00846769">
        <w:lastRenderedPageBreak/>
        <w:t>R</w:t>
      </w:r>
      <w:r w:rsidR="003F44D5" w:rsidRPr="00846769">
        <w:t xml:space="preserve">elief and recovery </w:t>
      </w:r>
      <w:proofErr w:type="gramStart"/>
      <w:r w:rsidR="003F44D5" w:rsidRPr="00846769">
        <w:t>is</w:t>
      </w:r>
      <w:proofErr w:type="gramEnd"/>
      <w:r w:rsidR="003F44D5" w:rsidRPr="00846769">
        <w:t xml:space="preserve"> a coordinated process of supporting emergency-affected individuals and communities to mitigate the impacts of a marine pest incursion. Appendix 2 in the </w:t>
      </w:r>
      <w:hyperlink r:id="rId119" w:history="1">
        <w:r w:rsidR="003F44D5" w:rsidRPr="00846769">
          <w:rPr>
            <w:rStyle w:val="Hyperlink"/>
          </w:rPr>
          <w:t>BIMS: Marine pest version</w:t>
        </w:r>
      </w:hyperlink>
      <w:r w:rsidR="003F44D5" w:rsidRPr="00846769">
        <w:t xml:space="preserve"> provides guidance on relief and recovery roles in the context of biosecurity incidents. </w:t>
      </w:r>
    </w:p>
    <w:p w14:paraId="72F78045" w14:textId="1D6BF944" w:rsidR="00612C70" w:rsidRPr="00846769" w:rsidRDefault="00612C70" w:rsidP="00612C70">
      <w:pPr>
        <w:pStyle w:val="Heading5"/>
        <w:numPr>
          <w:ilvl w:val="3"/>
          <w:numId w:val="4"/>
        </w:numPr>
      </w:pPr>
      <w:bookmarkStart w:id="363" w:name="_Hlk187483244"/>
      <w:r w:rsidRPr="00846769">
        <w:t>Calculating optimal sample numbers to determine when to stand</w:t>
      </w:r>
      <w:r w:rsidR="00E95577">
        <w:t>-</w:t>
      </w:r>
      <w:r w:rsidRPr="00846769">
        <w:t>down a response</w:t>
      </w:r>
    </w:p>
    <w:p w14:paraId="214CF063" w14:textId="52467AAC" w:rsidR="00612C70" w:rsidRPr="00846769" w:rsidRDefault="00612C70" w:rsidP="00612C70">
      <w:pPr>
        <w:autoSpaceDE w:val="0"/>
        <w:autoSpaceDN w:val="0"/>
        <w:adjustRightInd w:val="0"/>
        <w:rPr>
          <w:rFonts w:cstheme="minorHAnsi"/>
        </w:rPr>
      </w:pPr>
      <w:bookmarkStart w:id="364" w:name="_Hlk78821057"/>
      <w:r w:rsidRPr="00846769">
        <w:rPr>
          <w:rFonts w:cstheme="minorHAnsi"/>
        </w:rPr>
        <w:t>Quantification of response sampling numbers and the best time to stand</w:t>
      </w:r>
      <w:r w:rsidR="00E95577">
        <w:rPr>
          <w:rFonts w:cstheme="minorHAnsi"/>
        </w:rPr>
        <w:t>-</w:t>
      </w:r>
      <w:r w:rsidRPr="00846769">
        <w:rPr>
          <w:rFonts w:cstheme="minorHAnsi"/>
        </w:rPr>
        <w:t xml:space="preserve">down a response are technical assessments. Advice from statisticians, ecologists, economists, or other relevant experts should be sought.  </w:t>
      </w:r>
    </w:p>
    <w:p w14:paraId="1FAEC0F0" w14:textId="7BA5C692" w:rsidR="00612C70" w:rsidRPr="00846769" w:rsidRDefault="00612C70" w:rsidP="00612C70">
      <w:pPr>
        <w:autoSpaceDE w:val="0"/>
        <w:autoSpaceDN w:val="0"/>
        <w:adjustRightInd w:val="0"/>
        <w:rPr>
          <w:rFonts w:ascii="Calibri" w:eastAsia="Times New Roman" w:hAnsi="Calibri" w:cs="Times New Roman"/>
          <w:b/>
          <w:bCs/>
          <w:color w:val="444444"/>
          <w:sz w:val="28"/>
          <w:szCs w:val="24"/>
        </w:rPr>
      </w:pPr>
      <w:bookmarkStart w:id="365" w:name="_Hlk170685322"/>
      <w:bookmarkStart w:id="366" w:name="_Hlk170685380"/>
      <w:r w:rsidRPr="00846769">
        <w:t xml:space="preserve">Information for calculating the </w:t>
      </w:r>
      <w:r w:rsidRPr="00A841CD">
        <w:t xml:space="preserve">optimal number of surveys to conduct after freedom is assumed to have been achieved is available from Regan et al. (2006). </w:t>
      </w:r>
      <w:bookmarkEnd w:id="365"/>
      <w:r w:rsidRPr="00A841CD">
        <w:t>In</w:t>
      </w:r>
      <w:r w:rsidRPr="00846769">
        <w:t xml:space="preserve"> many cases a decision on a surveillance program to meet the requirements of the situation may be discussed and agreed by CCIMPE. This will </w:t>
      </w:r>
      <w:proofErr w:type="gramStart"/>
      <w:r w:rsidRPr="00846769">
        <w:t>take into account</w:t>
      </w:r>
      <w:proofErr w:type="gramEnd"/>
      <w:r w:rsidRPr="00846769">
        <w:t xml:space="preserve"> the context of the situation and the issues around conducting a surveillance program. This simpler approach was adopted for a response to Asian green mussel (</w:t>
      </w:r>
      <w:r w:rsidRPr="00846769">
        <w:rPr>
          <w:i/>
          <w:iCs/>
        </w:rPr>
        <w:t>P</w:t>
      </w:r>
      <w:r w:rsidR="006C33DE" w:rsidRPr="00846769">
        <w:rPr>
          <w:i/>
          <w:iCs/>
        </w:rPr>
        <w:t>.</w:t>
      </w:r>
      <w:r w:rsidR="00FF70DD">
        <w:rPr>
          <w:i/>
          <w:iCs/>
        </w:rPr>
        <w:t> </w:t>
      </w:r>
      <w:r w:rsidRPr="00846769">
        <w:rPr>
          <w:i/>
          <w:iCs/>
        </w:rPr>
        <w:t>viridis</w:t>
      </w:r>
      <w:r w:rsidRPr="00846769">
        <w:t>) on Cape York Peninsula.</w:t>
      </w:r>
      <w:bookmarkEnd w:id="364"/>
      <w:bookmarkEnd w:id="366"/>
    </w:p>
    <w:p w14:paraId="5F82B8AE" w14:textId="74DCF192" w:rsidR="00FF4ABD" w:rsidRPr="00846769" w:rsidRDefault="00983FD8" w:rsidP="00983FD8">
      <w:pPr>
        <w:pStyle w:val="Heading3"/>
        <w:numPr>
          <w:ilvl w:val="1"/>
          <w:numId w:val="4"/>
        </w:numPr>
      </w:pPr>
      <w:bookmarkStart w:id="367" w:name="_Toc191998663"/>
      <w:bookmarkStart w:id="368" w:name="_Hlk170735947"/>
      <w:bookmarkEnd w:id="363"/>
      <w:r w:rsidRPr="00846769">
        <w:t>Risk assessment</w:t>
      </w:r>
      <w:r w:rsidR="00FF4ABD" w:rsidRPr="00846769">
        <w:t xml:space="preserve"> </w:t>
      </w:r>
      <w:r w:rsidR="00B35611" w:rsidRPr="00846769">
        <w:t>of</w:t>
      </w:r>
      <w:r w:rsidR="00FF4ABD" w:rsidRPr="00846769">
        <w:t xml:space="preserve"> </w:t>
      </w:r>
      <w:r w:rsidRPr="00846769">
        <w:t>potential</w:t>
      </w:r>
      <w:r w:rsidR="00FF4ABD" w:rsidRPr="00846769">
        <w:t xml:space="preserve"> vectors</w:t>
      </w:r>
      <w:r w:rsidRPr="00846769">
        <w:t xml:space="preserve">, </w:t>
      </w:r>
      <w:r w:rsidR="00E5169D">
        <w:t>marine infrastructure</w:t>
      </w:r>
      <w:r w:rsidRPr="00846769">
        <w:t xml:space="preserve">, and </w:t>
      </w:r>
      <w:r w:rsidR="003707E0" w:rsidRPr="00846769">
        <w:t>habitat</w:t>
      </w:r>
      <w:bookmarkEnd w:id="367"/>
    </w:p>
    <w:bookmarkEnd w:id="368"/>
    <w:p w14:paraId="42A7F6E8" w14:textId="77777777" w:rsidR="008D1D12" w:rsidRPr="00846769" w:rsidRDefault="00B5740F" w:rsidP="008D1D12">
      <w:pPr>
        <w:rPr>
          <w:rFonts w:cstheme="minorHAnsi"/>
        </w:rPr>
      </w:pPr>
      <w:r w:rsidRPr="00846769">
        <w:rPr>
          <w:rFonts w:cstheme="minorHAnsi"/>
        </w:rPr>
        <w:t xml:space="preserve">In the event of an emergency marine pest response, </w:t>
      </w:r>
      <w:r w:rsidR="005A2083" w:rsidRPr="00846769">
        <w:rPr>
          <w:rFonts w:cstheme="minorHAnsi"/>
        </w:rPr>
        <w:t>the risk status of all</w:t>
      </w:r>
      <w:r w:rsidRPr="00846769">
        <w:rPr>
          <w:rFonts w:cstheme="minorHAnsi"/>
        </w:rPr>
        <w:t xml:space="preserve"> potential vectors</w:t>
      </w:r>
      <w:r w:rsidR="005A2083" w:rsidRPr="00846769">
        <w:rPr>
          <w:rFonts w:cstheme="minorHAnsi"/>
        </w:rPr>
        <w:t xml:space="preserve">, submerged infrastructure, and </w:t>
      </w:r>
      <w:r w:rsidR="003707E0" w:rsidRPr="00846769">
        <w:rPr>
          <w:rFonts w:cstheme="minorHAnsi"/>
        </w:rPr>
        <w:t>habitats in the</w:t>
      </w:r>
      <w:r w:rsidR="005A2083" w:rsidRPr="00846769">
        <w:rPr>
          <w:rFonts w:cstheme="minorHAnsi"/>
        </w:rPr>
        <w:t xml:space="preserve"> receiving environment</w:t>
      </w:r>
      <w:r w:rsidR="003707E0" w:rsidRPr="00846769">
        <w:rPr>
          <w:rStyle w:val="FootnoteReference"/>
          <w:rFonts w:cstheme="minorHAnsi"/>
        </w:rPr>
        <w:footnoteReference w:id="6"/>
      </w:r>
      <w:r w:rsidR="008D1D12">
        <w:rPr>
          <w:rFonts w:cstheme="minorHAnsi"/>
        </w:rPr>
        <w:t xml:space="preserve"> s</w:t>
      </w:r>
      <w:r w:rsidR="008D1D12" w:rsidRPr="00846769">
        <w:rPr>
          <w:rFonts w:cstheme="minorHAnsi"/>
        </w:rPr>
        <w:t xml:space="preserve">hould be assessed and managed if they were in the restricted or control areas during the time the marine pest was suspected to have been present. </w:t>
      </w:r>
    </w:p>
    <w:p w14:paraId="33C7A91A" w14:textId="40B80350" w:rsidR="008D1D12" w:rsidRDefault="008D1D12" w:rsidP="00BF317B">
      <w:pPr>
        <w:rPr>
          <w:rFonts w:cstheme="minorHAnsi"/>
        </w:rPr>
        <w:sectPr w:rsidR="008D1D12" w:rsidSect="004F44BF">
          <w:type w:val="continuous"/>
          <w:pgSz w:w="11906" w:h="16838"/>
          <w:pgMar w:top="1440" w:right="1440" w:bottom="1440" w:left="1440" w:header="709" w:footer="709" w:gutter="0"/>
          <w:cols w:space="708"/>
          <w:docGrid w:linePitch="360"/>
        </w:sectPr>
      </w:pPr>
    </w:p>
    <w:p w14:paraId="52B8357B" w14:textId="1E3E9545" w:rsidR="00220DCE" w:rsidRPr="00846769" w:rsidRDefault="00220DCE" w:rsidP="00BF317B">
      <w:pPr>
        <w:rPr>
          <w:rFonts w:cstheme="minorHAnsi"/>
        </w:rPr>
      </w:pPr>
      <w:r w:rsidRPr="00846769">
        <w:rPr>
          <w:rFonts w:cstheme="minorHAnsi"/>
        </w:rPr>
        <w:t>If determined to be high</w:t>
      </w:r>
      <w:r w:rsidR="00561609" w:rsidRPr="00846769">
        <w:rPr>
          <w:rFonts w:cstheme="minorHAnsi"/>
        </w:rPr>
        <w:t>-</w:t>
      </w:r>
      <w:r w:rsidRPr="00846769">
        <w:rPr>
          <w:rFonts w:cstheme="minorHAnsi"/>
        </w:rPr>
        <w:t xml:space="preserve">risk, vessels, </w:t>
      </w:r>
      <w:r w:rsidR="008D1D12">
        <w:rPr>
          <w:rFonts w:cstheme="minorHAnsi"/>
        </w:rPr>
        <w:t>marine</w:t>
      </w:r>
      <w:r w:rsidR="008D1D12" w:rsidRPr="00846769">
        <w:rPr>
          <w:rFonts w:cstheme="minorHAnsi"/>
        </w:rPr>
        <w:t xml:space="preserve"> </w:t>
      </w:r>
      <w:r w:rsidRPr="00846769">
        <w:rPr>
          <w:rFonts w:cstheme="minorHAnsi"/>
        </w:rPr>
        <w:t xml:space="preserve">infrastructure, </w:t>
      </w:r>
      <w:r w:rsidR="00423525" w:rsidRPr="00846769">
        <w:rPr>
          <w:rFonts w:cstheme="minorHAnsi"/>
        </w:rPr>
        <w:t>surrounding habitat</w:t>
      </w:r>
      <w:r w:rsidRPr="00846769">
        <w:rPr>
          <w:rFonts w:cstheme="minorHAnsi"/>
        </w:rPr>
        <w:t xml:space="preserve">, and other vectors should be further assessed to determine if they require inspection and treatment. A </w:t>
      </w:r>
      <w:r w:rsidR="00015D0A" w:rsidRPr="00846769">
        <w:rPr>
          <w:rFonts w:cstheme="minorHAnsi"/>
        </w:rPr>
        <w:t xml:space="preserve">risk assessment </w:t>
      </w:r>
      <w:r w:rsidRPr="00846769">
        <w:rPr>
          <w:rFonts w:cstheme="minorHAnsi"/>
        </w:rPr>
        <w:t>may determine whether this is necessary. For example, a recently cleaned vessel</w:t>
      </w:r>
      <w:r w:rsidR="00005C8B" w:rsidRPr="00846769">
        <w:rPr>
          <w:rFonts w:cstheme="minorHAnsi"/>
        </w:rPr>
        <w:t xml:space="preserve"> will have fewer marine bivalves attached than a heavily fo</w:t>
      </w:r>
      <w:r w:rsidR="00005C8B" w:rsidRPr="00A841CD">
        <w:rPr>
          <w:rFonts w:cstheme="minorHAnsi"/>
        </w:rPr>
        <w:t>uled vessel</w:t>
      </w:r>
      <w:r w:rsidR="00561609" w:rsidRPr="00A841CD">
        <w:rPr>
          <w:rFonts w:cstheme="minorHAnsi"/>
        </w:rPr>
        <w:t xml:space="preserve"> (MPSC 202</w:t>
      </w:r>
      <w:r w:rsidR="00C80491" w:rsidRPr="00A841CD">
        <w:rPr>
          <w:rFonts w:cstheme="minorHAnsi"/>
        </w:rPr>
        <w:t>1</w:t>
      </w:r>
      <w:r w:rsidR="00561609" w:rsidRPr="00A841CD">
        <w:rPr>
          <w:rFonts w:cstheme="minorHAnsi"/>
        </w:rPr>
        <w:t>)</w:t>
      </w:r>
      <w:r w:rsidR="00005C8B" w:rsidRPr="00A841CD">
        <w:rPr>
          <w:rFonts w:cstheme="minorHAnsi"/>
        </w:rPr>
        <w:t>.</w:t>
      </w:r>
      <w:r w:rsidR="00005C8B" w:rsidRPr="00846769">
        <w:rPr>
          <w:rFonts w:cstheme="minorHAnsi"/>
        </w:rPr>
        <w:t xml:space="preserve"> </w:t>
      </w:r>
    </w:p>
    <w:p w14:paraId="19B0A649" w14:textId="7CE0DC80" w:rsidR="00220DCE" w:rsidRPr="00846769" w:rsidRDefault="00220DCE" w:rsidP="00BF317B">
      <w:pPr>
        <w:rPr>
          <w:rFonts w:cstheme="minorHAnsi"/>
        </w:rPr>
      </w:pPr>
      <w:r w:rsidRPr="00846769">
        <w:rPr>
          <w:rFonts w:cstheme="minorHAnsi"/>
        </w:rPr>
        <w:t xml:space="preserve">All vessels, </w:t>
      </w:r>
      <w:r w:rsidR="008D1D12">
        <w:rPr>
          <w:rFonts w:cstheme="minorHAnsi"/>
        </w:rPr>
        <w:t>marine</w:t>
      </w:r>
      <w:r w:rsidRPr="00846769">
        <w:rPr>
          <w:rFonts w:cstheme="minorHAnsi"/>
        </w:rPr>
        <w:t xml:space="preserve"> infrastructure, </w:t>
      </w:r>
      <w:r w:rsidR="00423525" w:rsidRPr="00846769">
        <w:rPr>
          <w:rFonts w:cstheme="minorHAnsi"/>
        </w:rPr>
        <w:t>surrounding habitat</w:t>
      </w:r>
      <w:r w:rsidRPr="00846769">
        <w:rPr>
          <w:rFonts w:cstheme="minorHAnsi"/>
        </w:rPr>
        <w:t>, and other vectors within the control area should be assessed and inspected for signs of the pest(s) where deemed necessary.</w:t>
      </w:r>
      <w:r w:rsidR="00B5740F" w:rsidRPr="00846769">
        <w:rPr>
          <w:rFonts w:cstheme="minorHAnsi"/>
        </w:rPr>
        <w:t xml:space="preserve"> </w:t>
      </w:r>
      <w:r w:rsidRPr="00846769">
        <w:rPr>
          <w:rFonts w:cstheme="minorHAnsi"/>
        </w:rPr>
        <w:t xml:space="preserve">High-risk and medium-risk vectors should be assessed and required to remain within the control area until they can be inspected and declared free of the pest as determined appropriate. Likewise, </w:t>
      </w:r>
      <w:r w:rsidR="008D1D12">
        <w:rPr>
          <w:rFonts w:cstheme="minorHAnsi"/>
        </w:rPr>
        <w:t>marine</w:t>
      </w:r>
      <w:r w:rsidR="008D1D12" w:rsidRPr="00846769">
        <w:rPr>
          <w:rFonts w:cstheme="minorHAnsi"/>
        </w:rPr>
        <w:t xml:space="preserve"> </w:t>
      </w:r>
      <w:r w:rsidRPr="00846769">
        <w:rPr>
          <w:rFonts w:cstheme="minorHAnsi"/>
        </w:rPr>
        <w:t xml:space="preserve">infrastructure and </w:t>
      </w:r>
      <w:r w:rsidR="00423525" w:rsidRPr="00846769">
        <w:rPr>
          <w:rFonts w:cstheme="minorHAnsi"/>
        </w:rPr>
        <w:t xml:space="preserve">habitat in the </w:t>
      </w:r>
      <w:r w:rsidRPr="00846769">
        <w:rPr>
          <w:rFonts w:cstheme="minorHAnsi"/>
        </w:rPr>
        <w:t>receiving environment should be treated according to risk status.</w:t>
      </w:r>
    </w:p>
    <w:p w14:paraId="7CEF0923" w14:textId="597812AF" w:rsidR="00220DCE" w:rsidRPr="00846769" w:rsidRDefault="00220DCE" w:rsidP="00BF317B">
      <w:pPr>
        <w:rPr>
          <w:rFonts w:cstheme="minorHAnsi"/>
        </w:rPr>
      </w:pPr>
      <w:r w:rsidRPr="00846769">
        <w:rPr>
          <w:rFonts w:cstheme="minorHAnsi"/>
        </w:rPr>
        <w:t xml:space="preserve">All high-risk and medium-risk vessels that have recently left a control area should be contacted immediately if their itinerary indicates that they present a risk for spread of the pest in Australia. If the itinerary indicates visitation to another country with biosecurity requirements on </w:t>
      </w:r>
      <w:r w:rsidR="00160093">
        <w:rPr>
          <w:rFonts w:cstheme="minorHAnsi"/>
        </w:rPr>
        <w:t>vessels</w:t>
      </w:r>
      <w:r w:rsidR="00160093" w:rsidRPr="00846769">
        <w:rPr>
          <w:rFonts w:cstheme="minorHAnsi"/>
        </w:rPr>
        <w:t xml:space="preserve"> </w:t>
      </w:r>
      <w:r w:rsidRPr="00846769">
        <w:rPr>
          <w:rFonts w:cstheme="minorHAnsi"/>
        </w:rPr>
        <w:t>(</w:t>
      </w:r>
      <w:r w:rsidR="0004422F">
        <w:t>e.g.</w:t>
      </w:r>
      <w:r w:rsidRPr="00846769">
        <w:t xml:space="preserve"> </w:t>
      </w:r>
      <w:r w:rsidRPr="00846769">
        <w:rPr>
          <w:rFonts w:cstheme="minorHAnsi"/>
        </w:rPr>
        <w:t>New Zealand) the appropriate contact in that country should be notified. If these vessels have not entered another port or marina, they should be encouraged to remain at sea until inspection and/or quarantine arrangements can be made. Biosecurity risks detected before or during this inspection must be dealt with before the vessel can be brought further inshore. A vessel that has entered another port or coastal area should be inspected immediately. If signs of the pest are discovered, then the vessel should be directed for treatment and a back tracing of the vessel’s itinerary be done and surveys undertaken of the anchorages it has visited.</w:t>
      </w:r>
    </w:p>
    <w:p w14:paraId="165A9A7E" w14:textId="53980E85" w:rsidR="00AF41BC" w:rsidRPr="00846769" w:rsidRDefault="00005C8B" w:rsidP="08250D5D">
      <w:pPr>
        <w:pStyle w:val="Heading4"/>
        <w:numPr>
          <w:ilvl w:val="2"/>
          <w:numId w:val="4"/>
        </w:numPr>
      </w:pPr>
      <w:bookmarkStart w:id="370" w:name="_Vessel_inspection"/>
      <w:bookmarkEnd w:id="370"/>
      <w:r w:rsidRPr="00846769">
        <w:lastRenderedPageBreak/>
        <w:t>Vessel inspection</w:t>
      </w:r>
    </w:p>
    <w:p w14:paraId="7FE78A04" w14:textId="58F963CF" w:rsidR="00AF41BC" w:rsidRPr="00846769" w:rsidRDefault="00AF41BC" w:rsidP="00AF41BC">
      <w:r w:rsidRPr="00846769">
        <w:t xml:space="preserve">The </w:t>
      </w:r>
      <w:hyperlink r:id="rId120" w:history="1">
        <w:r w:rsidRPr="00846769">
          <w:rPr>
            <w:rStyle w:val="Hyperlink"/>
          </w:rPr>
          <w:t>Australian biofouling management requirements</w:t>
        </w:r>
      </w:hyperlink>
      <w:r w:rsidRPr="00846769">
        <w:t xml:space="preserve"> set out vessel operator obligations for the management of biofouling when operating vessels are under biosecurity control within Australian territorial seas. </w:t>
      </w:r>
      <w:bookmarkStart w:id="371" w:name="_Hlk170736255"/>
      <w:r w:rsidRPr="00846769">
        <w:t>Bivalves can be transported in biofouling o</w:t>
      </w:r>
      <w:r w:rsidR="00561609" w:rsidRPr="00846769">
        <w:t>n</w:t>
      </w:r>
      <w:r w:rsidRPr="00846769">
        <w:t xml:space="preserve"> the external hull</w:t>
      </w:r>
      <w:r w:rsidR="00561609" w:rsidRPr="00846769">
        <w:t>, vessel niche areas,</w:t>
      </w:r>
      <w:r w:rsidRPr="00846769">
        <w:t xml:space="preserve"> or within the internal seawater systems of vessels. Biofouling is likely to be greatest in wetted areas of the vessel that are protected from drag when the vessel is underway and/or where the antifouling paint is worn, damaged, or not applied. </w:t>
      </w:r>
      <w:bookmarkEnd w:id="371"/>
    </w:p>
    <w:p w14:paraId="654072F0" w14:textId="7EE58EB9" w:rsidR="00AF41BC" w:rsidRPr="00846769" w:rsidRDefault="00AF41BC" w:rsidP="00AF41BC">
      <w:r w:rsidRPr="00846769">
        <w:t xml:space="preserve">Divers or remote operated vehicles (ROVs) should carry out in-water inspection of vessels using a standardised search protocol; see </w:t>
      </w:r>
      <w:hyperlink r:id="rId121" w:history="1">
        <w:r w:rsidRPr="00846769">
          <w:rPr>
            <w:rStyle w:val="Hyperlink"/>
          </w:rPr>
          <w:t>anti-fouling and in-water cleaning guidelines</w:t>
        </w:r>
      </w:hyperlink>
      <w:r w:rsidRPr="00846769">
        <w:t xml:space="preserve"> and </w:t>
      </w:r>
      <w:hyperlink r:id="rId122" w:history="1">
        <w:r w:rsidRPr="00846769">
          <w:rPr>
            <w:rStyle w:val="Hyperlink"/>
          </w:rPr>
          <w:t>International Maritime Organization (IMO) biofouling guidelines</w:t>
        </w:r>
      </w:hyperlink>
      <w:r w:rsidRPr="00846769">
        <w:rPr>
          <w:rFonts w:cstheme="minorHAnsi"/>
        </w:rPr>
        <w:t xml:space="preserve">. Divers can inspect interior spaces and crevices, such as sea chests, water intakes, or outlets using endoscopes. </w:t>
      </w:r>
      <w:r w:rsidRPr="00846769">
        <w:t>Moist areas such as anchor wells will also require inspection for bivalves.</w:t>
      </w:r>
    </w:p>
    <w:p w14:paraId="693723E1" w14:textId="767DCA64" w:rsidR="006939E1" w:rsidRPr="00846769" w:rsidRDefault="00B5740F" w:rsidP="00BF317B">
      <w:pPr>
        <w:pStyle w:val="ListBullet"/>
        <w:numPr>
          <w:ilvl w:val="0"/>
          <w:numId w:val="0"/>
        </w:numPr>
        <w:ind w:left="426" w:hanging="426"/>
        <w:rPr>
          <w:rFonts w:cstheme="minorHAnsi"/>
        </w:rPr>
      </w:pPr>
      <w:r w:rsidRPr="00846769">
        <w:rPr>
          <w:rFonts w:cstheme="minorHAnsi"/>
        </w:rPr>
        <w:t xml:space="preserve">Critical inspection areas for vessels less than </w:t>
      </w:r>
      <w:r w:rsidR="008F4759" w:rsidRPr="00846769">
        <w:rPr>
          <w:rFonts w:cstheme="minorHAnsi"/>
        </w:rPr>
        <w:t>&lt;</w:t>
      </w:r>
      <w:r w:rsidRPr="00846769">
        <w:rPr>
          <w:rFonts w:cstheme="minorHAnsi"/>
        </w:rPr>
        <w:t>25 metres long (</w:t>
      </w:r>
      <w:r w:rsidR="006C33DE" w:rsidRPr="00846769">
        <w:rPr>
          <w:rFonts w:cstheme="minorHAnsi"/>
          <w:highlight w:val="yellow"/>
        </w:rPr>
        <w:fldChar w:fldCharType="begin"/>
      </w:r>
      <w:r w:rsidR="006C33DE" w:rsidRPr="00846769">
        <w:rPr>
          <w:rFonts w:cstheme="minorHAnsi"/>
        </w:rPr>
        <w:instrText xml:space="preserve"> REF _Ref171815644 \h </w:instrText>
      </w:r>
      <w:r w:rsidR="006C33DE" w:rsidRPr="00846769">
        <w:rPr>
          <w:rFonts w:cstheme="minorHAnsi"/>
          <w:highlight w:val="yellow"/>
        </w:rPr>
      </w:r>
      <w:r w:rsidR="006C33DE" w:rsidRPr="00846769">
        <w:rPr>
          <w:rFonts w:cstheme="minorHAnsi"/>
          <w:highlight w:val="yellow"/>
        </w:rPr>
        <w:fldChar w:fldCharType="separate"/>
      </w:r>
      <w:r w:rsidR="006C33DE" w:rsidRPr="00846769">
        <w:t>Figure 5</w:t>
      </w:r>
      <w:r w:rsidR="006C33DE" w:rsidRPr="00846769">
        <w:rPr>
          <w:rFonts w:cstheme="minorHAnsi"/>
          <w:highlight w:val="yellow"/>
        </w:rPr>
        <w:fldChar w:fldCharType="end"/>
      </w:r>
      <w:r w:rsidRPr="00846769">
        <w:rPr>
          <w:rFonts w:cstheme="minorHAnsi"/>
        </w:rPr>
        <w:t>) include:</w:t>
      </w:r>
    </w:p>
    <w:p w14:paraId="036853F8" w14:textId="660FF16E" w:rsidR="006939E1" w:rsidRPr="00846769" w:rsidRDefault="00B5740F" w:rsidP="00BF317B">
      <w:pPr>
        <w:pStyle w:val="ListBullet"/>
      </w:pPr>
      <w:r w:rsidRPr="00846769">
        <w:t>rudder, rudder stock</w:t>
      </w:r>
      <w:r w:rsidR="00561609" w:rsidRPr="00846769">
        <w:t>,</w:t>
      </w:r>
      <w:r w:rsidRPr="00846769">
        <w:t xml:space="preserve"> and post</w:t>
      </w:r>
    </w:p>
    <w:p w14:paraId="546A13C7" w14:textId="16CD3565" w:rsidR="006939E1" w:rsidRPr="00846769" w:rsidRDefault="00B5740F" w:rsidP="00BF317B">
      <w:pPr>
        <w:pStyle w:val="ListBullet"/>
      </w:pPr>
      <w:r w:rsidRPr="00846769">
        <w:t>propellers, shaft, bosses</w:t>
      </w:r>
      <w:r w:rsidR="00561609" w:rsidRPr="00846769">
        <w:t>,</w:t>
      </w:r>
      <w:r w:rsidRPr="00846769">
        <w:t xml:space="preserve"> and skeg</w:t>
      </w:r>
    </w:p>
    <w:p w14:paraId="0485AC76" w14:textId="6F423EB1" w:rsidR="006939E1" w:rsidRPr="00846769" w:rsidRDefault="00B5740F" w:rsidP="00BF317B">
      <w:pPr>
        <w:pStyle w:val="ListBullet"/>
      </w:pPr>
      <w:r w:rsidRPr="00846769">
        <w:t>seawater inlets and outlet</w:t>
      </w:r>
      <w:r w:rsidR="00FF4ABD" w:rsidRPr="00846769">
        <w:t>s</w:t>
      </w:r>
    </w:p>
    <w:p w14:paraId="1735E550" w14:textId="106CFC56" w:rsidR="006939E1" w:rsidRPr="00846769" w:rsidRDefault="00B5740F" w:rsidP="00BF317B">
      <w:pPr>
        <w:pStyle w:val="ListBullet"/>
      </w:pPr>
      <w:r w:rsidRPr="00846769">
        <w:t>stern frame, stern seal</w:t>
      </w:r>
      <w:r w:rsidR="00561609" w:rsidRPr="00846769">
        <w:t>,</w:t>
      </w:r>
      <w:r w:rsidRPr="00846769">
        <w:t xml:space="preserve"> and rope guard</w:t>
      </w:r>
    </w:p>
    <w:p w14:paraId="09AAFB9E" w14:textId="77777777" w:rsidR="006939E1" w:rsidRPr="00846769" w:rsidRDefault="00B5740F" w:rsidP="00BF317B">
      <w:pPr>
        <w:pStyle w:val="ListBullet"/>
      </w:pPr>
      <w:r w:rsidRPr="00846769">
        <w:t>sacrificial anode and earthing plate</w:t>
      </w:r>
    </w:p>
    <w:p w14:paraId="7F838FCC" w14:textId="77777777" w:rsidR="006939E1" w:rsidRPr="00846769" w:rsidRDefault="00B5740F" w:rsidP="00BF317B">
      <w:pPr>
        <w:pStyle w:val="ListBullet"/>
      </w:pPr>
      <w:r w:rsidRPr="00846769">
        <w:t>rope storage areas and anchor chain lockers</w:t>
      </w:r>
    </w:p>
    <w:p w14:paraId="7530762C" w14:textId="3AE19862" w:rsidR="006939E1" w:rsidRPr="00846769" w:rsidRDefault="00B5740F" w:rsidP="00BF317B">
      <w:pPr>
        <w:pStyle w:val="ListBullet"/>
      </w:pPr>
      <w:r w:rsidRPr="00846769">
        <w:t>ropes, chains</w:t>
      </w:r>
      <w:r w:rsidR="00AF41BC" w:rsidRPr="00846769">
        <w:t>,</w:t>
      </w:r>
      <w:r w:rsidRPr="00846769">
        <w:t xml:space="preserve"> or fenders that are in water or have been </w:t>
      </w:r>
      <w:r w:rsidR="00561609" w:rsidRPr="00846769">
        <w:t>recently used</w:t>
      </w:r>
    </w:p>
    <w:p w14:paraId="5F3279EE" w14:textId="77777777" w:rsidR="006939E1" w:rsidRPr="00846769" w:rsidRDefault="00B5740F" w:rsidP="00BF317B">
      <w:pPr>
        <w:pStyle w:val="ListBullet"/>
      </w:pPr>
      <w:r w:rsidRPr="00846769">
        <w:t>keel and keel bottom</w:t>
      </w:r>
    </w:p>
    <w:p w14:paraId="2966FD05" w14:textId="77777777" w:rsidR="0092166C" w:rsidRPr="00846769" w:rsidRDefault="00B5740F" w:rsidP="00BF317B">
      <w:pPr>
        <w:pStyle w:val="ListBullet"/>
      </w:pPr>
      <w:r w:rsidRPr="00846769">
        <w:t>sounder and speed log fairings</w:t>
      </w:r>
    </w:p>
    <w:p w14:paraId="2E7C9AB8" w14:textId="3724EE67" w:rsidR="006939E1" w:rsidRPr="00846769" w:rsidRDefault="0092166C" w:rsidP="00BF317B">
      <w:pPr>
        <w:pStyle w:val="ListBullet"/>
      </w:pPr>
      <w:r w:rsidRPr="00846769">
        <w:t xml:space="preserve">live </w:t>
      </w:r>
      <w:r w:rsidR="006B5DEA" w:rsidRPr="00846769">
        <w:t xml:space="preserve">bait </w:t>
      </w:r>
      <w:r w:rsidRPr="00846769">
        <w:t>wells</w:t>
      </w:r>
      <w:r w:rsidR="006B5DEA" w:rsidRPr="00846769">
        <w:t xml:space="preserve">, </w:t>
      </w:r>
      <w:r w:rsidRPr="00846769">
        <w:t>live tanks</w:t>
      </w:r>
      <w:r w:rsidR="006B5DEA" w:rsidRPr="00846769">
        <w:t>, and deck basins</w:t>
      </w:r>
      <w:r w:rsidRPr="00846769">
        <w:t xml:space="preserve">. </w:t>
      </w:r>
    </w:p>
    <w:p w14:paraId="7D4856F6" w14:textId="77777777" w:rsidR="006939E1" w:rsidRPr="00846769" w:rsidRDefault="006939E1" w:rsidP="00BF317B">
      <w:pPr>
        <w:pStyle w:val="ListBullet"/>
        <w:numPr>
          <w:ilvl w:val="0"/>
          <w:numId w:val="0"/>
        </w:numPr>
        <w:ind w:left="426" w:hanging="426"/>
        <w:rPr>
          <w:rFonts w:cstheme="minorHAnsi"/>
        </w:rPr>
      </w:pPr>
    </w:p>
    <w:p w14:paraId="5B3D1E91" w14:textId="77777777" w:rsidR="006939E1" w:rsidRPr="00846769" w:rsidRDefault="006939E1" w:rsidP="00BF317B">
      <w:pPr>
        <w:pStyle w:val="ListBullet"/>
        <w:numPr>
          <w:ilvl w:val="0"/>
          <w:numId w:val="0"/>
        </w:numPr>
        <w:ind w:left="426" w:hanging="426"/>
        <w:rPr>
          <w:rFonts w:cstheme="minorHAnsi"/>
        </w:rPr>
      </w:pPr>
    </w:p>
    <w:p w14:paraId="26601DFB" w14:textId="3227F5FB" w:rsidR="006C33DE" w:rsidRPr="00846769" w:rsidRDefault="006C33DE" w:rsidP="006C33DE">
      <w:pPr>
        <w:pStyle w:val="Caption"/>
      </w:pPr>
      <w:bookmarkStart w:id="372" w:name="_Ref171815644"/>
      <w:bookmarkStart w:id="373" w:name="_Toc191999518"/>
      <w:r w:rsidRPr="00846769">
        <w:lastRenderedPageBreak/>
        <w:t xml:space="preserve">Figure </w:t>
      </w:r>
      <w:r w:rsidR="00C53006" w:rsidRPr="00846769">
        <w:rPr>
          <w:b w:val="0"/>
          <w:bCs w:val="0"/>
        </w:rPr>
        <w:fldChar w:fldCharType="begin"/>
      </w:r>
      <w:r w:rsidR="00C53006" w:rsidRPr="00846769">
        <w:instrText xml:space="preserve"> SEQ Figure \* ARABIC </w:instrText>
      </w:r>
      <w:r w:rsidR="00C53006" w:rsidRPr="00846769">
        <w:rPr>
          <w:b w:val="0"/>
          <w:bCs w:val="0"/>
        </w:rPr>
        <w:fldChar w:fldCharType="separate"/>
      </w:r>
      <w:r w:rsidR="00192097" w:rsidRPr="00846769">
        <w:t>5</w:t>
      </w:r>
      <w:r w:rsidR="00C53006" w:rsidRPr="00846769">
        <w:rPr>
          <w:b w:val="0"/>
          <w:bCs w:val="0"/>
        </w:rPr>
        <w:fldChar w:fldCharType="end"/>
      </w:r>
      <w:bookmarkEnd w:id="372"/>
      <w:r w:rsidRPr="00846769">
        <w:t xml:space="preserve"> </w:t>
      </w:r>
      <w:r w:rsidR="001548FB">
        <w:t>Schematic diagram showing the h</w:t>
      </w:r>
      <w:r w:rsidRPr="00846769">
        <w:t xml:space="preserve">igh-risk niche areas for inspection of biofouling on </w:t>
      </w:r>
      <w:r w:rsidR="001548FB">
        <w:t xml:space="preserve">small </w:t>
      </w:r>
      <w:r w:rsidRPr="00846769">
        <w:t>vessels &lt;25 metres</w:t>
      </w:r>
      <w:r w:rsidR="001548FB">
        <w:t>. Vessel and its components are not to scale</w:t>
      </w:r>
      <w:bookmarkEnd w:id="373"/>
    </w:p>
    <w:p w14:paraId="219480F2" w14:textId="0CC84485" w:rsidR="00AF41BC" w:rsidRPr="00846769" w:rsidRDefault="00AF41BC" w:rsidP="00AF41BC">
      <w:pPr>
        <w:pStyle w:val="Caption"/>
        <w:rPr>
          <w:highlight w:val="yellow"/>
        </w:rPr>
      </w:pPr>
      <w:r w:rsidRPr="00846769">
        <w:rPr>
          <w:noProof/>
          <w:lang w:eastAsia="en-AU"/>
        </w:rPr>
        <w:drawing>
          <wp:inline distT="0" distB="0" distL="0" distR="0" wp14:anchorId="79F9611A" wp14:editId="1364D6B2">
            <wp:extent cx="5731510" cy="3198700"/>
            <wp:effectExtent l="0" t="0" r="2540" b="1905"/>
            <wp:docPr id="5" name="Picture 5" descr="A coloured diagram of a boat &lt;25 m in length. Labels indicate areas on the boat that are most at risk of biofouling.  Underwater areas are marked: anchor well and anchor, grills/grates and crevices, hull surface, bilge tanks, keel and keel bottom, propeller shaft, outboard, propeller, and ru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oured diagram of a boat &lt;25 m in length. Labels indicate areas on the boat that are most at risk of biofouling.  Underwater areas are marked: anchor well and anchor, grills/grates and crevices, hull surface, bilge tanks, keel and keel bottom, propeller shaft, outboard, propeller, and rudder."/>
                    <pic:cNvPicPr>
                      <a:picLocks noChangeAspect="1" noChangeArrowheads="1"/>
                    </pic:cNvPicPr>
                  </pic:nvPicPr>
                  <pic:blipFill>
                    <a:blip r:embed="rId123" cstate="email">
                      <a:extLst>
                        <a:ext uri="{28A0092B-C50C-407E-A947-70E740481C1C}">
                          <a14:useLocalDpi xmlns:a14="http://schemas.microsoft.com/office/drawing/2010/main" val="0"/>
                        </a:ext>
                      </a:extLst>
                    </a:blip>
                    <a:stretch>
                      <a:fillRect/>
                    </a:stretch>
                  </pic:blipFill>
                  <pic:spPr bwMode="auto">
                    <a:xfrm>
                      <a:off x="0" y="0"/>
                      <a:ext cx="5731510" cy="3198700"/>
                    </a:xfrm>
                    <a:prstGeom prst="rect">
                      <a:avLst/>
                    </a:prstGeom>
                    <a:noFill/>
                    <a:ln>
                      <a:noFill/>
                    </a:ln>
                    <a:extLst>
                      <a:ext uri="{53640926-AAD7-44D8-BBD7-CCE9431645EC}">
                        <a14:shadowObscured xmlns:a14="http://schemas.microsoft.com/office/drawing/2010/main"/>
                      </a:ext>
                    </a:extLst>
                  </pic:spPr>
                </pic:pic>
              </a:graphicData>
            </a:graphic>
          </wp:inline>
        </w:drawing>
      </w:r>
    </w:p>
    <w:p w14:paraId="5F71C774" w14:textId="1179E6E2" w:rsidR="006939E1" w:rsidRPr="00846769" w:rsidRDefault="00B5740F" w:rsidP="00BF317B">
      <w:pPr>
        <w:pStyle w:val="FigureTableNoteSource"/>
      </w:pPr>
      <w:r w:rsidRPr="00846769">
        <w:t>Source</w:t>
      </w:r>
      <w:r w:rsidRPr="00A841CD">
        <w:t>:</w:t>
      </w:r>
      <w:r w:rsidR="00086C43" w:rsidRPr="00A841CD">
        <w:t xml:space="preserve"> </w:t>
      </w:r>
      <w:proofErr w:type="spellStart"/>
      <w:r w:rsidR="00AF41BC" w:rsidRPr="00A841CD">
        <w:t>Floerl</w:t>
      </w:r>
      <w:proofErr w:type="spellEnd"/>
      <w:r w:rsidR="00AF41BC" w:rsidRPr="00A841CD">
        <w:t xml:space="preserve"> (2004)</w:t>
      </w:r>
    </w:p>
    <w:p w14:paraId="2AFD85DB" w14:textId="1775DD2F" w:rsidR="006939E1" w:rsidRPr="00846769" w:rsidRDefault="00B5740F" w:rsidP="00BF317B">
      <w:pPr>
        <w:rPr>
          <w:rFonts w:cstheme="minorHAnsi"/>
        </w:rPr>
      </w:pPr>
      <w:r w:rsidRPr="00846769">
        <w:rPr>
          <w:rFonts w:cstheme="minorHAnsi"/>
        </w:rPr>
        <w:t xml:space="preserve">Critical </w:t>
      </w:r>
      <w:r w:rsidR="00AF41BC" w:rsidRPr="00846769">
        <w:rPr>
          <w:rFonts w:cstheme="minorHAnsi"/>
        </w:rPr>
        <w:t xml:space="preserve">inspection </w:t>
      </w:r>
      <w:r w:rsidRPr="00846769">
        <w:rPr>
          <w:rFonts w:cstheme="minorHAnsi"/>
        </w:rPr>
        <w:t xml:space="preserve">areas are similar for vessels longer than </w:t>
      </w:r>
      <w:r w:rsidR="008F4759" w:rsidRPr="00846769">
        <w:rPr>
          <w:rFonts w:cstheme="minorHAnsi"/>
        </w:rPr>
        <w:t>&gt;</w:t>
      </w:r>
      <w:r w:rsidRPr="00846769">
        <w:rPr>
          <w:rFonts w:cstheme="minorHAnsi"/>
        </w:rPr>
        <w:t>25 metres (</w:t>
      </w:r>
      <w:r w:rsidR="006C33DE" w:rsidRPr="00846769">
        <w:rPr>
          <w:rFonts w:cstheme="minorHAnsi"/>
          <w:highlight w:val="yellow"/>
        </w:rPr>
        <w:fldChar w:fldCharType="begin"/>
      </w:r>
      <w:r w:rsidR="006C33DE" w:rsidRPr="00846769">
        <w:rPr>
          <w:rFonts w:cstheme="minorHAnsi"/>
        </w:rPr>
        <w:instrText xml:space="preserve"> REF _Ref171815690 \h </w:instrText>
      </w:r>
      <w:r w:rsidR="006C33DE" w:rsidRPr="00846769">
        <w:rPr>
          <w:rFonts w:cstheme="minorHAnsi"/>
          <w:highlight w:val="yellow"/>
        </w:rPr>
      </w:r>
      <w:r w:rsidR="006C33DE" w:rsidRPr="00846769">
        <w:rPr>
          <w:rFonts w:cstheme="minorHAnsi"/>
          <w:highlight w:val="yellow"/>
        </w:rPr>
        <w:fldChar w:fldCharType="separate"/>
      </w:r>
      <w:r w:rsidR="006C33DE" w:rsidRPr="00846769">
        <w:t>Figure 6</w:t>
      </w:r>
      <w:r w:rsidR="006C33DE" w:rsidRPr="00846769">
        <w:rPr>
          <w:rFonts w:cstheme="minorHAnsi"/>
          <w:highlight w:val="yellow"/>
        </w:rPr>
        <w:fldChar w:fldCharType="end"/>
      </w:r>
      <w:r w:rsidRPr="00846769">
        <w:rPr>
          <w:rFonts w:cstheme="minorHAnsi"/>
        </w:rPr>
        <w:t xml:space="preserve">), </w:t>
      </w:r>
      <w:r w:rsidR="008F4759" w:rsidRPr="00846769">
        <w:rPr>
          <w:rFonts w:cstheme="minorHAnsi"/>
        </w:rPr>
        <w:t xml:space="preserve">but include </w:t>
      </w:r>
      <w:r w:rsidR="00AF41BC" w:rsidRPr="00846769">
        <w:rPr>
          <w:rFonts w:cstheme="minorHAnsi"/>
        </w:rPr>
        <w:t xml:space="preserve">additional </w:t>
      </w:r>
      <w:r w:rsidR="008F4759" w:rsidRPr="00846769">
        <w:rPr>
          <w:rFonts w:cstheme="minorHAnsi"/>
        </w:rPr>
        <w:t xml:space="preserve">high-risk niche </w:t>
      </w:r>
      <w:r w:rsidR="00AF41BC" w:rsidRPr="00846769">
        <w:rPr>
          <w:rFonts w:cstheme="minorHAnsi"/>
        </w:rPr>
        <w:t>areas</w:t>
      </w:r>
      <w:r w:rsidR="008F4759" w:rsidRPr="00846769">
        <w:rPr>
          <w:rFonts w:cstheme="minorHAnsi"/>
        </w:rPr>
        <w:t xml:space="preserve"> such as</w:t>
      </w:r>
      <w:r w:rsidR="00AF41BC" w:rsidRPr="00846769">
        <w:rPr>
          <w:rFonts w:cstheme="minorHAnsi"/>
        </w:rPr>
        <w:t>:</w:t>
      </w:r>
    </w:p>
    <w:p w14:paraId="5B04FECB" w14:textId="3CC5F541" w:rsidR="006939E1" w:rsidRPr="00846769" w:rsidRDefault="00B5740F" w:rsidP="00BF317B">
      <w:pPr>
        <w:pStyle w:val="ListBullet"/>
      </w:pPr>
      <w:r w:rsidRPr="00846769">
        <w:t>sea chests and gratings</w:t>
      </w:r>
    </w:p>
    <w:p w14:paraId="4EA20104" w14:textId="1EA57778" w:rsidR="001548FB" w:rsidRDefault="00B5740F" w:rsidP="006966B1">
      <w:pPr>
        <w:pStyle w:val="ListBullet"/>
      </w:pPr>
      <w:r w:rsidRPr="00846769">
        <w:t xml:space="preserve">ballast tanks </w:t>
      </w:r>
    </w:p>
    <w:p w14:paraId="3F8638CA" w14:textId="5B79C544" w:rsidR="006A63DA" w:rsidRPr="00846769" w:rsidRDefault="006A63DA" w:rsidP="006966B1">
      <w:pPr>
        <w:pStyle w:val="ListBullet"/>
      </w:pPr>
      <w:r w:rsidRPr="005269E7">
        <w:t xml:space="preserve">internal </w:t>
      </w:r>
      <w:r w:rsidRPr="00846769">
        <w:t xml:space="preserve">seawater </w:t>
      </w:r>
      <w:r w:rsidRPr="005269E7">
        <w:t>systems</w:t>
      </w:r>
    </w:p>
    <w:p w14:paraId="11FD4377" w14:textId="2BE07B7E" w:rsidR="006939E1" w:rsidRPr="00846769" w:rsidRDefault="00B5740F" w:rsidP="006966B1">
      <w:pPr>
        <w:pStyle w:val="ListBullet"/>
      </w:pPr>
      <w:r w:rsidRPr="00846769">
        <w:t>dry</w:t>
      </w:r>
      <w:r w:rsidR="001B4201" w:rsidRPr="00846769">
        <w:t>-</w:t>
      </w:r>
      <w:r w:rsidRPr="00846769">
        <w:t>docking support strips (DDSS)</w:t>
      </w:r>
    </w:p>
    <w:p w14:paraId="3C11E015" w14:textId="77777777" w:rsidR="006939E1" w:rsidRPr="00846769" w:rsidRDefault="00B5740F" w:rsidP="00BF317B">
      <w:pPr>
        <w:pStyle w:val="ListBullet"/>
      </w:pPr>
      <w:r w:rsidRPr="00846769">
        <w:t>sonar tubes</w:t>
      </w:r>
    </w:p>
    <w:p w14:paraId="14CE53C8" w14:textId="12526DB8" w:rsidR="006939E1" w:rsidRPr="00846769" w:rsidRDefault="00B5740F" w:rsidP="00BF317B">
      <w:pPr>
        <w:pStyle w:val="ListBullet"/>
      </w:pPr>
      <w:r w:rsidRPr="00846769">
        <w:t xml:space="preserve">bow </w:t>
      </w:r>
      <w:r w:rsidR="00AF41BC" w:rsidRPr="00846769">
        <w:t xml:space="preserve">and stern </w:t>
      </w:r>
      <w:r w:rsidRPr="00846769">
        <w:t>thrusters</w:t>
      </w:r>
    </w:p>
    <w:p w14:paraId="4A70E471" w14:textId="77777777" w:rsidR="006939E1" w:rsidRDefault="00B5740F" w:rsidP="00BF317B">
      <w:pPr>
        <w:pStyle w:val="ListBullet"/>
      </w:pPr>
      <w:r w:rsidRPr="00846769">
        <w:t>keel and bilge keels</w:t>
      </w:r>
    </w:p>
    <w:p w14:paraId="44289D04" w14:textId="56E2C2D2" w:rsidR="001548FB" w:rsidRPr="00846769" w:rsidRDefault="001548FB" w:rsidP="00BF317B">
      <w:pPr>
        <w:pStyle w:val="ListBullet"/>
      </w:pPr>
      <w:r>
        <w:t>anchor chain lockers</w:t>
      </w:r>
    </w:p>
    <w:p w14:paraId="67F89326" w14:textId="117EFB61" w:rsidR="006939E1" w:rsidRPr="00846769" w:rsidRDefault="006A63DA" w:rsidP="00BF317B">
      <w:pPr>
        <w:pStyle w:val="ListBullet"/>
      </w:pPr>
      <w:r>
        <w:t xml:space="preserve">other niches </w:t>
      </w:r>
      <w:r w:rsidR="00B5740F" w:rsidRPr="00846769">
        <w:t xml:space="preserve">and cavities in the </w:t>
      </w:r>
      <w:r w:rsidR="00160093">
        <w:t>vessel</w:t>
      </w:r>
      <w:r w:rsidR="00160093" w:rsidRPr="00846769">
        <w:t xml:space="preserve">’s </w:t>
      </w:r>
      <w:r w:rsidR="00B5740F" w:rsidRPr="00846769">
        <w:t>wet water side.</w:t>
      </w:r>
    </w:p>
    <w:p w14:paraId="436242F2" w14:textId="77777777" w:rsidR="008F4759" w:rsidRPr="00846769" w:rsidRDefault="008F4759" w:rsidP="008F4759">
      <w:pPr>
        <w:pStyle w:val="ListBullet"/>
        <w:numPr>
          <w:ilvl w:val="0"/>
          <w:numId w:val="0"/>
        </w:numPr>
        <w:ind w:left="426"/>
      </w:pPr>
    </w:p>
    <w:p w14:paraId="0007637D" w14:textId="4F7E7142" w:rsidR="006C33DE" w:rsidRPr="00846769" w:rsidRDefault="006C33DE" w:rsidP="006C33DE">
      <w:pPr>
        <w:pStyle w:val="Caption"/>
      </w:pPr>
      <w:bookmarkStart w:id="374" w:name="_Ref171815690"/>
      <w:bookmarkStart w:id="375" w:name="_Toc191999519"/>
      <w:r w:rsidRPr="00846769">
        <w:lastRenderedPageBreak/>
        <w:t xml:space="preserve">Figure </w:t>
      </w:r>
      <w:r w:rsidR="00C53006" w:rsidRPr="00846769">
        <w:fldChar w:fldCharType="begin"/>
      </w:r>
      <w:r w:rsidR="00C53006" w:rsidRPr="00846769">
        <w:instrText xml:space="preserve"> SEQ Figure \* ARABIC </w:instrText>
      </w:r>
      <w:r w:rsidR="00C53006" w:rsidRPr="00846769">
        <w:fldChar w:fldCharType="separate"/>
      </w:r>
      <w:r w:rsidR="00192097" w:rsidRPr="00846769">
        <w:t>6</w:t>
      </w:r>
      <w:r w:rsidR="00C53006" w:rsidRPr="00846769">
        <w:fldChar w:fldCharType="end"/>
      </w:r>
      <w:bookmarkEnd w:id="374"/>
      <w:r w:rsidRPr="00846769">
        <w:t xml:space="preserve"> Schematic diagram showing the high-risk niche areas for inspection of biofouling on</w:t>
      </w:r>
      <w:r w:rsidR="001548FB">
        <w:t xml:space="preserve"> large</w:t>
      </w:r>
      <w:r w:rsidRPr="00846769">
        <w:t xml:space="preserve"> vessels &gt;25 metres. Vessel and its components are not to scale</w:t>
      </w:r>
      <w:bookmarkEnd w:id="375"/>
    </w:p>
    <w:p w14:paraId="50B9865F" w14:textId="2BAF235E" w:rsidR="008B0DB5" w:rsidRPr="00846769" w:rsidRDefault="008F4759" w:rsidP="00BF317B">
      <w:pPr>
        <w:rPr>
          <w:rFonts w:cstheme="minorHAnsi"/>
        </w:rPr>
      </w:pPr>
      <w:r w:rsidRPr="00846769">
        <w:rPr>
          <w:rFonts w:cstheme="minorHAnsi"/>
          <w:noProof/>
        </w:rPr>
        <w:drawing>
          <wp:inline distT="0" distB="0" distL="0" distR="0" wp14:anchorId="57317CF1" wp14:editId="0F282D77">
            <wp:extent cx="5731510" cy="2489835"/>
            <wp:effectExtent l="0" t="0" r="2540" b="5715"/>
            <wp:docPr id="1105813775" name="Picture 1" descr="A coloured diagram of a ship &gt;25 m in length. Labels indicate areas on the ship that are most at risk of biofouling. Biofouling points of interest for vessels greater than 25 m. Underwater areas are marked: bulbous bow, bow thruster, dry-dock support strips, sea chests &amp; gratings, anodes, propellor, shaft and stern tube. Above water areas marked: anchor, and anchor chains and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13775" name="Picture 1" descr="A coloured diagram of a ship &gt;25 m in length. Labels indicate areas on the ship that are most at risk of biofouling. Biofouling points of interest for vessels greater than 25 m. Underwater areas are marked: bulbous bow, bow thruster, dry-dock support strips, sea chests &amp; gratings, anodes, propellor, shaft and stern tube. Above water areas marked: anchor, and anchor chains and wells."/>
                    <pic:cNvPicPr/>
                  </pic:nvPicPr>
                  <pic:blipFill rotWithShape="1">
                    <a:blip r:embed="rId124" cstate="email">
                      <a:extLst>
                        <a:ext uri="{28A0092B-C50C-407E-A947-70E740481C1C}">
                          <a14:useLocalDpi xmlns:a14="http://schemas.microsoft.com/office/drawing/2010/main" val="0"/>
                        </a:ext>
                      </a:extLst>
                    </a:blip>
                    <a:srcRect/>
                    <a:stretch/>
                  </pic:blipFill>
                  <pic:spPr bwMode="auto">
                    <a:xfrm>
                      <a:off x="0" y="0"/>
                      <a:ext cx="5731510" cy="2489835"/>
                    </a:xfrm>
                    <a:prstGeom prst="rect">
                      <a:avLst/>
                    </a:prstGeom>
                    <a:ln>
                      <a:noFill/>
                    </a:ln>
                    <a:extLst>
                      <a:ext uri="{53640926-AAD7-44D8-BBD7-CCE9431645EC}">
                        <a14:shadowObscured xmlns:a14="http://schemas.microsoft.com/office/drawing/2010/main"/>
                      </a:ext>
                    </a:extLst>
                  </pic:spPr>
                </pic:pic>
              </a:graphicData>
            </a:graphic>
          </wp:inline>
        </w:drawing>
      </w:r>
    </w:p>
    <w:p w14:paraId="1A3EC2DF" w14:textId="577FA78C" w:rsidR="006939E1" w:rsidRPr="00846769" w:rsidRDefault="00B5740F" w:rsidP="00BF317B">
      <w:pPr>
        <w:pStyle w:val="FigureTableNoteSource"/>
        <w:rPr>
          <w:szCs w:val="18"/>
        </w:rPr>
      </w:pPr>
      <w:r w:rsidRPr="00846769">
        <w:t xml:space="preserve">Source: </w:t>
      </w:r>
      <w:r w:rsidR="008B0DB5" w:rsidRPr="00846769">
        <w:rPr>
          <w:szCs w:val="18"/>
        </w:rPr>
        <w:t>Ren</w:t>
      </w:r>
      <w:r w:rsidR="008B0DB5" w:rsidRPr="00846769">
        <w:rPr>
          <w:rFonts w:cstheme="minorHAnsi"/>
          <w:szCs w:val="18"/>
        </w:rPr>
        <w:t>é</w:t>
      </w:r>
      <w:r w:rsidR="008B0DB5" w:rsidRPr="00846769">
        <w:rPr>
          <w:szCs w:val="18"/>
        </w:rPr>
        <w:t xml:space="preserve"> Campbell – Department of Agriculture, Fisheries and Forestry</w:t>
      </w:r>
      <w:r w:rsidR="002C4901" w:rsidRPr="00846769">
        <w:rPr>
          <w:szCs w:val="18"/>
        </w:rPr>
        <w:t xml:space="preserve"> (DAFF)</w:t>
      </w:r>
    </w:p>
    <w:p w14:paraId="315E5715" w14:textId="082BCA33" w:rsidR="008F4759" w:rsidRPr="00846769" w:rsidRDefault="003707E0" w:rsidP="008F4759">
      <w:pPr>
        <w:pStyle w:val="Heading4"/>
        <w:numPr>
          <w:ilvl w:val="2"/>
          <w:numId w:val="4"/>
        </w:numPr>
      </w:pPr>
      <w:bookmarkStart w:id="376" w:name="_Inspection_of_submerged"/>
      <w:bookmarkEnd w:id="376"/>
      <w:r w:rsidRPr="00846769">
        <w:t xml:space="preserve">Inspection of </w:t>
      </w:r>
      <w:r w:rsidR="00015D0A">
        <w:t>marine infrastructure</w:t>
      </w:r>
      <w:r w:rsidRPr="00846769">
        <w:t xml:space="preserve"> and </w:t>
      </w:r>
      <w:r w:rsidR="00423525" w:rsidRPr="00846769">
        <w:t>habitat</w:t>
      </w:r>
    </w:p>
    <w:p w14:paraId="2EC3F4FA" w14:textId="56AA4568" w:rsidR="00015D0A" w:rsidRPr="00846769" w:rsidRDefault="00015D0A" w:rsidP="008F4759">
      <w:r w:rsidRPr="00846769">
        <w:t xml:space="preserve">Surveillance for invasive marine bivalves should be included in response measures for artificial and natural </w:t>
      </w:r>
      <w:r>
        <w:t xml:space="preserve">marine </w:t>
      </w:r>
      <w:r w:rsidRPr="00846769">
        <w:t>structures (permanent, semi-permanent, and temporary) and habitats in the receiving environment as they are at risk of being colonised by invasive bivalves. For example, the infrastructure that supports vessel operations (</w:t>
      </w:r>
      <w:r w:rsidR="0004422F">
        <w:t>e.g.</w:t>
      </w:r>
      <w:r w:rsidRPr="00846769">
        <w:t xml:space="preserve"> boat harbours, marinas, slipways, recreational boating mooring areas, and fishing ports/bases) provides hotspots for the introduction and spread of marine pests from both international and domestic vessels (</w:t>
      </w:r>
      <w:r w:rsidRPr="00DD01E4">
        <w:t>MPSC 2021). The environmental conditions and artificial nature of these facilities make them highly suitable for marine pests to establish new populations once they are introduced (MPSC 2021).</w:t>
      </w:r>
      <w:r w:rsidRPr="00846769">
        <w:t xml:space="preserve"> See</w:t>
      </w:r>
      <w:r w:rsidRPr="00846769">
        <w:rPr>
          <w:u w:color="0070C0"/>
        </w:rPr>
        <w:t xml:space="preserve"> </w:t>
      </w:r>
      <w:hyperlink w:anchor="_Management_of_submerged" w:history="1">
        <w:r w:rsidRPr="00846769">
          <w:rPr>
            <w:rStyle w:val="Hyperlink"/>
          </w:rPr>
          <w:t>Section 3.3.4</w:t>
        </w:r>
      </w:hyperlink>
      <w:r w:rsidRPr="00846769">
        <w:t xml:space="preserve"> for management of </w:t>
      </w:r>
      <w:r>
        <w:t>marine infrastructure</w:t>
      </w:r>
      <w:r w:rsidRPr="00846769">
        <w:t xml:space="preserve"> and habitats in the receiving environment.</w:t>
      </w:r>
    </w:p>
    <w:p w14:paraId="19B0AC8D" w14:textId="52573E63" w:rsidR="009967A2" w:rsidRPr="00846769" w:rsidRDefault="009967A2" w:rsidP="009967A2">
      <w:pPr>
        <w:pStyle w:val="Heading3"/>
        <w:numPr>
          <w:ilvl w:val="1"/>
          <w:numId w:val="4"/>
        </w:numPr>
      </w:pPr>
      <w:bookmarkStart w:id="377" w:name="_Management_of_infested"/>
      <w:bookmarkStart w:id="378" w:name="_Toc191998664"/>
      <w:bookmarkEnd w:id="377"/>
      <w:r w:rsidRPr="00846769">
        <w:t>Management of infested vectors and marine infrastructure</w:t>
      </w:r>
      <w:bookmarkEnd w:id="378"/>
    </w:p>
    <w:p w14:paraId="1D500305" w14:textId="5966CB80" w:rsidR="009967A2" w:rsidRPr="00846769" w:rsidRDefault="009967A2" w:rsidP="009967A2">
      <w:pPr>
        <w:rPr>
          <w:rFonts w:cstheme="minorHAnsi"/>
        </w:rPr>
      </w:pPr>
      <w:r w:rsidRPr="00846769">
        <w:rPr>
          <w:rFonts w:cstheme="minorHAnsi"/>
        </w:rPr>
        <w:t xml:space="preserve">Management of infested vectors and marine infrastructure </w:t>
      </w:r>
      <w:r w:rsidR="006B5DEA" w:rsidRPr="00846769">
        <w:rPr>
          <w:rFonts w:cstheme="minorHAnsi"/>
        </w:rPr>
        <w:t>from</w:t>
      </w:r>
      <w:r w:rsidRPr="00846769">
        <w:rPr>
          <w:rFonts w:cstheme="minorHAnsi"/>
        </w:rPr>
        <w:t xml:space="preserve"> an invasive marine bivalve will be different depending on the type of area where an infestation occurred, and the pest species in question. </w:t>
      </w:r>
      <w:r w:rsidR="00FD7285" w:rsidRPr="00846769">
        <w:rPr>
          <w:rFonts w:cstheme="minorHAnsi"/>
        </w:rPr>
        <w:t>The following section provides specific details</w:t>
      </w:r>
      <w:r w:rsidRPr="00846769">
        <w:rPr>
          <w:rFonts w:cstheme="minorHAnsi"/>
        </w:rPr>
        <w:t xml:space="preserve"> </w:t>
      </w:r>
      <w:r w:rsidR="00FD7285" w:rsidRPr="00846769">
        <w:rPr>
          <w:rFonts w:cstheme="minorHAnsi"/>
        </w:rPr>
        <w:t xml:space="preserve">on the </w:t>
      </w:r>
      <w:r w:rsidRPr="00846769">
        <w:rPr>
          <w:rFonts w:cstheme="minorHAnsi"/>
        </w:rPr>
        <w:t>following vectors:</w:t>
      </w:r>
    </w:p>
    <w:p w14:paraId="72543E86" w14:textId="6635543C" w:rsidR="006B5DEA" w:rsidRPr="00846769" w:rsidRDefault="006B5DEA" w:rsidP="006B5DEA">
      <w:pPr>
        <w:pStyle w:val="ListBullet"/>
      </w:pPr>
      <w:r w:rsidRPr="00846769">
        <w:t>vessel biofouling</w:t>
      </w:r>
      <w:r w:rsidR="00701A73" w:rsidRPr="00846769">
        <w:t xml:space="preserve"> management</w:t>
      </w:r>
    </w:p>
    <w:p w14:paraId="0FF05A4D" w14:textId="7E8DC6C9" w:rsidR="006B5DEA" w:rsidRPr="00846769" w:rsidRDefault="006B5DEA" w:rsidP="006B5DEA">
      <w:pPr>
        <w:pStyle w:val="ListBullet"/>
      </w:pPr>
      <w:r w:rsidRPr="00846769">
        <w:t>ballast water</w:t>
      </w:r>
      <w:r w:rsidR="00701A73" w:rsidRPr="00846769">
        <w:t xml:space="preserve"> management</w:t>
      </w:r>
    </w:p>
    <w:p w14:paraId="28DFC693" w14:textId="542F0DBD" w:rsidR="009967A2" w:rsidRPr="00846769" w:rsidRDefault="00701A73" w:rsidP="009967A2">
      <w:pPr>
        <w:pStyle w:val="ListBullet"/>
      </w:pPr>
      <w:r w:rsidRPr="00846769">
        <w:t xml:space="preserve">management of </w:t>
      </w:r>
      <w:r w:rsidR="009967A2" w:rsidRPr="00846769">
        <w:t>aquaculture stock and equipment</w:t>
      </w:r>
    </w:p>
    <w:p w14:paraId="2BD1CB1F" w14:textId="6857C826" w:rsidR="009967A2" w:rsidRPr="00846769" w:rsidRDefault="00701A73" w:rsidP="009967A2">
      <w:pPr>
        <w:pStyle w:val="ListBullet"/>
      </w:pPr>
      <w:r w:rsidRPr="00846769">
        <w:t xml:space="preserve">management of </w:t>
      </w:r>
      <w:r w:rsidR="00015D0A">
        <w:t>marine infrastructure</w:t>
      </w:r>
      <w:r w:rsidRPr="00846769">
        <w:t xml:space="preserve"> and habitat.</w:t>
      </w:r>
    </w:p>
    <w:p w14:paraId="6A261588" w14:textId="0F329870" w:rsidR="009967A2" w:rsidRPr="00846769" w:rsidRDefault="009967A2" w:rsidP="006C33DE">
      <w:pPr>
        <w:pStyle w:val="ListBullet"/>
        <w:numPr>
          <w:ilvl w:val="0"/>
          <w:numId w:val="0"/>
        </w:numPr>
      </w:pPr>
      <w:r w:rsidRPr="00846769">
        <w:t xml:space="preserve">A summary of treatments shown to cause </w:t>
      </w:r>
      <w:r w:rsidR="006C33DE" w:rsidRPr="00846769">
        <w:t>mortality of</w:t>
      </w:r>
      <w:r w:rsidRPr="00846769">
        <w:t xml:space="preserve"> several high</w:t>
      </w:r>
      <w:r w:rsidRPr="00846769">
        <w:noBreakHyphen/>
        <w:t xml:space="preserve">risk invasive marine bivalves is provided in </w:t>
      </w:r>
      <w:hyperlink w:anchor="_Methods_for_containment," w:history="1">
        <w:r w:rsidR="006C33DE" w:rsidRPr="00846769">
          <w:rPr>
            <w:rStyle w:val="Hyperlink"/>
          </w:rPr>
          <w:t>Section 5.3</w:t>
        </w:r>
      </w:hyperlink>
      <w:r w:rsidRPr="00846769">
        <w:t>. These results are largely based on laboratory trials of individual or clumped organisms and will need to be adapted to ensure complete mortality on more complex structures, such as ropes or nets, or in treatment of large quantities of equipment or stock.</w:t>
      </w:r>
      <w:r w:rsidR="00FD7285" w:rsidRPr="00846769">
        <w:t xml:space="preserve"> </w:t>
      </w:r>
      <w:r w:rsidRPr="00846769">
        <w:t xml:space="preserve">They may also be a useful guide for selecting appropriate efficacy trials of decontamination methods for other similar </w:t>
      </w:r>
      <w:r w:rsidRPr="00846769">
        <w:lastRenderedPageBreak/>
        <w:t>species.</w:t>
      </w:r>
      <w:r w:rsidR="001018DF" w:rsidRPr="00846769">
        <w:t xml:space="preserve"> </w:t>
      </w:r>
      <w:r w:rsidR="006C33DE" w:rsidRPr="00846769">
        <w:rPr>
          <w:rFonts w:cstheme="minorHAnsi"/>
          <w:highlight w:val="yellow"/>
        </w:rPr>
        <w:fldChar w:fldCharType="begin"/>
      </w:r>
      <w:r w:rsidR="006C33DE" w:rsidRPr="00846769">
        <w:instrText xml:space="preserve"> REF _Ref171815989 \h </w:instrText>
      </w:r>
      <w:r w:rsidR="006C33DE" w:rsidRPr="00846769">
        <w:rPr>
          <w:rFonts w:cstheme="minorHAnsi"/>
          <w:highlight w:val="yellow"/>
        </w:rPr>
      </w:r>
      <w:r w:rsidR="006C33DE" w:rsidRPr="00846769">
        <w:rPr>
          <w:rFonts w:cstheme="minorHAnsi"/>
          <w:highlight w:val="yellow"/>
        </w:rPr>
        <w:fldChar w:fldCharType="separate"/>
      </w:r>
      <w:r w:rsidR="006C33DE" w:rsidRPr="00846769">
        <w:t>Table 3</w:t>
      </w:r>
      <w:r w:rsidR="006C33DE" w:rsidRPr="00846769">
        <w:rPr>
          <w:rFonts w:cstheme="minorHAnsi"/>
          <w:highlight w:val="yellow"/>
        </w:rPr>
        <w:fldChar w:fldCharType="end"/>
      </w:r>
      <w:r w:rsidR="009561B1">
        <w:rPr>
          <w:rFonts w:cstheme="minorHAnsi"/>
        </w:rPr>
        <w:t xml:space="preserve"> below</w:t>
      </w:r>
      <w:r w:rsidR="006C33DE" w:rsidRPr="00846769">
        <w:rPr>
          <w:rFonts w:cstheme="minorHAnsi"/>
        </w:rPr>
        <w:t xml:space="preserve"> </w:t>
      </w:r>
      <w:r w:rsidR="00FD7285" w:rsidRPr="00846769">
        <w:rPr>
          <w:rFonts w:cstheme="minorHAnsi"/>
        </w:rPr>
        <w:t>summarises management recommendations for different types of vectors</w:t>
      </w:r>
      <w:r w:rsidR="001D78AA" w:rsidRPr="00846769">
        <w:rPr>
          <w:rFonts w:cstheme="minorHAnsi"/>
        </w:rPr>
        <w:t xml:space="preserve"> which may translocate invasive marine bivalves</w:t>
      </w:r>
      <w:r w:rsidR="00FD7285" w:rsidRPr="00846769">
        <w:rPr>
          <w:rFonts w:cstheme="minorHAnsi"/>
        </w:rPr>
        <w:t xml:space="preserve">. </w:t>
      </w:r>
    </w:p>
    <w:p w14:paraId="631687E5" w14:textId="1E5EEFCD" w:rsidR="006C33DE" w:rsidRPr="00846769" w:rsidRDefault="006C33DE" w:rsidP="006C33DE">
      <w:pPr>
        <w:pStyle w:val="Caption"/>
      </w:pPr>
      <w:bookmarkStart w:id="379" w:name="_Ref171815989"/>
      <w:bookmarkStart w:id="380" w:name="_Toc191999498"/>
      <w:r w:rsidRPr="00846769">
        <w:t xml:space="preserve">Table </w:t>
      </w:r>
      <w:r w:rsidR="00232FA0" w:rsidRPr="00846769">
        <w:fldChar w:fldCharType="begin"/>
      </w:r>
      <w:r w:rsidR="00232FA0" w:rsidRPr="00846769">
        <w:instrText xml:space="preserve"> SEQ Table \* ARABIC </w:instrText>
      </w:r>
      <w:r w:rsidR="00232FA0" w:rsidRPr="00846769">
        <w:fldChar w:fldCharType="separate"/>
      </w:r>
      <w:r w:rsidR="005E4F41">
        <w:rPr>
          <w:noProof/>
        </w:rPr>
        <w:t>3</w:t>
      </w:r>
      <w:r w:rsidR="00232FA0" w:rsidRPr="00846769">
        <w:fldChar w:fldCharType="end"/>
      </w:r>
      <w:bookmarkEnd w:id="379"/>
      <w:r w:rsidRPr="00846769">
        <w:t xml:space="preserve"> Management recommendations for different types of vectors which may translocate invasive marine bivalves</w:t>
      </w:r>
      <w:bookmarkEnd w:id="380"/>
    </w:p>
    <w:tbl>
      <w:tblPr>
        <w:tblStyle w:val="PlainTable2"/>
        <w:tblW w:w="9072" w:type="dxa"/>
        <w:jc w:val="right"/>
        <w:tblBorders>
          <w:top w:val="single" w:sz="4" w:space="0" w:color="auto"/>
          <w:bottom w:val="single" w:sz="4" w:space="0" w:color="auto"/>
        </w:tblBorders>
        <w:shd w:val="clear" w:color="auto" w:fill="FFFFFF" w:themeFill="background1"/>
        <w:tblLook w:val="0620" w:firstRow="1" w:lastRow="0" w:firstColumn="0" w:lastColumn="0" w:noHBand="1" w:noVBand="1"/>
      </w:tblPr>
      <w:tblGrid>
        <w:gridCol w:w="2268"/>
        <w:gridCol w:w="6804"/>
      </w:tblGrid>
      <w:tr w:rsidR="00B12C9D" w:rsidRPr="00846769" w14:paraId="404F8791" w14:textId="77777777" w:rsidTr="00B12C9D">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bottom w:val="single" w:sz="4" w:space="0" w:color="auto"/>
            </w:tcBorders>
            <w:shd w:val="clear" w:color="auto" w:fill="FFFFFF" w:themeFill="background1"/>
          </w:tcPr>
          <w:p w14:paraId="7D6E735C" w14:textId="0AA63D03" w:rsidR="00C851A7" w:rsidRPr="00846769" w:rsidRDefault="000E7F70" w:rsidP="00C851A7">
            <w:pPr>
              <w:pStyle w:val="TableHeading"/>
              <w:framePr w:hSpace="0" w:wrap="auto" w:vAnchor="margin" w:hAnchor="text" w:xAlign="left" w:yAlign="inline"/>
              <w:rPr>
                <w:bCs/>
              </w:rPr>
            </w:pPr>
            <w:bookmarkStart w:id="381" w:name="Table_3"/>
            <w:bookmarkStart w:id="382" w:name="_Hlk64363497"/>
            <w:bookmarkEnd w:id="381"/>
            <w:r w:rsidRPr="00B54B69">
              <w:rPr>
                <w:rFonts w:cstheme="minorHAnsi"/>
                <w:bCs/>
              </w:rPr>
              <w:t>Vector</w:t>
            </w:r>
          </w:p>
        </w:tc>
        <w:tc>
          <w:tcPr>
            <w:tcW w:w="6804" w:type="dxa"/>
            <w:tcBorders>
              <w:top w:val="single" w:sz="4" w:space="0" w:color="auto"/>
              <w:bottom w:val="single" w:sz="4" w:space="0" w:color="auto"/>
            </w:tcBorders>
            <w:shd w:val="clear" w:color="auto" w:fill="FFFFFF" w:themeFill="background1"/>
          </w:tcPr>
          <w:p w14:paraId="114C89CF" w14:textId="395CE4CB" w:rsidR="00C851A7" w:rsidRPr="00846769" w:rsidRDefault="00C851A7" w:rsidP="00C851A7">
            <w:pPr>
              <w:pStyle w:val="TableHeading"/>
              <w:framePr w:hSpace="0" w:wrap="auto" w:vAnchor="margin" w:hAnchor="text" w:xAlign="left" w:yAlign="inline"/>
              <w:rPr>
                <w:bCs/>
              </w:rPr>
            </w:pPr>
            <w:r w:rsidRPr="00846769">
              <w:t>Management action</w:t>
            </w:r>
          </w:p>
        </w:tc>
      </w:tr>
      <w:tr w:rsidR="00B12C9D" w:rsidRPr="00846769" w14:paraId="16DA32BF" w14:textId="77777777" w:rsidTr="00B12C9D">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tcBorders>
            <w:shd w:val="clear" w:color="auto" w:fill="FFFFFF" w:themeFill="background1"/>
          </w:tcPr>
          <w:p w14:paraId="46109673" w14:textId="4D08964A" w:rsidR="00C851A7" w:rsidRPr="00846769" w:rsidRDefault="00C851A7" w:rsidP="00B12C9D">
            <w:pPr>
              <w:pStyle w:val="TableText"/>
            </w:pPr>
            <w:r w:rsidRPr="00846769">
              <w:rPr>
                <w:b w:val="0"/>
                <w:bCs w:val="0"/>
              </w:rPr>
              <w:t>International and domestic yachts &lt;25 m, domestic fishing vessels, ferries, tugs, and naval vessels</w:t>
            </w:r>
          </w:p>
        </w:tc>
        <w:tc>
          <w:tcPr>
            <w:tcW w:w="6804" w:type="dxa"/>
            <w:tcBorders>
              <w:top w:val="single" w:sz="4" w:space="0" w:color="auto"/>
            </w:tcBorders>
            <w:shd w:val="clear" w:color="auto" w:fill="FFFFFF" w:themeFill="background1"/>
          </w:tcPr>
          <w:p w14:paraId="676E406E" w14:textId="77777777" w:rsidR="00C851A7" w:rsidRPr="00846769" w:rsidRDefault="00C851A7" w:rsidP="00A04E26">
            <w:pPr>
              <w:pStyle w:val="TableText"/>
              <w:numPr>
                <w:ilvl w:val="0"/>
                <w:numId w:val="44"/>
              </w:numPr>
              <w:ind w:left="312" w:hanging="283"/>
            </w:pPr>
            <w:r w:rsidRPr="00846769">
              <w:rPr>
                <w:b w:val="0"/>
                <w:bCs w:val="0"/>
              </w:rPr>
              <w:t>Remove from water and treat and/or clean external submerged surfaces</w:t>
            </w:r>
          </w:p>
          <w:p w14:paraId="2774D40B" w14:textId="77777777" w:rsidR="009561B1" w:rsidRPr="00A04E26" w:rsidRDefault="00C851A7" w:rsidP="00A04E26">
            <w:pPr>
              <w:pStyle w:val="TableText"/>
              <w:numPr>
                <w:ilvl w:val="0"/>
                <w:numId w:val="44"/>
              </w:numPr>
              <w:ind w:left="312" w:hanging="283"/>
            </w:pPr>
            <w:r w:rsidRPr="00846769">
              <w:rPr>
                <w:b w:val="0"/>
              </w:rPr>
              <w:t>Contained in-water treatment with appropriate biocide</w:t>
            </w:r>
          </w:p>
          <w:p w14:paraId="40ED07F2" w14:textId="77057560" w:rsidR="009561B1" w:rsidRPr="009561B1" w:rsidRDefault="009561B1" w:rsidP="00A04E26">
            <w:pPr>
              <w:pStyle w:val="TableText"/>
              <w:numPr>
                <w:ilvl w:val="0"/>
                <w:numId w:val="44"/>
              </w:numPr>
              <w:ind w:left="312" w:hanging="283"/>
            </w:pPr>
            <w:r w:rsidRPr="00846769">
              <w:rPr>
                <w:b w:val="0"/>
                <w:bCs w:val="0"/>
              </w:rPr>
              <w:t>Treat internal seawater systems</w:t>
            </w:r>
          </w:p>
          <w:p w14:paraId="1A3F3BBB" w14:textId="77777777" w:rsidR="009561B1" w:rsidRPr="009561B1" w:rsidRDefault="009561B1" w:rsidP="00A04E26">
            <w:pPr>
              <w:pStyle w:val="TableText"/>
              <w:numPr>
                <w:ilvl w:val="0"/>
                <w:numId w:val="44"/>
              </w:numPr>
              <w:ind w:left="312" w:hanging="283"/>
            </w:pPr>
            <w:r w:rsidRPr="00846769">
              <w:rPr>
                <w:b w:val="0"/>
              </w:rPr>
              <w:t>Treat moist places (interior spaces and crevices)</w:t>
            </w:r>
          </w:p>
          <w:p w14:paraId="06C6FB75" w14:textId="77777777" w:rsidR="009561B1" w:rsidRPr="00A04E26" w:rsidRDefault="009561B1" w:rsidP="00A04E26">
            <w:pPr>
              <w:pStyle w:val="TableText"/>
              <w:numPr>
                <w:ilvl w:val="0"/>
                <w:numId w:val="44"/>
              </w:numPr>
              <w:ind w:left="312" w:hanging="283"/>
            </w:pPr>
            <w:r w:rsidRPr="00846769">
              <w:rPr>
                <w:b w:val="0"/>
                <w:bCs w:val="0"/>
              </w:rPr>
              <w:t>Manage ballast water (only applies to small percentage of sailing yachts)</w:t>
            </w:r>
          </w:p>
          <w:p w14:paraId="0242C740" w14:textId="7BF1D00A" w:rsidR="009561B1" w:rsidRPr="009561B1" w:rsidRDefault="009561B1" w:rsidP="00A04E26">
            <w:pPr>
              <w:pStyle w:val="TableText"/>
              <w:numPr>
                <w:ilvl w:val="0"/>
                <w:numId w:val="44"/>
              </w:numPr>
              <w:ind w:left="312" w:hanging="283"/>
            </w:pPr>
            <w:r w:rsidRPr="00846769">
              <w:rPr>
                <w:b w:val="0"/>
                <w:bCs w:val="0"/>
              </w:rPr>
              <w:t>Remove from the control area once cleaned</w:t>
            </w:r>
          </w:p>
          <w:p w14:paraId="05688C47" w14:textId="56E2865D" w:rsidR="009561B1" w:rsidRPr="00846769" w:rsidRDefault="009561B1" w:rsidP="00A04E26">
            <w:pPr>
              <w:pStyle w:val="TableText"/>
              <w:numPr>
                <w:ilvl w:val="0"/>
                <w:numId w:val="44"/>
              </w:numPr>
              <w:ind w:left="312" w:hanging="283"/>
            </w:pPr>
            <w:r w:rsidRPr="00846769">
              <w:rPr>
                <w:b w:val="0"/>
              </w:rPr>
              <w:t>Educate operators and service agents of risk</w:t>
            </w:r>
          </w:p>
        </w:tc>
      </w:tr>
      <w:tr w:rsidR="00B12C9D" w:rsidRPr="00846769" w14:paraId="3EE537D9" w14:textId="77777777" w:rsidTr="00B12C9D">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tcBorders>
            <w:shd w:val="clear" w:color="auto" w:fill="FFFFFF" w:themeFill="background1"/>
          </w:tcPr>
          <w:p w14:paraId="07722241" w14:textId="7FF09EC1" w:rsidR="00C851A7" w:rsidRPr="00846769" w:rsidRDefault="00C851A7" w:rsidP="00B12C9D">
            <w:pPr>
              <w:pStyle w:val="TableText"/>
              <w:rPr>
                <w:b w:val="0"/>
                <w:bCs w:val="0"/>
              </w:rPr>
            </w:pPr>
            <w:r w:rsidRPr="00846769">
              <w:rPr>
                <w:b w:val="0"/>
                <w:bCs w:val="0"/>
              </w:rPr>
              <w:t xml:space="preserve">Domestic </w:t>
            </w:r>
            <w:r w:rsidR="00355A52">
              <w:rPr>
                <w:b w:val="0"/>
                <w:bCs w:val="0"/>
              </w:rPr>
              <w:t xml:space="preserve">commercial </w:t>
            </w:r>
            <w:r w:rsidRPr="00846769">
              <w:rPr>
                <w:b w:val="0"/>
                <w:bCs w:val="0"/>
              </w:rPr>
              <w:t xml:space="preserve">vessels &gt;25 m, </w:t>
            </w:r>
            <w:r w:rsidRPr="009561B1">
              <w:t xml:space="preserve">and </w:t>
            </w:r>
            <w:r w:rsidRPr="00846769">
              <w:rPr>
                <w:b w:val="0"/>
                <w:bCs w:val="0"/>
              </w:rPr>
              <w:t xml:space="preserve">international </w:t>
            </w:r>
            <w:r w:rsidR="00355A52">
              <w:rPr>
                <w:b w:val="0"/>
                <w:bCs w:val="0"/>
              </w:rPr>
              <w:t>commercial</w:t>
            </w:r>
            <w:r w:rsidR="00355A52" w:rsidRPr="00846769">
              <w:rPr>
                <w:b w:val="0"/>
                <w:bCs w:val="0"/>
              </w:rPr>
              <w:t xml:space="preserve"> </w:t>
            </w:r>
            <w:r w:rsidRPr="00846769">
              <w:rPr>
                <w:b w:val="0"/>
                <w:bCs w:val="0"/>
              </w:rPr>
              <w:t>vessels &gt;25 m</w:t>
            </w:r>
          </w:p>
        </w:tc>
        <w:tc>
          <w:tcPr>
            <w:tcW w:w="6804" w:type="dxa"/>
            <w:tcBorders>
              <w:top w:val="single" w:sz="4" w:space="0" w:color="auto"/>
            </w:tcBorders>
            <w:shd w:val="clear" w:color="auto" w:fill="FFFFFF" w:themeFill="background1"/>
          </w:tcPr>
          <w:p w14:paraId="4B8C8C66" w14:textId="11836584" w:rsidR="009561B1" w:rsidRPr="00A04E26" w:rsidRDefault="00C851A7" w:rsidP="00A04E26">
            <w:pPr>
              <w:pStyle w:val="TableText"/>
              <w:numPr>
                <w:ilvl w:val="0"/>
                <w:numId w:val="45"/>
              </w:numPr>
              <w:ind w:left="312" w:hanging="283"/>
            </w:pPr>
            <w:r w:rsidRPr="00846769">
              <w:rPr>
                <w:b w:val="0"/>
                <w:bCs w:val="0"/>
              </w:rPr>
              <w:t>Inspect and treat and/</w:t>
            </w:r>
            <w:r w:rsidR="00287F50">
              <w:rPr>
                <w:b w:val="0"/>
                <w:bCs w:val="0"/>
              </w:rPr>
              <w:t>o</w:t>
            </w:r>
            <w:r w:rsidRPr="00846769">
              <w:rPr>
                <w:b w:val="0"/>
                <w:bCs w:val="0"/>
              </w:rPr>
              <w:t>r clean (if possible) external submerged surfaces</w:t>
            </w:r>
          </w:p>
          <w:p w14:paraId="136D81D1" w14:textId="69E9DB3C" w:rsidR="009561B1" w:rsidRPr="009561B1" w:rsidRDefault="009561B1" w:rsidP="00A04E26">
            <w:pPr>
              <w:pStyle w:val="TableText"/>
              <w:numPr>
                <w:ilvl w:val="0"/>
                <w:numId w:val="45"/>
              </w:numPr>
              <w:ind w:left="312" w:hanging="283"/>
            </w:pPr>
            <w:r w:rsidRPr="00846769">
              <w:rPr>
                <w:b w:val="0"/>
                <w:bCs w:val="0"/>
              </w:rPr>
              <w:t>Treat or seal internal seawater systems</w:t>
            </w:r>
          </w:p>
          <w:p w14:paraId="07AC4295" w14:textId="77777777" w:rsidR="009561B1" w:rsidRPr="00A04E26" w:rsidRDefault="009561B1" w:rsidP="00A04E26">
            <w:pPr>
              <w:pStyle w:val="TableText"/>
              <w:numPr>
                <w:ilvl w:val="0"/>
                <w:numId w:val="45"/>
              </w:numPr>
              <w:ind w:left="312" w:hanging="283"/>
            </w:pPr>
            <w:r w:rsidRPr="00846769">
              <w:rPr>
                <w:b w:val="0"/>
              </w:rPr>
              <w:t>Treat moist places (interior spaces and crevices)</w:t>
            </w:r>
          </w:p>
          <w:p w14:paraId="5DC24D02" w14:textId="4C26CDA6" w:rsidR="009561B1" w:rsidRPr="009561B1" w:rsidRDefault="009561B1" w:rsidP="00A04E26">
            <w:pPr>
              <w:pStyle w:val="TableText"/>
              <w:numPr>
                <w:ilvl w:val="0"/>
                <w:numId w:val="45"/>
              </w:numPr>
              <w:ind w:left="312" w:hanging="283"/>
            </w:pPr>
            <w:r w:rsidRPr="00846769">
              <w:rPr>
                <w:b w:val="0"/>
                <w:bCs w:val="0"/>
              </w:rPr>
              <w:t>Manage ballast water</w:t>
            </w:r>
          </w:p>
          <w:p w14:paraId="4098BF07" w14:textId="02113D17" w:rsidR="009561B1" w:rsidRPr="00846769" w:rsidRDefault="009561B1" w:rsidP="00A04E26">
            <w:pPr>
              <w:pStyle w:val="TableText"/>
              <w:numPr>
                <w:ilvl w:val="0"/>
                <w:numId w:val="45"/>
              </w:numPr>
              <w:ind w:left="312" w:hanging="283"/>
            </w:pPr>
            <w:r w:rsidRPr="00846769">
              <w:rPr>
                <w:b w:val="0"/>
              </w:rPr>
              <w:t>Educate operators and service agents of risk</w:t>
            </w:r>
          </w:p>
        </w:tc>
      </w:tr>
      <w:tr w:rsidR="00A04E26" w:rsidRPr="00846769" w14:paraId="4EA46D48" w14:textId="77777777" w:rsidTr="00A04E26">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tcBorders>
            <w:shd w:val="clear" w:color="auto" w:fill="FFFFFF" w:themeFill="background1"/>
          </w:tcPr>
          <w:p w14:paraId="1730B392" w14:textId="00D53DD7" w:rsidR="00C851A7" w:rsidRPr="00846769" w:rsidRDefault="00C851A7" w:rsidP="00B12C9D">
            <w:pPr>
              <w:pStyle w:val="TableText"/>
            </w:pPr>
            <w:r w:rsidRPr="00846769">
              <w:rPr>
                <w:b w:val="0"/>
                <w:bCs w:val="0"/>
              </w:rPr>
              <w:t>Recreational craft (</w:t>
            </w:r>
            <w:r w:rsidR="0004422F">
              <w:rPr>
                <w:b w:val="0"/>
                <w:bCs w:val="0"/>
              </w:rPr>
              <w:t>e.g.</w:t>
            </w:r>
            <w:r w:rsidRPr="00846769">
              <w:rPr>
                <w:b w:val="0"/>
                <w:bCs w:val="0"/>
              </w:rPr>
              <w:t xml:space="preserve"> jet-skis and kayaks)</w:t>
            </w:r>
          </w:p>
        </w:tc>
        <w:tc>
          <w:tcPr>
            <w:tcW w:w="6804" w:type="dxa"/>
            <w:tcBorders>
              <w:top w:val="single" w:sz="4" w:space="0" w:color="auto"/>
            </w:tcBorders>
            <w:shd w:val="clear" w:color="auto" w:fill="FFFFFF" w:themeFill="background1"/>
          </w:tcPr>
          <w:p w14:paraId="56BCA053" w14:textId="77777777" w:rsidR="00C851A7" w:rsidRDefault="00C851A7" w:rsidP="00A04E26">
            <w:pPr>
              <w:pStyle w:val="TableText"/>
              <w:numPr>
                <w:ilvl w:val="0"/>
                <w:numId w:val="46"/>
              </w:numPr>
              <w:ind w:left="312" w:hanging="283"/>
            </w:pPr>
            <w:r w:rsidRPr="00846769">
              <w:rPr>
                <w:b w:val="0"/>
                <w:bCs w:val="0"/>
              </w:rPr>
              <w:t>Remove from water and clean external submerged surface</w:t>
            </w:r>
          </w:p>
          <w:p w14:paraId="553AC829" w14:textId="77777777" w:rsidR="009561B1" w:rsidRDefault="009561B1" w:rsidP="00A04E26">
            <w:pPr>
              <w:pStyle w:val="TableText"/>
              <w:numPr>
                <w:ilvl w:val="0"/>
                <w:numId w:val="46"/>
              </w:numPr>
              <w:ind w:left="312" w:hanging="283"/>
            </w:pPr>
            <w:r w:rsidRPr="00846769">
              <w:rPr>
                <w:b w:val="0"/>
                <w:bCs w:val="0"/>
              </w:rPr>
              <w:t>Treat and/or clean and dry internal seawater systems</w:t>
            </w:r>
          </w:p>
          <w:p w14:paraId="426598D1" w14:textId="1652F346" w:rsidR="009561B1" w:rsidRPr="00846769" w:rsidRDefault="009561B1" w:rsidP="00A04E26">
            <w:pPr>
              <w:pStyle w:val="TableText"/>
              <w:numPr>
                <w:ilvl w:val="0"/>
                <w:numId w:val="46"/>
              </w:numPr>
              <w:ind w:left="312" w:hanging="283"/>
            </w:pPr>
            <w:r w:rsidRPr="00846769">
              <w:rPr>
                <w:b w:val="0"/>
                <w:bCs w:val="0"/>
              </w:rPr>
              <w:t>Educate users and service agents of risk</w:t>
            </w:r>
          </w:p>
        </w:tc>
      </w:tr>
      <w:tr w:rsidR="00A04E26" w:rsidRPr="00846769" w14:paraId="3D622BF6" w14:textId="77777777" w:rsidTr="00A04E26">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bottom w:val="single" w:sz="4" w:space="0" w:color="auto"/>
            </w:tcBorders>
            <w:shd w:val="clear" w:color="auto" w:fill="FFFFFF" w:themeFill="background1"/>
          </w:tcPr>
          <w:p w14:paraId="0AFF8198" w14:textId="77777777" w:rsidR="00C851A7" w:rsidRPr="00846769" w:rsidRDefault="00C851A7" w:rsidP="00B12C9D">
            <w:pPr>
              <w:pStyle w:val="TableText"/>
            </w:pPr>
            <w:r w:rsidRPr="00846769">
              <w:rPr>
                <w:b w:val="0"/>
                <w:bCs w:val="0"/>
              </w:rPr>
              <w:t>Fishing gear and nets</w:t>
            </w:r>
          </w:p>
        </w:tc>
        <w:tc>
          <w:tcPr>
            <w:tcW w:w="6804" w:type="dxa"/>
            <w:tcBorders>
              <w:top w:val="single" w:sz="4" w:space="0" w:color="auto"/>
              <w:bottom w:val="single" w:sz="4" w:space="0" w:color="auto"/>
            </w:tcBorders>
            <w:shd w:val="clear" w:color="auto" w:fill="FFFFFF" w:themeFill="background1"/>
          </w:tcPr>
          <w:p w14:paraId="481484E0" w14:textId="77777777" w:rsidR="00C851A7" w:rsidRDefault="00C851A7" w:rsidP="00A04E26">
            <w:pPr>
              <w:pStyle w:val="TableText"/>
              <w:numPr>
                <w:ilvl w:val="0"/>
                <w:numId w:val="47"/>
              </w:numPr>
              <w:ind w:left="312" w:hanging="283"/>
            </w:pPr>
            <w:r w:rsidRPr="00846769">
              <w:rPr>
                <w:b w:val="0"/>
                <w:bCs w:val="0"/>
              </w:rPr>
              <w:t>Remove from area and treat, clean and dry</w:t>
            </w:r>
          </w:p>
          <w:p w14:paraId="071B4CE9" w14:textId="7BEE1B40" w:rsidR="009561B1" w:rsidRPr="00846769" w:rsidRDefault="009561B1" w:rsidP="00A04E26">
            <w:pPr>
              <w:pStyle w:val="TableText"/>
              <w:numPr>
                <w:ilvl w:val="0"/>
                <w:numId w:val="47"/>
              </w:numPr>
              <w:ind w:left="312" w:hanging="283"/>
            </w:pPr>
            <w:r w:rsidRPr="00846769">
              <w:rPr>
                <w:b w:val="0"/>
                <w:bCs w:val="0"/>
              </w:rPr>
              <w:t>Educate users and service agents of risk</w:t>
            </w:r>
          </w:p>
        </w:tc>
      </w:tr>
      <w:tr w:rsidR="00A04E26" w:rsidRPr="00846769" w14:paraId="016D0816" w14:textId="77777777" w:rsidTr="00A04E26">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bottom w:val="single" w:sz="4" w:space="0" w:color="auto"/>
            </w:tcBorders>
            <w:shd w:val="clear" w:color="auto" w:fill="FFFFFF" w:themeFill="background1"/>
          </w:tcPr>
          <w:p w14:paraId="19893A45" w14:textId="77777777" w:rsidR="00C851A7" w:rsidRPr="00846769" w:rsidRDefault="00C851A7" w:rsidP="00B12C9D">
            <w:pPr>
              <w:pStyle w:val="TableText"/>
            </w:pPr>
            <w:r w:rsidRPr="00846769">
              <w:rPr>
                <w:b w:val="0"/>
                <w:bCs w:val="0"/>
              </w:rPr>
              <w:t>Fouled aquaculture stock</w:t>
            </w:r>
          </w:p>
        </w:tc>
        <w:tc>
          <w:tcPr>
            <w:tcW w:w="6804" w:type="dxa"/>
            <w:tcBorders>
              <w:top w:val="single" w:sz="4" w:space="0" w:color="auto"/>
              <w:bottom w:val="single" w:sz="4" w:space="0" w:color="auto"/>
            </w:tcBorders>
            <w:shd w:val="clear" w:color="auto" w:fill="FFFFFF" w:themeFill="background1"/>
          </w:tcPr>
          <w:p w14:paraId="083B0968" w14:textId="77777777" w:rsidR="00C851A7" w:rsidRPr="00846769" w:rsidRDefault="00C851A7" w:rsidP="00A04E26">
            <w:pPr>
              <w:pStyle w:val="TableText"/>
              <w:numPr>
                <w:ilvl w:val="0"/>
                <w:numId w:val="48"/>
              </w:numPr>
              <w:ind w:left="312" w:hanging="283"/>
            </w:pPr>
            <w:r w:rsidRPr="00846769">
              <w:rPr>
                <w:b w:val="0"/>
                <w:bCs w:val="0"/>
              </w:rPr>
              <w:t>Remove from infested area or use an effective method for decontamination</w:t>
            </w:r>
          </w:p>
          <w:p w14:paraId="408D2263" w14:textId="7DA1CE27" w:rsidR="00C851A7" w:rsidRPr="00846769" w:rsidRDefault="00C851A7" w:rsidP="00A04E26">
            <w:pPr>
              <w:pStyle w:val="TableText"/>
              <w:numPr>
                <w:ilvl w:val="0"/>
                <w:numId w:val="48"/>
              </w:numPr>
              <w:ind w:left="312" w:hanging="283"/>
            </w:pPr>
            <w:r w:rsidRPr="00846769">
              <w:rPr>
                <w:b w:val="0"/>
              </w:rPr>
              <w:t>Educate users and service agents of risk</w:t>
            </w:r>
          </w:p>
        </w:tc>
      </w:tr>
      <w:tr w:rsidR="00A04E26" w:rsidRPr="00846769" w14:paraId="7DE6336C" w14:textId="77777777" w:rsidTr="00A04E26">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bottom w:val="single" w:sz="4" w:space="0" w:color="auto"/>
            </w:tcBorders>
            <w:shd w:val="clear" w:color="auto" w:fill="FFFFFF" w:themeFill="background1"/>
          </w:tcPr>
          <w:p w14:paraId="4EDBD87B" w14:textId="77777777" w:rsidR="009B4610" w:rsidRPr="00846769" w:rsidRDefault="009B4610" w:rsidP="00B12C9D">
            <w:pPr>
              <w:pStyle w:val="TableText"/>
            </w:pPr>
            <w:r w:rsidRPr="00846769">
              <w:rPr>
                <w:b w:val="0"/>
                <w:bCs w:val="0"/>
              </w:rPr>
              <w:t>Fouled aquaculture equipment</w:t>
            </w:r>
          </w:p>
        </w:tc>
        <w:tc>
          <w:tcPr>
            <w:tcW w:w="6804" w:type="dxa"/>
            <w:tcBorders>
              <w:top w:val="single" w:sz="4" w:space="0" w:color="auto"/>
              <w:bottom w:val="single" w:sz="4" w:space="0" w:color="auto"/>
            </w:tcBorders>
            <w:shd w:val="clear" w:color="auto" w:fill="FFFFFF" w:themeFill="background1"/>
          </w:tcPr>
          <w:p w14:paraId="05D7F01F" w14:textId="77777777" w:rsidR="009B4610" w:rsidRDefault="009B4610" w:rsidP="00A04E26">
            <w:pPr>
              <w:pStyle w:val="TableText"/>
              <w:numPr>
                <w:ilvl w:val="0"/>
                <w:numId w:val="49"/>
              </w:numPr>
              <w:ind w:left="312" w:hanging="283"/>
            </w:pPr>
            <w:r w:rsidRPr="00846769">
              <w:rPr>
                <w:b w:val="0"/>
                <w:bCs w:val="0"/>
              </w:rPr>
              <w:t>Removed from infested area</w:t>
            </w:r>
          </w:p>
          <w:p w14:paraId="3B650167" w14:textId="00C862C2" w:rsidR="009561B1" w:rsidRDefault="009561B1" w:rsidP="00A04E26">
            <w:pPr>
              <w:pStyle w:val="TableText"/>
              <w:numPr>
                <w:ilvl w:val="0"/>
                <w:numId w:val="49"/>
              </w:numPr>
              <w:ind w:left="312" w:hanging="283"/>
            </w:pPr>
            <w:r w:rsidRPr="00846769">
              <w:rPr>
                <w:b w:val="0"/>
                <w:bCs w:val="0"/>
              </w:rPr>
              <w:t xml:space="preserve">Clean thoroughly by high-pressure water blast, </w:t>
            </w:r>
            <w:r w:rsidR="00B12C9D">
              <w:rPr>
                <w:b w:val="0"/>
                <w:bCs w:val="0"/>
              </w:rPr>
              <w:t>e.g.</w:t>
            </w:r>
            <w:r w:rsidRPr="00846769">
              <w:rPr>
                <w:b w:val="0"/>
                <w:bCs w:val="0"/>
              </w:rPr>
              <w:t xml:space="preserve"> &gt;2,000 psi, capturing cleaned material for safe disposal</w:t>
            </w:r>
          </w:p>
          <w:p w14:paraId="627683F6" w14:textId="77777777" w:rsidR="009561B1" w:rsidRPr="00A04E26" w:rsidRDefault="009561B1" w:rsidP="00A04E26">
            <w:pPr>
              <w:pStyle w:val="TableText"/>
              <w:numPr>
                <w:ilvl w:val="0"/>
                <w:numId w:val="49"/>
              </w:numPr>
              <w:ind w:left="312" w:hanging="283"/>
            </w:pPr>
            <w:r w:rsidRPr="00846769">
              <w:rPr>
                <w:b w:val="0"/>
                <w:bCs w:val="0"/>
              </w:rPr>
              <w:t>Immerse in or apply an appropriate decontamination solution (</w:t>
            </w:r>
            <w:r>
              <w:rPr>
                <w:b w:val="0"/>
                <w:bCs w:val="0"/>
              </w:rPr>
              <w:t>e.g.</w:t>
            </w:r>
            <w:r w:rsidRPr="00846769">
              <w:rPr>
                <w:b w:val="0"/>
                <w:bCs w:val="0"/>
              </w:rPr>
              <w:t xml:space="preserve"> copper sulphate solution (4 mg/L) or liquid sodium hypochlorite (200 to 400 ppm) for 48 hours)</w:t>
            </w:r>
          </w:p>
          <w:p w14:paraId="52484021" w14:textId="4D878141" w:rsidR="009561B1" w:rsidRPr="009561B1" w:rsidRDefault="009561B1" w:rsidP="00A04E26">
            <w:pPr>
              <w:pStyle w:val="TableText"/>
              <w:numPr>
                <w:ilvl w:val="0"/>
                <w:numId w:val="49"/>
              </w:numPr>
              <w:ind w:left="312" w:hanging="283"/>
            </w:pPr>
            <w:r w:rsidRPr="00846769">
              <w:rPr>
                <w:b w:val="0"/>
                <w:bCs w:val="0"/>
              </w:rPr>
              <w:t>Rinse in seawater and air dry, preferably in direct sunlight</w:t>
            </w:r>
          </w:p>
          <w:p w14:paraId="630CD221" w14:textId="4925F714" w:rsidR="009561B1" w:rsidRPr="00846769" w:rsidRDefault="009561B1" w:rsidP="00A04E26">
            <w:pPr>
              <w:pStyle w:val="TableText"/>
              <w:numPr>
                <w:ilvl w:val="0"/>
                <w:numId w:val="49"/>
              </w:numPr>
              <w:ind w:left="312" w:hanging="283"/>
            </w:pPr>
            <w:r w:rsidRPr="00846769">
              <w:rPr>
                <w:b w:val="0"/>
                <w:bCs w:val="0"/>
              </w:rPr>
              <w:t>Educate users and service agents of risk</w:t>
            </w:r>
          </w:p>
        </w:tc>
      </w:tr>
      <w:tr w:rsidR="00B12C9D" w:rsidRPr="00846769" w14:paraId="6BA154F7" w14:textId="77777777" w:rsidTr="00B12C9D">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bottom w:val="single" w:sz="4" w:space="0" w:color="auto"/>
            </w:tcBorders>
            <w:shd w:val="clear" w:color="auto" w:fill="FFFFFF" w:themeFill="background1"/>
          </w:tcPr>
          <w:p w14:paraId="1714256F" w14:textId="2C75049B" w:rsidR="00C851A7" w:rsidRPr="00846769" w:rsidRDefault="00C851A7" w:rsidP="00B12C9D">
            <w:pPr>
              <w:pStyle w:val="TableText"/>
            </w:pPr>
            <w:r w:rsidRPr="00846769">
              <w:rPr>
                <w:b w:val="0"/>
                <w:bCs w:val="0"/>
              </w:rPr>
              <w:t xml:space="preserve">Buoys, pots, </w:t>
            </w:r>
            <w:r w:rsidR="006F165C" w:rsidRPr="004302C5">
              <w:rPr>
                <w:rFonts w:cstheme="minorHAnsi"/>
              </w:rPr>
              <w:t>floats</w:t>
            </w:r>
            <w:r w:rsidR="004302C5">
              <w:rPr>
                <w:rFonts w:cstheme="minorHAnsi"/>
                <w:b w:val="0"/>
                <w:bCs w:val="0"/>
              </w:rPr>
              <w:t>, and fenders</w:t>
            </w:r>
          </w:p>
        </w:tc>
        <w:tc>
          <w:tcPr>
            <w:tcW w:w="6804" w:type="dxa"/>
            <w:tcBorders>
              <w:top w:val="single" w:sz="4" w:space="0" w:color="auto"/>
              <w:bottom w:val="single" w:sz="4" w:space="0" w:color="auto"/>
            </w:tcBorders>
            <w:shd w:val="clear" w:color="auto" w:fill="FFFFFF" w:themeFill="background1"/>
          </w:tcPr>
          <w:p w14:paraId="052A562A" w14:textId="77777777" w:rsidR="00C851A7" w:rsidRDefault="00C851A7" w:rsidP="00A04E26">
            <w:pPr>
              <w:pStyle w:val="TableText"/>
              <w:numPr>
                <w:ilvl w:val="0"/>
                <w:numId w:val="50"/>
              </w:numPr>
              <w:ind w:left="312" w:hanging="283"/>
            </w:pPr>
            <w:r w:rsidRPr="00846769">
              <w:rPr>
                <w:b w:val="0"/>
                <w:bCs w:val="0"/>
              </w:rPr>
              <w:t>Restrict movement from the control area</w:t>
            </w:r>
          </w:p>
          <w:p w14:paraId="7C54C136" w14:textId="77777777" w:rsidR="009561B1" w:rsidRDefault="009561B1" w:rsidP="00A04E26">
            <w:pPr>
              <w:pStyle w:val="TableText"/>
              <w:numPr>
                <w:ilvl w:val="0"/>
                <w:numId w:val="50"/>
              </w:numPr>
              <w:ind w:left="312" w:hanging="283"/>
            </w:pPr>
            <w:r w:rsidRPr="00846769">
              <w:rPr>
                <w:b w:val="0"/>
                <w:bCs w:val="0"/>
              </w:rPr>
              <w:t>Treat and/or clean and dry</w:t>
            </w:r>
          </w:p>
          <w:p w14:paraId="7AECDB2D" w14:textId="42DB8D92" w:rsidR="009561B1" w:rsidRPr="00846769" w:rsidRDefault="009561B1" w:rsidP="00A04E26">
            <w:pPr>
              <w:pStyle w:val="TableText"/>
              <w:numPr>
                <w:ilvl w:val="0"/>
                <w:numId w:val="50"/>
              </w:numPr>
              <w:ind w:left="312" w:hanging="283"/>
            </w:pPr>
            <w:r w:rsidRPr="00846769">
              <w:rPr>
                <w:b w:val="0"/>
                <w:bCs w:val="0"/>
              </w:rPr>
              <w:t>Educate users and service agents of risk</w:t>
            </w:r>
          </w:p>
        </w:tc>
      </w:tr>
      <w:tr w:rsidR="00A04E26" w:rsidRPr="00846769" w14:paraId="3F85761C" w14:textId="77777777" w:rsidTr="00A04E26">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bottom w:val="single" w:sz="4" w:space="0" w:color="auto"/>
            </w:tcBorders>
            <w:shd w:val="clear" w:color="auto" w:fill="FFFFFF" w:themeFill="background1"/>
          </w:tcPr>
          <w:p w14:paraId="1639AF94" w14:textId="293E8ACA" w:rsidR="00C851A7" w:rsidRPr="00846769" w:rsidRDefault="00C851A7" w:rsidP="00B12C9D">
            <w:pPr>
              <w:pStyle w:val="TableText"/>
            </w:pPr>
            <w:r w:rsidRPr="00846769">
              <w:rPr>
                <w:b w:val="0"/>
                <w:bCs w:val="0"/>
              </w:rPr>
              <w:t xml:space="preserve">Water, shells, </w:t>
            </w:r>
            <w:r w:rsidR="009B4610" w:rsidRPr="00846769">
              <w:rPr>
                <w:b w:val="0"/>
                <w:bCs w:val="0"/>
              </w:rPr>
              <w:t>and organisms for bait or aquaria</w:t>
            </w:r>
          </w:p>
        </w:tc>
        <w:tc>
          <w:tcPr>
            <w:tcW w:w="6804" w:type="dxa"/>
            <w:tcBorders>
              <w:top w:val="single" w:sz="4" w:space="0" w:color="auto"/>
              <w:bottom w:val="single" w:sz="4" w:space="0" w:color="auto"/>
            </w:tcBorders>
            <w:shd w:val="clear" w:color="auto" w:fill="FFFFFF" w:themeFill="background1"/>
          </w:tcPr>
          <w:p w14:paraId="76FA6844" w14:textId="77777777" w:rsidR="00C851A7" w:rsidRDefault="00C851A7" w:rsidP="00A04E26">
            <w:pPr>
              <w:pStyle w:val="TableText"/>
              <w:numPr>
                <w:ilvl w:val="0"/>
                <w:numId w:val="51"/>
              </w:numPr>
              <w:ind w:left="312" w:hanging="283"/>
            </w:pPr>
            <w:r w:rsidRPr="00846769">
              <w:rPr>
                <w:b w:val="0"/>
                <w:bCs w:val="0"/>
              </w:rPr>
              <w:t>Restrict movement from the control area</w:t>
            </w:r>
          </w:p>
          <w:p w14:paraId="3E117A16" w14:textId="1FD4E468" w:rsidR="009561B1" w:rsidRPr="00846769" w:rsidRDefault="009561B1" w:rsidP="00A04E26">
            <w:pPr>
              <w:pStyle w:val="TableText"/>
              <w:numPr>
                <w:ilvl w:val="0"/>
                <w:numId w:val="51"/>
              </w:numPr>
              <w:ind w:left="312" w:hanging="283"/>
            </w:pPr>
            <w:r w:rsidRPr="00846769">
              <w:rPr>
                <w:b w:val="0"/>
                <w:bCs w:val="0"/>
              </w:rPr>
              <w:t>Educate users and distributor of risk</w:t>
            </w:r>
          </w:p>
        </w:tc>
      </w:tr>
      <w:tr w:rsidR="00B12C9D" w:rsidRPr="00846769" w14:paraId="469D28F9" w14:textId="77777777" w:rsidTr="00B12C9D">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bottom w:val="single" w:sz="4" w:space="0" w:color="auto"/>
            </w:tcBorders>
            <w:shd w:val="clear" w:color="auto" w:fill="FFFFFF" w:themeFill="background1"/>
          </w:tcPr>
          <w:p w14:paraId="74343CD8" w14:textId="77777777" w:rsidR="00C851A7" w:rsidRPr="00846769" w:rsidRDefault="00C851A7" w:rsidP="00B12C9D">
            <w:pPr>
              <w:pStyle w:val="TableText"/>
            </w:pPr>
            <w:r w:rsidRPr="00846769">
              <w:rPr>
                <w:b w:val="0"/>
                <w:bCs w:val="0"/>
              </w:rPr>
              <w:t>Flotsam and jetsam</w:t>
            </w:r>
          </w:p>
        </w:tc>
        <w:tc>
          <w:tcPr>
            <w:tcW w:w="6804" w:type="dxa"/>
            <w:tcBorders>
              <w:top w:val="single" w:sz="4" w:space="0" w:color="auto"/>
              <w:bottom w:val="single" w:sz="4" w:space="0" w:color="auto"/>
            </w:tcBorders>
            <w:shd w:val="clear" w:color="auto" w:fill="FFFFFF" w:themeFill="background1"/>
          </w:tcPr>
          <w:p w14:paraId="0EAC39CC" w14:textId="23971915" w:rsidR="004302C5" w:rsidRPr="004302C5" w:rsidRDefault="00C851A7" w:rsidP="00A04E26">
            <w:pPr>
              <w:pStyle w:val="TableText"/>
              <w:numPr>
                <w:ilvl w:val="0"/>
                <w:numId w:val="52"/>
              </w:numPr>
              <w:ind w:left="312" w:hanging="283"/>
            </w:pPr>
            <w:r w:rsidRPr="00846769">
              <w:rPr>
                <w:b w:val="0"/>
                <w:bCs w:val="0"/>
              </w:rPr>
              <w:t>Remove from water/shoreline</w:t>
            </w:r>
            <w:r w:rsidR="004302C5">
              <w:t xml:space="preserve"> </w:t>
            </w:r>
            <w:r w:rsidR="004302C5" w:rsidRPr="004302C5">
              <w:t xml:space="preserve">and </w:t>
            </w:r>
            <w:r w:rsidR="004302C5" w:rsidRPr="004302C5">
              <w:rPr>
                <w:b w:val="0"/>
                <w:bCs w:val="0"/>
              </w:rPr>
              <w:t>dry</w:t>
            </w:r>
            <w:r w:rsidR="004302C5" w:rsidRPr="00846769">
              <w:rPr>
                <w:b w:val="0"/>
                <w:bCs w:val="0"/>
              </w:rPr>
              <w:t xml:space="preserve"> prior to onshore disposal</w:t>
            </w:r>
          </w:p>
          <w:p w14:paraId="130F2222" w14:textId="40E3BC99" w:rsidR="004302C5" w:rsidRPr="00846769" w:rsidRDefault="004302C5" w:rsidP="00A04E26">
            <w:pPr>
              <w:pStyle w:val="TableText"/>
              <w:numPr>
                <w:ilvl w:val="0"/>
                <w:numId w:val="52"/>
              </w:numPr>
              <w:ind w:left="312" w:hanging="283"/>
            </w:pPr>
            <w:r w:rsidRPr="00846769">
              <w:rPr>
                <w:b w:val="0"/>
                <w:bCs w:val="0"/>
              </w:rPr>
              <w:t>If possible, use barriers to prevent escape from infested area</w:t>
            </w:r>
          </w:p>
        </w:tc>
      </w:tr>
      <w:tr w:rsidR="00B12C9D" w:rsidRPr="00846769" w14:paraId="0C7B392A" w14:textId="77777777" w:rsidTr="00B12C9D">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bottom w:val="single" w:sz="4" w:space="0" w:color="auto"/>
            </w:tcBorders>
            <w:shd w:val="clear" w:color="auto" w:fill="FFFFFF" w:themeFill="background1"/>
          </w:tcPr>
          <w:p w14:paraId="52131291" w14:textId="0132F32E" w:rsidR="00C851A7" w:rsidRPr="00846769" w:rsidRDefault="00C851A7" w:rsidP="00B12C9D">
            <w:pPr>
              <w:pStyle w:val="TableText"/>
            </w:pPr>
            <w:r w:rsidRPr="00846769">
              <w:rPr>
                <w:b w:val="0"/>
                <w:bCs w:val="0"/>
              </w:rPr>
              <w:t>Fauna</w:t>
            </w:r>
            <w:r w:rsidR="009B4610" w:rsidRPr="00846769">
              <w:rPr>
                <w:b w:val="0"/>
                <w:bCs w:val="0"/>
              </w:rPr>
              <w:t xml:space="preserve"> (</w:t>
            </w:r>
            <w:r w:rsidR="0004422F">
              <w:rPr>
                <w:b w:val="0"/>
                <w:bCs w:val="0"/>
              </w:rPr>
              <w:t>e.g.</w:t>
            </w:r>
            <w:r w:rsidR="009B4610" w:rsidRPr="00846769">
              <w:rPr>
                <w:b w:val="0"/>
                <w:bCs w:val="0"/>
              </w:rPr>
              <w:t xml:space="preserve"> birds)</w:t>
            </w:r>
          </w:p>
        </w:tc>
        <w:tc>
          <w:tcPr>
            <w:tcW w:w="6804" w:type="dxa"/>
            <w:tcBorders>
              <w:top w:val="single" w:sz="4" w:space="0" w:color="auto"/>
              <w:bottom w:val="single" w:sz="4" w:space="0" w:color="auto"/>
            </w:tcBorders>
            <w:shd w:val="clear" w:color="auto" w:fill="FFFFFF" w:themeFill="background1"/>
          </w:tcPr>
          <w:p w14:paraId="40BC2243" w14:textId="203E7BF0" w:rsidR="00C851A7" w:rsidRPr="00846769" w:rsidRDefault="00B12C9D" w:rsidP="00A04E26">
            <w:pPr>
              <w:pStyle w:val="TableText"/>
              <w:numPr>
                <w:ilvl w:val="0"/>
                <w:numId w:val="53"/>
              </w:numPr>
              <w:ind w:left="312" w:hanging="283"/>
            </w:pPr>
            <w:r>
              <w:rPr>
                <w:b w:val="0"/>
                <w:bCs w:val="0"/>
              </w:rPr>
              <w:t>Short-term permits for managing fauna can be obtained for biosecurity purposes</w:t>
            </w:r>
            <w:r w:rsidR="009B4610" w:rsidRPr="00846769">
              <w:rPr>
                <w:rFonts w:cs="Calibri"/>
              </w:rPr>
              <w:t>†</w:t>
            </w:r>
          </w:p>
        </w:tc>
      </w:tr>
      <w:tr w:rsidR="00A04E26" w:rsidRPr="00846769" w14:paraId="681A6510" w14:textId="77777777" w:rsidTr="00A04E26">
        <w:trPr>
          <w:cnfStyle w:val="100000000000" w:firstRow="1" w:lastRow="0" w:firstColumn="0" w:lastColumn="0" w:oddVBand="0" w:evenVBand="0" w:oddHBand="0" w:evenHBand="0" w:firstRowFirstColumn="0" w:firstRowLastColumn="0" w:lastRowFirstColumn="0" w:lastRowLastColumn="0"/>
          <w:cantSplit/>
          <w:tblHeader/>
          <w:jc w:val="right"/>
        </w:trPr>
        <w:tc>
          <w:tcPr>
            <w:tcW w:w="2268" w:type="dxa"/>
            <w:tcBorders>
              <w:top w:val="single" w:sz="4" w:space="0" w:color="auto"/>
              <w:bottom w:val="single" w:sz="4" w:space="0" w:color="auto"/>
            </w:tcBorders>
            <w:shd w:val="clear" w:color="auto" w:fill="FFFFFF" w:themeFill="background1"/>
          </w:tcPr>
          <w:p w14:paraId="6E4CA50C" w14:textId="77777777" w:rsidR="009B4610" w:rsidRPr="00846769" w:rsidRDefault="009B4610" w:rsidP="00B12C9D">
            <w:pPr>
              <w:pStyle w:val="TableText"/>
            </w:pPr>
            <w:r w:rsidRPr="00846769">
              <w:rPr>
                <w:b w:val="0"/>
                <w:bCs w:val="0"/>
              </w:rPr>
              <w:t>Stormwater pipes and intakes</w:t>
            </w:r>
          </w:p>
        </w:tc>
        <w:tc>
          <w:tcPr>
            <w:tcW w:w="6804" w:type="dxa"/>
            <w:tcBorders>
              <w:top w:val="single" w:sz="4" w:space="0" w:color="auto"/>
              <w:bottom w:val="single" w:sz="4" w:space="0" w:color="auto"/>
            </w:tcBorders>
            <w:shd w:val="clear" w:color="auto" w:fill="FFFFFF" w:themeFill="background1"/>
          </w:tcPr>
          <w:p w14:paraId="14F4E791" w14:textId="77777777" w:rsidR="009B4610" w:rsidRDefault="009B4610" w:rsidP="00A04E26">
            <w:pPr>
              <w:pStyle w:val="TableText"/>
              <w:numPr>
                <w:ilvl w:val="0"/>
                <w:numId w:val="53"/>
              </w:numPr>
              <w:ind w:left="312" w:hanging="283"/>
            </w:pPr>
            <w:r w:rsidRPr="00846769">
              <w:rPr>
                <w:b w:val="0"/>
                <w:bCs w:val="0"/>
              </w:rPr>
              <w:t>Treat and/or clean and remove fouling</w:t>
            </w:r>
          </w:p>
          <w:p w14:paraId="70F6D607" w14:textId="77777777" w:rsidR="004302C5" w:rsidRPr="00846769" w:rsidRDefault="004302C5" w:rsidP="00A04E26">
            <w:pPr>
              <w:pStyle w:val="TableText"/>
              <w:numPr>
                <w:ilvl w:val="0"/>
                <w:numId w:val="53"/>
              </w:numPr>
              <w:ind w:left="312" w:hanging="283"/>
            </w:pPr>
            <w:r w:rsidRPr="00846769">
              <w:rPr>
                <w:b w:val="0"/>
                <w:bCs w:val="0"/>
              </w:rPr>
              <w:t>Where possible, seal until stand</w:t>
            </w:r>
            <w:r>
              <w:rPr>
                <w:b w:val="0"/>
                <w:bCs w:val="0"/>
              </w:rPr>
              <w:t>-</w:t>
            </w:r>
            <w:r w:rsidRPr="00846769">
              <w:rPr>
                <w:b w:val="0"/>
                <w:bCs w:val="0"/>
              </w:rPr>
              <w:t>down of emergency response</w:t>
            </w:r>
          </w:p>
          <w:p w14:paraId="0D649E52" w14:textId="5854C327" w:rsidR="004302C5" w:rsidRPr="00846769" w:rsidRDefault="004302C5" w:rsidP="00A04E26">
            <w:pPr>
              <w:pStyle w:val="TableText"/>
              <w:numPr>
                <w:ilvl w:val="0"/>
                <w:numId w:val="53"/>
              </w:numPr>
              <w:ind w:left="312" w:hanging="283"/>
            </w:pPr>
            <w:r w:rsidRPr="00846769">
              <w:rPr>
                <w:b w:val="0"/>
              </w:rPr>
              <w:t>Educate service agents of risk</w:t>
            </w:r>
          </w:p>
        </w:tc>
      </w:tr>
    </w:tbl>
    <w:bookmarkEnd w:id="382"/>
    <w:p w14:paraId="382D388A" w14:textId="36B12920" w:rsidR="009967A2" w:rsidRPr="00846769" w:rsidRDefault="009967A2" w:rsidP="009967A2">
      <w:pPr>
        <w:pStyle w:val="FigureTableNoteSource"/>
        <w:rPr>
          <w:rFonts w:cstheme="minorHAnsi"/>
        </w:rPr>
      </w:pPr>
      <w:r w:rsidRPr="00846769">
        <w:rPr>
          <w:rFonts w:cstheme="minorHAnsi"/>
        </w:rPr>
        <w:t xml:space="preserve">Source: Modified from </w:t>
      </w:r>
      <w:r w:rsidRPr="00A841CD">
        <w:t xml:space="preserve">Bax et al. (2002); </w:t>
      </w:r>
      <w:r w:rsidRPr="00A841CD">
        <w:rPr>
          <w:rFonts w:cs="Calibri"/>
        </w:rPr>
        <w:t xml:space="preserve">†Fauna </w:t>
      </w:r>
      <w:proofErr w:type="gramStart"/>
      <w:r w:rsidRPr="00A841CD">
        <w:rPr>
          <w:rFonts w:cs="Calibri"/>
        </w:rPr>
        <w:t>are</w:t>
      </w:r>
      <w:proofErr w:type="gramEnd"/>
      <w:r w:rsidRPr="00A841CD">
        <w:rPr>
          <w:rFonts w:cs="Calibri"/>
        </w:rPr>
        <w:t xml:space="preserve"> recognised as vectors </w:t>
      </w:r>
      <w:r w:rsidR="009B4610" w:rsidRPr="00A841CD">
        <w:rPr>
          <w:rFonts w:cs="Calibri"/>
        </w:rPr>
        <w:t xml:space="preserve">for spreading bivalves </w:t>
      </w:r>
      <w:r w:rsidRPr="00A841CD">
        <w:rPr>
          <w:rFonts w:cs="Calibri"/>
        </w:rPr>
        <w:t xml:space="preserve">– for example, </w:t>
      </w:r>
      <w:r w:rsidR="009B4610" w:rsidRPr="00A841CD">
        <w:rPr>
          <w:rFonts w:cs="Calibri"/>
        </w:rPr>
        <w:t xml:space="preserve">seabirds </w:t>
      </w:r>
      <w:r w:rsidR="009B4610" w:rsidRPr="00A841CD">
        <w:t>can forage on or collect bivalves to feed to their offspring</w:t>
      </w:r>
      <w:r w:rsidR="001D78AA" w:rsidRPr="00A841CD">
        <w:t xml:space="preserve"> </w:t>
      </w:r>
      <w:r w:rsidR="009B4610" w:rsidRPr="00A841CD">
        <w:t xml:space="preserve">and may inadvertently spread invasive bivalves </w:t>
      </w:r>
      <w:r w:rsidRPr="00A841CD">
        <w:t>(DAFF 202</w:t>
      </w:r>
      <w:r w:rsidR="00933093" w:rsidRPr="00A841CD">
        <w:t>0</w:t>
      </w:r>
      <w:r w:rsidRPr="00A841CD">
        <w:t>b).</w:t>
      </w:r>
    </w:p>
    <w:p w14:paraId="6136DF04" w14:textId="77777777" w:rsidR="006B5DEA" w:rsidRPr="00846769" w:rsidRDefault="006B5DEA" w:rsidP="006B5DEA">
      <w:pPr>
        <w:pStyle w:val="Heading4"/>
        <w:numPr>
          <w:ilvl w:val="2"/>
          <w:numId w:val="4"/>
        </w:numPr>
      </w:pPr>
      <w:bookmarkStart w:id="383" w:name="_Vessel_biofouling_management"/>
      <w:bookmarkEnd w:id="383"/>
      <w:r w:rsidRPr="00846769">
        <w:lastRenderedPageBreak/>
        <w:t>Vessel biofouling management</w:t>
      </w:r>
    </w:p>
    <w:p w14:paraId="11168F8C" w14:textId="26E5872A" w:rsidR="006B5DEA" w:rsidRPr="00846769" w:rsidRDefault="006B5DEA" w:rsidP="006B5DEA">
      <w:bookmarkStart w:id="384" w:name="_Hlk170737490"/>
      <w:r w:rsidRPr="00846769">
        <w:rPr>
          <w:rFonts w:cstheme="minorHAnsi"/>
        </w:rPr>
        <w:t xml:space="preserve">Removal of biofouling on vessels includes land-based treatment, treatment of biofouling in internal seawater systems, and various in-water treatments. </w:t>
      </w:r>
      <w:bookmarkStart w:id="385" w:name="_Hlk170737331"/>
      <w:r w:rsidRPr="00846769">
        <w:rPr>
          <w:rFonts w:cstheme="minorHAnsi"/>
        </w:rPr>
        <w:t xml:space="preserve">Refer to </w:t>
      </w:r>
      <w:r w:rsidR="00701A73" w:rsidRPr="00846769">
        <w:rPr>
          <w:rFonts w:cstheme="minorHAnsi"/>
        </w:rPr>
        <w:t xml:space="preserve">the </w:t>
      </w:r>
      <w:hyperlink r:id="rId125" w:history="1">
        <w:r w:rsidR="00701A73" w:rsidRPr="00846769">
          <w:rPr>
            <w:rStyle w:val="Hyperlink"/>
          </w:rPr>
          <w:t>Anti</w:t>
        </w:r>
        <w:r w:rsidR="00701A73" w:rsidRPr="00846769">
          <w:rPr>
            <w:rStyle w:val="Hyperlink"/>
          </w:rPr>
          <w:noBreakHyphen/>
          <w:t>fouling and in</w:t>
        </w:r>
        <w:r w:rsidR="00701A73" w:rsidRPr="00846769">
          <w:rPr>
            <w:rStyle w:val="Hyperlink"/>
          </w:rPr>
          <w:noBreakHyphen/>
          <w:t>water cleaning guidelines</w:t>
        </w:r>
      </w:hyperlink>
      <w:r w:rsidR="00701A73" w:rsidRPr="00846769">
        <w:t xml:space="preserve"> for </w:t>
      </w:r>
      <w:r w:rsidRPr="00846769">
        <w:t>best-practice approaches for the application, maintenance, removal</w:t>
      </w:r>
      <w:r w:rsidR="00701A73" w:rsidRPr="00846769">
        <w:t>,</w:t>
      </w:r>
      <w:r w:rsidRPr="00846769">
        <w:t xml:space="preserve"> and disposal of anti-fouling coatings and the management of biofouling.</w:t>
      </w:r>
      <w:bookmarkEnd w:id="385"/>
    </w:p>
    <w:bookmarkEnd w:id="384"/>
    <w:p w14:paraId="298DA156" w14:textId="4CCE269E" w:rsidR="006B5DEA" w:rsidRPr="00846769" w:rsidRDefault="006B5DEA" w:rsidP="006B5DEA">
      <w:r w:rsidRPr="00846769">
        <w:t xml:space="preserve">For vessels known to be infested with an invasive marine bivalve, prevention of entry, treatment, or vessel cleaning before entry to a port are the most effective management options. Where </w:t>
      </w:r>
      <w:r w:rsidR="00DE49A5">
        <w:t xml:space="preserve">suitable </w:t>
      </w:r>
      <w:r w:rsidRPr="00846769">
        <w:t xml:space="preserve">facilities are available and it is operationally practical, vessels and movable structures should be removed from the water for cleaning and maintenance, in preference to in-water operations. Australian dry dock facility information can be obtained from the </w:t>
      </w:r>
      <w:hyperlink r:id="rId126" w:history="1">
        <w:r w:rsidRPr="00846769">
          <w:rPr>
            <w:rStyle w:val="Hyperlink"/>
          </w:rPr>
          <w:t>National Maritime Centre</w:t>
        </w:r>
      </w:hyperlink>
      <w:r w:rsidRPr="00846769">
        <w:t xml:space="preserve"> (NMC). In-water cleaning in Commonwealth waters may require referral under the </w:t>
      </w:r>
      <w:hyperlink r:id="rId127" w:history="1">
        <w:r w:rsidRPr="00846769">
          <w:rPr>
            <w:rStyle w:val="Hyperlink"/>
          </w:rPr>
          <w:t>Environment Protection and Biodiversity Conservation Act 1999</w:t>
        </w:r>
      </w:hyperlink>
      <w:r w:rsidRPr="00846769">
        <w:t xml:space="preserve"> (EPBC Act). Dry-docking and in-water operation principles and recommendations are contained in the </w:t>
      </w:r>
      <w:hyperlink r:id="rId128" w:history="1">
        <w:r w:rsidRPr="00846769">
          <w:rPr>
            <w:rStyle w:val="Hyperlink"/>
          </w:rPr>
          <w:t>Anti</w:t>
        </w:r>
        <w:r w:rsidRPr="00846769">
          <w:rPr>
            <w:rStyle w:val="Hyperlink"/>
          </w:rPr>
          <w:noBreakHyphen/>
          <w:t>fouling and in</w:t>
        </w:r>
        <w:r w:rsidRPr="00846769">
          <w:rPr>
            <w:rStyle w:val="Hyperlink"/>
          </w:rPr>
          <w:noBreakHyphen/>
          <w:t>water cleaning guidelines</w:t>
        </w:r>
      </w:hyperlink>
      <w:r w:rsidRPr="00846769">
        <w:rPr>
          <w:rStyle w:val="Hyperlink"/>
        </w:rPr>
        <w:t>.</w:t>
      </w:r>
    </w:p>
    <w:p w14:paraId="397331EA" w14:textId="77777777" w:rsidR="006B5DEA" w:rsidRPr="00846769" w:rsidRDefault="006B5DEA" w:rsidP="006B5DEA">
      <w:r w:rsidRPr="00846769">
        <w:t>If the activity does not require referral under the EPBC Act, the activity must be self</w:t>
      </w:r>
      <w:r w:rsidRPr="00846769">
        <w:noBreakHyphen/>
        <w:t xml:space="preserve">assessed using </w:t>
      </w:r>
      <w:r w:rsidRPr="00846769">
        <w:rPr>
          <w:i/>
          <w:iCs/>
        </w:rPr>
        <w:t>Appendix 1: Decision support tool for in-water cleaning</w:t>
      </w:r>
      <w:r w:rsidRPr="00846769">
        <w:t xml:space="preserve"> of the </w:t>
      </w:r>
      <w:hyperlink r:id="rId129" w:history="1">
        <w:r w:rsidRPr="00846769">
          <w:rPr>
            <w:rStyle w:val="Hyperlink"/>
          </w:rPr>
          <w:t>Anti</w:t>
        </w:r>
        <w:r w:rsidRPr="00846769">
          <w:rPr>
            <w:rStyle w:val="Hyperlink"/>
          </w:rPr>
          <w:noBreakHyphen/>
          <w:t>fouling and in</w:t>
        </w:r>
        <w:r w:rsidRPr="00846769">
          <w:rPr>
            <w:rStyle w:val="Hyperlink"/>
          </w:rPr>
          <w:noBreakHyphen/>
          <w:t>water cleaning guidelines</w:t>
        </w:r>
      </w:hyperlink>
      <w:r w:rsidRPr="00846769">
        <w:rPr>
          <w:rStyle w:val="Hyperlink"/>
        </w:rPr>
        <w:t>.</w:t>
      </w:r>
      <w:r w:rsidRPr="00846769">
        <w:rPr>
          <w:rFonts w:cstheme="minorHAnsi"/>
        </w:rPr>
        <w:t xml:space="preserve"> Each state or territory jurisdiction is the primary contact for biofouling management advice. </w:t>
      </w:r>
      <w:r w:rsidRPr="00846769">
        <w:t>Requirements and approvals for in</w:t>
      </w:r>
      <w:r w:rsidRPr="00846769">
        <w:noBreakHyphen/>
        <w:t xml:space="preserve">water cleaning in state or Northern Territory waters differ and should be clarified with the relevant agencies as listed on the </w:t>
      </w:r>
      <w:hyperlink r:id="rId130" w:history="1">
        <w:r w:rsidRPr="00846769">
          <w:rPr>
            <w:rStyle w:val="Hyperlink"/>
          </w:rPr>
          <w:t>Anti-fouling and in-water cleaning guidelines</w:t>
        </w:r>
      </w:hyperlink>
      <w:r w:rsidRPr="00846769">
        <w:t xml:space="preserve"> webpage.</w:t>
      </w:r>
    </w:p>
    <w:p w14:paraId="4DDE9248" w14:textId="62F966CE" w:rsidR="006B5DEA" w:rsidRPr="00846769" w:rsidRDefault="006B5DEA" w:rsidP="006B5DEA">
      <w:pPr>
        <w:rPr>
          <w:rFonts w:cstheme="minorHAnsi"/>
        </w:rPr>
      </w:pPr>
      <w:r w:rsidRPr="00846769">
        <w:rPr>
          <w:rFonts w:cstheme="minorHAnsi"/>
        </w:rPr>
        <w:t xml:space="preserve">The </w:t>
      </w:r>
      <w:r w:rsidRPr="00846769">
        <w:rPr>
          <w:rStyle w:val="Emphasis"/>
        </w:rPr>
        <w:t xml:space="preserve">Biosecurity Act 2015 </w:t>
      </w:r>
      <w:r w:rsidRPr="00846769">
        <w:rPr>
          <w:rFonts w:cstheme="minorHAnsi"/>
        </w:rPr>
        <w:t xml:space="preserve">can be used in the absence of appropriate state or territory legislative powers and may be used in </w:t>
      </w:r>
      <w:r w:rsidR="00287F50">
        <w:rPr>
          <w:rFonts w:cstheme="minorHAnsi"/>
        </w:rPr>
        <w:t xml:space="preserve">certain </w:t>
      </w:r>
      <w:r w:rsidRPr="00846769">
        <w:rPr>
          <w:rFonts w:cstheme="minorHAnsi"/>
        </w:rPr>
        <w:t>circumstances, including directing conveyances.</w:t>
      </w:r>
      <w:r w:rsidRPr="00846769">
        <w:t xml:space="preserve"> The </w:t>
      </w:r>
      <w:r w:rsidRPr="00846769">
        <w:rPr>
          <w:rStyle w:val="Emphasis"/>
        </w:rPr>
        <w:t>Biosecurity Act 2015</w:t>
      </w:r>
      <w:r w:rsidRPr="00846769">
        <w:t xml:space="preserve"> defines conveyances as including vessels and floating structures</w:t>
      </w:r>
      <w:r w:rsidRPr="00846769">
        <w:rPr>
          <w:rFonts w:cstheme="minorHAnsi"/>
        </w:rPr>
        <w:t xml:space="preserve">. </w:t>
      </w:r>
      <w:bookmarkStart w:id="386" w:name="_Hlk187487567"/>
      <w:r w:rsidRPr="00846769">
        <w:rPr>
          <w:rFonts w:cstheme="minorHAnsi"/>
        </w:rPr>
        <w:t xml:space="preserve">The Australian Director of Biosecurity (or a delegate) can authorise state and territory officers as biosecurity officers under the </w:t>
      </w:r>
      <w:r w:rsidRPr="00846769">
        <w:rPr>
          <w:i/>
          <w:iCs/>
        </w:rPr>
        <w:t>Biosecurity Act 2015</w:t>
      </w:r>
      <w:r w:rsidRPr="00846769">
        <w:rPr>
          <w:rFonts w:cstheme="minorHAnsi"/>
        </w:rPr>
        <w:t xml:space="preserve">, which can enable actions in a biosecurity response. A provisional list of other Commonwealth and State powers for intervention and detention of vessels is in </w:t>
      </w:r>
      <w:hyperlink w:anchor="_Appendix_D:_Commonwealth," w:history="1">
        <w:r w:rsidRPr="00846769">
          <w:rPr>
            <w:rStyle w:val="Hyperlink"/>
            <w:rFonts w:cstheme="minorHAnsi"/>
          </w:rPr>
          <w:t xml:space="preserve">Appendix </w:t>
        </w:r>
        <w:r w:rsidR="002D0BC2" w:rsidRPr="00846769">
          <w:rPr>
            <w:rStyle w:val="Hyperlink"/>
            <w:rFonts w:cstheme="minorHAnsi"/>
          </w:rPr>
          <w:t>D.</w:t>
        </w:r>
      </w:hyperlink>
      <w:bookmarkEnd w:id="386"/>
    </w:p>
    <w:p w14:paraId="6E9E9FE8" w14:textId="77777777" w:rsidR="006B5DEA" w:rsidRPr="00846769" w:rsidRDefault="006B5DEA" w:rsidP="006B5DEA">
      <w:pPr>
        <w:pStyle w:val="Heading5"/>
        <w:numPr>
          <w:ilvl w:val="3"/>
          <w:numId w:val="4"/>
        </w:numPr>
      </w:pPr>
      <w:bookmarkStart w:id="387" w:name="_Land-based_treatment"/>
      <w:bookmarkEnd w:id="387"/>
      <w:r w:rsidRPr="00846769">
        <w:t>Land-based treatment</w:t>
      </w:r>
    </w:p>
    <w:p w14:paraId="5669799F" w14:textId="0757444D" w:rsidR="006B5DEA" w:rsidRPr="00A841CD" w:rsidRDefault="0060746B" w:rsidP="006B5DEA">
      <w:pPr>
        <w:rPr>
          <w:rFonts w:cstheme="minorHAnsi"/>
        </w:rPr>
      </w:pPr>
      <w:r w:rsidRPr="00846769">
        <w:rPr>
          <w:rFonts w:cstheme="minorHAnsi"/>
        </w:rPr>
        <w:t xml:space="preserve">Like many fouling marine pests, </w:t>
      </w:r>
      <w:r w:rsidR="0057140C">
        <w:rPr>
          <w:rFonts w:cstheme="minorHAnsi"/>
        </w:rPr>
        <w:t xml:space="preserve">invasive marine </w:t>
      </w:r>
      <w:r w:rsidRPr="00846769">
        <w:rPr>
          <w:rFonts w:cstheme="minorHAnsi"/>
        </w:rPr>
        <w:t>b</w:t>
      </w:r>
      <w:r w:rsidR="006B5DEA" w:rsidRPr="00846769">
        <w:rPr>
          <w:rFonts w:cstheme="minorHAnsi"/>
        </w:rPr>
        <w:t xml:space="preserve">ivalves can inhabit internal piping and water intakes that are not easily inspected or cleaned. Therefore, haul-out of vessels and other non-permanent structures, such as moorings, pontoons, </w:t>
      </w:r>
      <w:r w:rsidRPr="00846769">
        <w:rPr>
          <w:rFonts w:cstheme="minorHAnsi"/>
        </w:rPr>
        <w:t>floats, fender moorings, c</w:t>
      </w:r>
      <w:r w:rsidR="006B5DEA" w:rsidRPr="00846769">
        <w:rPr>
          <w:rFonts w:cstheme="minorHAnsi"/>
        </w:rPr>
        <w:t>hains, and ropes</w:t>
      </w:r>
      <w:r w:rsidRPr="00846769">
        <w:rPr>
          <w:rFonts w:cstheme="minorHAnsi"/>
        </w:rPr>
        <w:t xml:space="preserve"> </w:t>
      </w:r>
      <w:r w:rsidR="006B5DEA" w:rsidRPr="00846769">
        <w:rPr>
          <w:rFonts w:cstheme="minorHAnsi"/>
        </w:rPr>
        <w:t xml:space="preserve">for </w:t>
      </w:r>
      <w:r w:rsidRPr="00846769">
        <w:rPr>
          <w:rFonts w:cstheme="minorHAnsi"/>
        </w:rPr>
        <w:t xml:space="preserve">inspection and </w:t>
      </w:r>
      <w:r w:rsidR="006B5DEA" w:rsidRPr="00846769">
        <w:rPr>
          <w:rFonts w:cstheme="minorHAnsi"/>
        </w:rPr>
        <w:t>treatment on land is the preferred option. This is most easily achieved for vessels &lt;25 metres in length and where suitable haul-out and dry-dock facilities are available near the control area. Larger vessels may need to be inspected and treated in</w:t>
      </w:r>
      <w:r w:rsidRPr="00846769">
        <w:rPr>
          <w:rFonts w:cstheme="minorHAnsi"/>
        </w:rPr>
        <w:t>-</w:t>
      </w:r>
      <w:r w:rsidR="006B5DEA" w:rsidRPr="00846769">
        <w:rPr>
          <w:rFonts w:cstheme="minorHAnsi"/>
        </w:rPr>
        <w:t xml:space="preserve">water or suitably treated in dry-dock </w:t>
      </w:r>
      <w:r w:rsidR="006B5DEA" w:rsidRPr="00A841CD">
        <w:rPr>
          <w:rFonts w:cstheme="minorHAnsi"/>
        </w:rPr>
        <w:t xml:space="preserve">where </w:t>
      </w:r>
      <w:r w:rsidRPr="00A841CD">
        <w:rPr>
          <w:rFonts w:cstheme="minorHAnsi"/>
        </w:rPr>
        <w:t>possible</w:t>
      </w:r>
      <w:r w:rsidR="006B5DEA" w:rsidRPr="00A841CD">
        <w:rPr>
          <w:rFonts w:cstheme="minorHAnsi"/>
        </w:rPr>
        <w:t>.</w:t>
      </w:r>
      <w:r w:rsidRPr="00A841CD">
        <w:rPr>
          <w:rFonts w:cstheme="minorHAnsi"/>
        </w:rPr>
        <w:t xml:space="preserve"> Hauling out vessels and large structures can of course be time consuming and expensive </w:t>
      </w:r>
      <w:r w:rsidRPr="00A841CD">
        <w:fldChar w:fldCharType="begin"/>
      </w:r>
      <w:r w:rsidRPr="00A841CD">
        <w:instrText xml:space="preserve"> ADDIN EN.CITE &lt;EndNote&gt;&lt;Cite&gt;&lt;Author&gt;Muñoz&lt;/Author&gt;&lt;Year&gt;2014&lt;/Year&gt;&lt;RecNum&gt;5321&lt;/RecNum&gt;&lt;DisplayText&gt;(Muñoz &amp;amp; McDonald 2014)&lt;/DisplayText&gt;&lt;record&gt;&lt;rec-number&gt;5321&lt;/rec-number&gt;&lt;foreign-keys&gt;&lt;key app="EN" db-id="5pw5zxs03zavz2esrer5zreaaer2f9v0wf9p" timestamp="1708374197" guid="290ea703-b544-43eb-8eaa-4b09b4736de6"&gt;5321&lt;/key&gt;&lt;/foreign-keys&gt;&lt;ref-type name="Report"&gt;27&lt;/ref-type&gt;&lt;contributors&gt;&lt;authors&gt;&lt;author&gt;Muñoz, Julieta&lt;/author&gt;&lt;author&gt;McDonald, Justin I.&lt;/author&gt;&lt;/authors&gt;&lt;tertiary-authors&gt;&lt;author&gt;Department of Fisheries, Western Australia&lt;/author&gt;&lt;/tertiary-authors&gt;&lt;/contributors&gt;&lt;titles&gt;&lt;title&gt;&lt;style face="normal" font="default" size="100%"&gt;Potential eradication and control methods for the management of the ascidian &lt;/style&gt;&lt;style face="italic" font="default" size="100%"&gt;Didemnum perlucidum&lt;/style&gt;&lt;style face="normal" font="default" size="100%"&gt; in Western Australia&lt;/style&gt;&lt;/title&gt;&lt;secondary-title&gt;Fisheries Research Report&lt;/secondary-title&gt;&lt;/titles&gt;&lt;pages&gt;40&lt;/pages&gt;&lt;volume&gt;252&lt;/volume&gt;&lt;dates&gt;&lt;year&gt;2014&lt;/year&gt;&lt;pub-dates&gt;&lt;date&gt;3-2014&lt;/date&gt;&lt;/pub-dates&gt;&lt;/dates&gt;&lt;publisher&gt;Department of Fisheries, Western Australia&lt;/publisher&gt;&lt;urls&gt;&lt;/urls&gt;&lt;/record&gt;&lt;/Cite&gt;&lt;/EndNote&gt;</w:instrText>
      </w:r>
      <w:r w:rsidRPr="00A841CD">
        <w:fldChar w:fldCharType="separate"/>
      </w:r>
      <w:r w:rsidRPr="00A841CD">
        <w:t>(Muñoz &amp; McDonald 2014)</w:t>
      </w:r>
      <w:r w:rsidRPr="00A841CD">
        <w:fldChar w:fldCharType="end"/>
      </w:r>
      <w:r w:rsidRPr="00A841CD">
        <w:t>.</w:t>
      </w:r>
      <w:r w:rsidR="006B5DEA" w:rsidRPr="00A841CD">
        <w:rPr>
          <w:rFonts w:cstheme="minorHAnsi"/>
        </w:rPr>
        <w:t xml:space="preserve"> </w:t>
      </w:r>
      <w:r w:rsidR="00287F50">
        <w:rPr>
          <w:rFonts w:cstheme="minorHAnsi"/>
        </w:rPr>
        <w:t>Haul-out needs to consider locations of known marine pest infestation to minimise risks of dislodgement.</w:t>
      </w:r>
    </w:p>
    <w:p w14:paraId="276BA9CC" w14:textId="373480AA" w:rsidR="006B5DEA" w:rsidRPr="00846769" w:rsidRDefault="0060746B" w:rsidP="006B5DEA">
      <w:r w:rsidRPr="00A841CD">
        <w:t>Invasive marine b</w:t>
      </w:r>
      <w:r w:rsidR="006B5DEA" w:rsidRPr="00A841CD">
        <w:t xml:space="preserve">ivalves can withstand extreme environments and are tolerant of many treatment types. Therefore, bivalves that are dislodged during haul-out or vessel cleaning could start a new population if returned to the sea. The </w:t>
      </w:r>
      <w:r w:rsidRPr="00A841CD">
        <w:t>i</w:t>
      </w:r>
      <w:r w:rsidR="006B5DEA" w:rsidRPr="00A841CD">
        <w:t xml:space="preserve">ncident </w:t>
      </w:r>
      <w:r w:rsidRPr="00A841CD">
        <w:t>m</w:t>
      </w:r>
      <w:r w:rsidR="006B5DEA" w:rsidRPr="00A841CD">
        <w:t xml:space="preserve">anager must approve haul-out facilities used for decontamination. Such facilities should be fully contained so that material from vessel hulls cannot accidentally or intentionally be returned to the marine environment. All macro (&gt;1 mm) particles removed from vessels cleaned out of water should be retained and disposed of in landfill (or as biohazard material in secure landfill if appropriate). All liquid effluent (runoff) from out-of-water </w:t>
      </w:r>
      <w:r w:rsidR="006B5DEA" w:rsidRPr="00A841CD">
        <w:lastRenderedPageBreak/>
        <w:t>vessel water blasting or cleaning must be filtered to 10 µm (Sherman et al. 2020) then</w:t>
      </w:r>
      <w:r w:rsidR="006B5DEA" w:rsidRPr="00846769">
        <w:t xml:space="preserve"> collected for treatment in a liquid effluent treatment system</w:t>
      </w:r>
      <w:r w:rsidRPr="00846769">
        <w:t xml:space="preserve"> (including municipal waste</w:t>
      </w:r>
      <w:r w:rsidR="000E7F70">
        <w:t>-</w:t>
      </w:r>
      <w:r w:rsidRPr="00846769">
        <w:t>water systems)</w:t>
      </w:r>
      <w:r w:rsidR="006B5DEA" w:rsidRPr="00846769">
        <w:t xml:space="preserve"> or disposal in a secure landfill/seepage system that does not connect with waterways.</w:t>
      </w:r>
    </w:p>
    <w:p w14:paraId="1EFEECA8" w14:textId="70023C97" w:rsidR="007D3E34" w:rsidRPr="00846769" w:rsidRDefault="007D3E34" w:rsidP="007D3E34">
      <w:pPr>
        <w:rPr>
          <w:rFonts w:cstheme="minorHAnsi"/>
        </w:rPr>
      </w:pPr>
      <w:r w:rsidRPr="00846769">
        <w:rPr>
          <w:rFonts w:cstheme="minorHAnsi"/>
        </w:rPr>
        <w:t>Depending on the bivalve in question, high-pressure water blasting followed by prolonged (&gt;5 days) desiccation (aerial exposure, preferably to the sun) may also be used to treat other fouled structures removed from an infested area, such as mooring blocks, pontoons, floats, and fenders. Consideration needs to be given</w:t>
      </w:r>
      <w:r w:rsidR="000E7F70">
        <w:rPr>
          <w:rFonts w:cstheme="minorHAnsi"/>
        </w:rPr>
        <w:t xml:space="preserve"> to likely effectiveness</w:t>
      </w:r>
      <w:r w:rsidRPr="00846769">
        <w:rPr>
          <w:rFonts w:cstheme="minorHAnsi"/>
        </w:rPr>
        <w:t xml:space="preserve"> if using this method for invasive marine bivalves which can survive for extended periods out of the water.</w:t>
      </w:r>
    </w:p>
    <w:p w14:paraId="685DB333" w14:textId="44B7485E" w:rsidR="006B5DEA" w:rsidRPr="00846769" w:rsidRDefault="006B5DEA" w:rsidP="006B5DEA">
      <w:pPr>
        <w:rPr>
          <w:rFonts w:cstheme="minorHAnsi"/>
        </w:rPr>
      </w:pPr>
      <w:r w:rsidRPr="00846769">
        <w:rPr>
          <w:rFonts w:cstheme="minorHAnsi"/>
        </w:rPr>
        <w:t>Approved vessel cleaning facilities should comply with relevant jurisdictional requirements for waste containment and disposal from slipways, boat repair</w:t>
      </w:r>
      <w:r w:rsidR="007D3E34" w:rsidRPr="00846769">
        <w:rPr>
          <w:rFonts w:cstheme="minorHAnsi"/>
        </w:rPr>
        <w:t>,</w:t>
      </w:r>
      <w:r w:rsidRPr="00846769">
        <w:rPr>
          <w:rFonts w:cstheme="minorHAnsi"/>
        </w:rPr>
        <w:t xml:space="preserve"> and maintenance facilities. Guidance for identifying and selecting approved vessel cleaning facilities suitable for removing marine pests are </w:t>
      </w:r>
      <w:r w:rsidRPr="00400F7D">
        <w:rPr>
          <w:rFonts w:cstheme="minorHAnsi"/>
        </w:rPr>
        <w:t>given by Woods et al. (2007).</w:t>
      </w:r>
      <w:r w:rsidRPr="00846769">
        <w:rPr>
          <w:rFonts w:cstheme="minorHAnsi"/>
        </w:rPr>
        <w:t xml:space="preserve"> </w:t>
      </w:r>
    </w:p>
    <w:p w14:paraId="2BDBCC13" w14:textId="77777777" w:rsidR="006B5DEA" w:rsidRPr="00846769" w:rsidRDefault="006B5DEA" w:rsidP="006B5DEA">
      <w:pPr>
        <w:pStyle w:val="Heading5"/>
        <w:numPr>
          <w:ilvl w:val="3"/>
          <w:numId w:val="4"/>
        </w:numPr>
      </w:pPr>
      <w:r w:rsidRPr="00846769">
        <w:t>Internal seawater systems</w:t>
      </w:r>
    </w:p>
    <w:p w14:paraId="2A30C7DA" w14:textId="77777777" w:rsidR="006B5DEA" w:rsidRPr="00846769" w:rsidRDefault="006B5DEA" w:rsidP="006B5DEA">
      <w:pPr>
        <w:rPr>
          <w:rFonts w:cstheme="minorHAnsi"/>
        </w:rPr>
      </w:pPr>
      <w:r w:rsidRPr="00846769">
        <w:rPr>
          <w:rFonts w:cstheme="minorHAnsi"/>
        </w:rPr>
        <w:t>Bivalves are robust marine organisms and capable of tolerating extreme environments. Internal seawater systems of vessels should be treated to the greatest extent possible with:</w:t>
      </w:r>
    </w:p>
    <w:p w14:paraId="7F5D5B01" w14:textId="77777777" w:rsidR="00E5169D" w:rsidRPr="00A841CD" w:rsidRDefault="00E5169D" w:rsidP="00E5169D">
      <w:pPr>
        <w:pStyle w:val="ListBullet"/>
      </w:pPr>
      <w:r w:rsidRPr="00757D3C">
        <w:t>5%</w:t>
      </w:r>
      <w:r>
        <w:t> </w:t>
      </w:r>
      <w:r w:rsidRPr="00757D3C">
        <w:t>v/v industrial detergent (</w:t>
      </w:r>
      <w:r w:rsidRPr="00E82F86">
        <w:t>quaternary ammonium disinfectants) in water (preferably freshwater) for 14 </w:t>
      </w:r>
      <w:r w:rsidRPr="00A841CD">
        <w:t xml:space="preserve">hours </w:t>
      </w:r>
      <w:r w:rsidRPr="00A841CD">
        <w:rPr>
          <w:noProof/>
        </w:rPr>
        <w:t>(Lewis &amp; Dimas 2007). In the NT an 8% QAC</w:t>
      </w:r>
      <w:r w:rsidRPr="00A841CD">
        <w:t xml:space="preserve"> disinfectant is used for ten hours in internal seawater systems.</w:t>
      </w:r>
    </w:p>
    <w:p w14:paraId="533D181D" w14:textId="77777777" w:rsidR="006B5DEA" w:rsidRPr="00A841CD" w:rsidRDefault="006B5DEA" w:rsidP="006B5DEA">
      <w:pPr>
        <w:pStyle w:val="ListBullet"/>
      </w:pPr>
      <w:r w:rsidRPr="00A841CD">
        <w:t>chlorine at a concentration of 24 mg/L for 90 hours (Bax et al. 2002)</w:t>
      </w:r>
    </w:p>
    <w:p w14:paraId="69D2E2A8" w14:textId="6A251621" w:rsidR="006B5DEA" w:rsidRPr="00A841CD" w:rsidRDefault="006B5DEA" w:rsidP="006B5DEA">
      <w:pPr>
        <w:pStyle w:val="ListBullet"/>
      </w:pPr>
      <w:r w:rsidRPr="00A841CD">
        <w:t>hot water</w:t>
      </w:r>
      <w:r w:rsidR="00E5169D" w:rsidRPr="00A841CD">
        <w:t xml:space="preserve"> at</w:t>
      </w:r>
      <w:r w:rsidRPr="00A841CD">
        <w:t xml:space="preserve"> 60°C for 1 hour </w:t>
      </w:r>
      <w:bookmarkStart w:id="388" w:name="_Hlk87017866"/>
      <w:r w:rsidRPr="00A841CD">
        <w:t>(</w:t>
      </w:r>
      <w:r w:rsidR="005F7F32" w:rsidRPr="00A841CD">
        <w:t>Growcott, Kluza &amp; Georgiades 2016</w:t>
      </w:r>
      <w:r w:rsidRPr="00A841CD">
        <w:t>)</w:t>
      </w:r>
      <w:bookmarkEnd w:id="388"/>
      <w:r w:rsidRPr="00A841CD">
        <w:t xml:space="preserve"> or</w:t>
      </w:r>
    </w:p>
    <w:p w14:paraId="5A4E23DE" w14:textId="77777777" w:rsidR="006B5DEA" w:rsidRPr="00A841CD" w:rsidRDefault="006B5DEA" w:rsidP="006B5DEA">
      <w:pPr>
        <w:pStyle w:val="ListBullet"/>
      </w:pPr>
      <w:r w:rsidRPr="00A841CD">
        <w:t>copper sulphate solution at a concentration of 1 mg/L for 38 hours (Bax et al. 2002).</w:t>
      </w:r>
    </w:p>
    <w:p w14:paraId="02C2D784" w14:textId="1977CE47" w:rsidR="006B5DEA" w:rsidRPr="00A841CD" w:rsidRDefault="006B5DEA" w:rsidP="006B5DEA">
      <w:pPr>
        <w:pStyle w:val="ListBullet"/>
        <w:numPr>
          <w:ilvl w:val="0"/>
          <w:numId w:val="0"/>
        </w:numPr>
        <w:spacing w:after="200"/>
      </w:pPr>
      <w:r w:rsidRPr="00A841CD">
        <w:t xml:space="preserve">Concentrations </w:t>
      </w:r>
      <w:r w:rsidR="0057140C" w:rsidRPr="00A841CD">
        <w:t xml:space="preserve">of chemical treatments </w:t>
      </w:r>
      <w:r w:rsidRPr="00A841CD">
        <w:t xml:space="preserve">will need checking at intervals to ensure they are maintained, particularly for chlorine which degrades rapidly in the presence of organic matter. Other treatments, especially copper sulphate, can have environmental impacts and may be regulated by legislation or by the waterway managers. Refer to </w:t>
      </w:r>
      <w:hyperlink w:anchor="_Permits_to_use" w:history="1">
        <w:r w:rsidRPr="00A841CD">
          <w:rPr>
            <w:rStyle w:val="Hyperlink"/>
          </w:rPr>
          <w:t>Section 5.</w:t>
        </w:r>
        <w:r w:rsidR="002D0BC2" w:rsidRPr="00A841CD">
          <w:rPr>
            <w:rStyle w:val="Hyperlink"/>
          </w:rPr>
          <w:t>3</w:t>
        </w:r>
        <w:r w:rsidRPr="00A841CD">
          <w:rPr>
            <w:rStyle w:val="Hyperlink"/>
          </w:rPr>
          <w:t>.2</w:t>
        </w:r>
        <w:r w:rsidR="0057140C" w:rsidRPr="00A841CD">
          <w:rPr>
            <w:rStyle w:val="Hyperlink"/>
          </w:rPr>
          <w:t>.1</w:t>
        </w:r>
      </w:hyperlink>
      <w:r w:rsidRPr="00A841CD">
        <w:t xml:space="preserve"> regarding </w:t>
      </w:r>
      <w:r w:rsidR="00EF320C" w:rsidRPr="00A841CD">
        <w:t xml:space="preserve">permits </w:t>
      </w:r>
      <w:r w:rsidRPr="00A841CD">
        <w:t>to chemically treat waterways. A product using hydrochloric acid (</w:t>
      </w:r>
      <w:proofErr w:type="spellStart"/>
      <w:r w:rsidRPr="00A841CD">
        <w:t>Rydlyme</w:t>
      </w:r>
      <w:bookmarkStart w:id="389" w:name="_Hlk187484319"/>
      <w:proofErr w:type="spellEnd"/>
      <w:r w:rsidR="00E5169D" w:rsidRPr="00A841CD">
        <w:t>®</w:t>
      </w:r>
      <w:bookmarkEnd w:id="389"/>
      <w:r w:rsidRPr="00A841CD">
        <w:t>) is available and is effective at dissolving bivalves. There have been mixed reports of its effect on marine internal seawater systems (Bracken et al. 2016)</w:t>
      </w:r>
      <w:r w:rsidR="002D0BC2" w:rsidRPr="00A841CD">
        <w:t>, but i</w:t>
      </w:r>
      <w:r w:rsidRPr="00A841CD">
        <w:t>t has been used to treat invasive marine bivalve infestations in Australia.</w:t>
      </w:r>
      <w:r w:rsidRPr="00A841CD">
        <w:rPr>
          <w:rStyle w:val="CommentReference"/>
        </w:rPr>
        <w:t xml:space="preserve"> </w:t>
      </w:r>
      <w:r w:rsidRPr="00A841CD">
        <w:t xml:space="preserve"> </w:t>
      </w:r>
    </w:p>
    <w:p w14:paraId="07D28A98" w14:textId="77777777" w:rsidR="006B5DEA" w:rsidRPr="00846769" w:rsidRDefault="006B5DEA" w:rsidP="006B5DEA">
      <w:pPr>
        <w:pStyle w:val="ListBullet"/>
        <w:numPr>
          <w:ilvl w:val="0"/>
          <w:numId w:val="0"/>
        </w:numPr>
        <w:spacing w:after="200"/>
      </w:pPr>
      <w:r w:rsidRPr="00A841CD">
        <w:t xml:space="preserve">There are novel tools that been developed to specifically treat invasive marine bivalves previously, however their broader efficacy and impacts on bivalves is unknown. A commercial biotechnology product, </w:t>
      </w:r>
      <w:hyperlink r:id="rId131">
        <w:proofErr w:type="spellStart"/>
        <w:r w:rsidRPr="00A841CD">
          <w:rPr>
            <w:rStyle w:val="Hyperlink"/>
          </w:rPr>
          <w:t>BioBullets</w:t>
        </w:r>
        <w:proofErr w:type="spellEnd"/>
      </w:hyperlink>
      <w:r w:rsidRPr="00A841CD">
        <w:t xml:space="preserve">, provides encapsulated active ingredients to treat filter feeding bivalves within industrial piping. Although the website does not specify internal seawater systems, they are effective at controlling bivalves in industrial piping. </w:t>
      </w:r>
      <w:proofErr w:type="spellStart"/>
      <w:r w:rsidRPr="00A841CD">
        <w:t>BioBullets</w:t>
      </w:r>
      <w:proofErr w:type="spellEnd"/>
      <w:r w:rsidRPr="00A841CD">
        <w:t xml:space="preserve"> offer tailored dosing programmes specific to the target organism and its environment. The active ingredients are not listed on the company website. </w:t>
      </w:r>
      <w:proofErr w:type="spellStart"/>
      <w:r w:rsidRPr="00A841CD">
        <w:t>BioBullets</w:t>
      </w:r>
      <w:proofErr w:type="spellEnd"/>
      <w:r w:rsidRPr="00A841CD">
        <w:t xml:space="preserve"> encapsulates active ingredients which are edible to bivalve molluscs by mimicking food items in size and buoyancy. </w:t>
      </w:r>
      <w:proofErr w:type="spellStart"/>
      <w:r w:rsidRPr="00A841CD">
        <w:t>BioBullets</w:t>
      </w:r>
      <w:proofErr w:type="spellEnd"/>
      <w:r w:rsidRPr="00A841CD">
        <w:t xml:space="preserve"> were effective at treating the Gulf wedge clam, </w:t>
      </w:r>
      <w:proofErr w:type="spellStart"/>
      <w:r w:rsidRPr="00A841CD">
        <w:rPr>
          <w:i/>
          <w:iCs/>
        </w:rPr>
        <w:t>Rangia</w:t>
      </w:r>
      <w:proofErr w:type="spellEnd"/>
      <w:r w:rsidRPr="00A841CD">
        <w:rPr>
          <w:i/>
          <w:iCs/>
        </w:rPr>
        <w:t xml:space="preserve"> cuneata, </w:t>
      </w:r>
      <w:r w:rsidRPr="00A841CD">
        <w:t>under laboratory conditions but their efficacy in field conditions and for treating other species is unknown (Tang &amp; Aldridge 2019).</w:t>
      </w:r>
    </w:p>
    <w:p w14:paraId="331BA012" w14:textId="1717E92B" w:rsidR="006B5DEA" w:rsidRPr="00846769" w:rsidRDefault="006B5DEA" w:rsidP="006B5DEA">
      <w:pPr>
        <w:pStyle w:val="ListBullet"/>
        <w:numPr>
          <w:ilvl w:val="0"/>
          <w:numId w:val="0"/>
        </w:numPr>
        <w:spacing w:after="200"/>
      </w:pPr>
      <w:r w:rsidRPr="00846769">
        <w:lastRenderedPageBreak/>
        <w:t xml:space="preserve">For further information on </w:t>
      </w:r>
      <w:r w:rsidR="002D0BC2" w:rsidRPr="00846769">
        <w:t>physical and chemical treatment</w:t>
      </w:r>
      <w:r w:rsidR="00E5169D">
        <w:t>s</w:t>
      </w:r>
      <w:r w:rsidR="002D0BC2" w:rsidRPr="00846769">
        <w:t>,</w:t>
      </w:r>
      <w:r w:rsidRPr="00846769">
        <w:t xml:space="preserve"> see </w:t>
      </w:r>
      <w:hyperlink w:anchor="_Physical_treatment" w:history="1">
        <w:r w:rsidRPr="00846769">
          <w:rPr>
            <w:rStyle w:val="Hyperlink"/>
          </w:rPr>
          <w:t xml:space="preserve">Section </w:t>
        </w:r>
        <w:r w:rsidR="002D0BC2" w:rsidRPr="00846769">
          <w:rPr>
            <w:rStyle w:val="Hyperlink"/>
          </w:rPr>
          <w:t>5.3.1</w:t>
        </w:r>
      </w:hyperlink>
      <w:r w:rsidRPr="00846769">
        <w:t xml:space="preserve"> and </w:t>
      </w:r>
      <w:hyperlink w:anchor="_Chemical_treatment" w:history="1">
        <w:r w:rsidRPr="00846769">
          <w:rPr>
            <w:rStyle w:val="Hyperlink"/>
          </w:rPr>
          <w:t xml:space="preserve">Section </w:t>
        </w:r>
        <w:r w:rsidR="002D0BC2" w:rsidRPr="00846769">
          <w:rPr>
            <w:rStyle w:val="Hyperlink"/>
          </w:rPr>
          <w:t>5.3.2</w:t>
        </w:r>
        <w:r w:rsidRPr="00846769">
          <w:rPr>
            <w:rStyle w:val="Hyperlink"/>
          </w:rPr>
          <w:t>,</w:t>
        </w:r>
      </w:hyperlink>
      <w:r w:rsidRPr="00846769">
        <w:t xml:space="preserve"> respectively. </w:t>
      </w:r>
    </w:p>
    <w:p w14:paraId="45D89B83" w14:textId="77777777" w:rsidR="006B5DEA" w:rsidRPr="00846769" w:rsidRDefault="006B5DEA" w:rsidP="006B5DEA">
      <w:pPr>
        <w:pStyle w:val="Heading5"/>
        <w:numPr>
          <w:ilvl w:val="3"/>
          <w:numId w:val="4"/>
        </w:numPr>
      </w:pPr>
      <w:r w:rsidRPr="00846769">
        <w:t>In-water cleaning</w:t>
      </w:r>
    </w:p>
    <w:p w14:paraId="21D2B809" w14:textId="51CBCA4C" w:rsidR="006B5DEA" w:rsidRPr="00846769" w:rsidRDefault="006B5DEA" w:rsidP="006B5DEA">
      <w:pPr>
        <w:rPr>
          <w:rFonts w:cstheme="minorHAnsi"/>
        </w:rPr>
      </w:pPr>
      <w:r w:rsidRPr="00846769">
        <w:rPr>
          <w:rFonts w:cstheme="minorHAnsi"/>
        </w:rPr>
        <w:t xml:space="preserve">The </w:t>
      </w:r>
      <w:hyperlink r:id="rId132" w:history="1">
        <w:r w:rsidR="007D3E34" w:rsidRPr="00846769">
          <w:rPr>
            <w:rStyle w:val="Hyperlink"/>
            <w:rFonts w:cstheme="minorHAnsi"/>
          </w:rPr>
          <w:t>A</w:t>
        </w:r>
        <w:r w:rsidRPr="00846769">
          <w:rPr>
            <w:rStyle w:val="Hyperlink"/>
            <w:rFonts w:cstheme="minorHAnsi"/>
          </w:rPr>
          <w:t>ntifouling and in-water cleaning guidelines</w:t>
        </w:r>
      </w:hyperlink>
      <w:r w:rsidRPr="00846769">
        <w:rPr>
          <w:rFonts w:cstheme="minorHAnsi"/>
        </w:rPr>
        <w:t xml:space="preserve"> state that where practical, vessels and moveable structures should be removed from the water for cleaning, in preference to in-water operations. When removal is not economically or practically viable, the guidelines accept in-water cleaning as a management option for removing biofouling, provided risks are appropriately managed and are supported by relevant jurisdictional authorities. </w:t>
      </w:r>
    </w:p>
    <w:p w14:paraId="253A8726" w14:textId="1B483A6B" w:rsidR="00EC29D6" w:rsidRPr="00A841CD" w:rsidRDefault="00EC29D6" w:rsidP="006B5DEA">
      <w:r w:rsidRPr="00846769">
        <w:rPr>
          <w:rFonts w:cstheme="minorHAnsi"/>
        </w:rPr>
        <w:t xml:space="preserve">A </w:t>
      </w:r>
      <w:r w:rsidR="002D0BC2" w:rsidRPr="00846769">
        <w:rPr>
          <w:rFonts w:cstheme="minorHAnsi"/>
        </w:rPr>
        <w:t>variety of</w:t>
      </w:r>
      <w:r w:rsidRPr="00846769">
        <w:rPr>
          <w:rFonts w:cstheme="minorHAnsi"/>
        </w:rPr>
        <w:t xml:space="preserve"> in-water tools use high-pressure water blasting (or jets or cavitation) to mechanically remove biofouling organisms from </w:t>
      </w:r>
      <w:r w:rsidRPr="00A841CD">
        <w:rPr>
          <w:rFonts w:cstheme="minorHAnsi"/>
        </w:rPr>
        <w:t xml:space="preserve">vessels </w:t>
      </w:r>
      <w:r w:rsidRPr="00A841CD">
        <w:rPr>
          <w:rFonts w:cstheme="minorHAnsi"/>
        </w:rPr>
        <w:fldChar w:fldCharType="begin">
          <w:fldData xml:space="preserve">PEVuZE5vdGU+PENpdGU+PEF1dGhvcj5JbmdsaXM8L0F1dGhvcj48WWVhcj4yMDEzPC9ZZWFyPjxS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</w:fldData>
        </w:fldChar>
      </w:r>
      <w:r w:rsidRPr="00A841CD">
        <w:rPr>
          <w:rFonts w:cstheme="minorHAnsi"/>
        </w:rPr>
        <w:instrText xml:space="preserve"> ADDIN EN.CITE </w:instrText>
      </w:r>
      <w:r w:rsidRPr="00A841CD">
        <w:rPr>
          <w:rFonts w:cstheme="minorHAnsi"/>
        </w:rPr>
        <w:fldChar w:fldCharType="begin">
          <w:fldData xml:space="preserve">PEVuZE5vdGU+PENpdGU+PEF1dGhvcj5JbmdsaXM8L0F1dGhvcj48WWVhcj4yMDEzPC9ZZWFyPjxS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</w:fldData>
        </w:fldChar>
      </w:r>
      <w:r w:rsidRPr="00A841CD">
        <w:rPr>
          <w:rFonts w:cstheme="minorHAnsi"/>
        </w:rPr>
        <w:instrText xml:space="preserve"> ADDIN EN.CITE.DATA </w:instrText>
      </w:r>
      <w:r w:rsidRPr="00A841CD">
        <w:rPr>
          <w:rFonts w:cstheme="minorHAnsi"/>
        </w:rPr>
      </w:r>
      <w:r w:rsidRPr="00A841CD">
        <w:rPr>
          <w:rFonts w:cstheme="minorHAnsi"/>
        </w:rPr>
        <w:fldChar w:fldCharType="end"/>
      </w:r>
      <w:r w:rsidRPr="00A841CD">
        <w:rPr>
          <w:rFonts w:cstheme="minorHAnsi"/>
        </w:rPr>
      </w:r>
      <w:r w:rsidRPr="00A841CD">
        <w:rPr>
          <w:rFonts w:cstheme="minorHAnsi"/>
        </w:rPr>
        <w:fldChar w:fldCharType="separate"/>
      </w:r>
      <w:r w:rsidR="005F7F32" w:rsidRPr="00A841CD">
        <w:rPr>
          <w:rFonts w:cstheme="minorHAnsi"/>
        </w:rPr>
        <w:t>(</w:t>
      </w:r>
      <w:r w:rsidRPr="00A841CD">
        <w:rPr>
          <w:rFonts w:cstheme="minorHAnsi"/>
        </w:rPr>
        <w:t>Inglis et al. 2013; Morrisey &amp; Woods 2015)</w:t>
      </w:r>
      <w:r w:rsidRPr="00A841CD">
        <w:rPr>
          <w:rFonts w:cstheme="minorHAnsi"/>
        </w:rPr>
        <w:fldChar w:fldCharType="end"/>
      </w:r>
      <w:r w:rsidRPr="00A841CD">
        <w:rPr>
          <w:rFonts w:cstheme="minorHAnsi"/>
        </w:rPr>
        <w:t>. These tools sometimes include mechanisms to catch debris.</w:t>
      </w:r>
      <w:r w:rsidR="002D0BC2" w:rsidRPr="00A841CD">
        <w:rPr>
          <w:rFonts w:cstheme="minorHAnsi"/>
        </w:rPr>
        <w:t xml:space="preserve"> </w:t>
      </w:r>
    </w:p>
    <w:p w14:paraId="2BEAFF59" w14:textId="77777777" w:rsidR="006B5DEA" w:rsidRPr="00A841CD" w:rsidRDefault="006B5DEA" w:rsidP="006B5DEA">
      <w:r w:rsidRPr="00A841CD">
        <w:rPr>
          <w:rFonts w:cstheme="minorHAnsi"/>
        </w:rPr>
        <w:t>Depending on the location of the intended clean, there may be a range of legislative requirements for in-water cleaning in Australia waters. Applicants who wish to perform in-water cleaning in Commonwealth, state, or territory waters must first contact the relevant agency in each jurisdiction for approval. T</w:t>
      </w:r>
      <w:r w:rsidRPr="00A841CD">
        <w:t xml:space="preserve">he relevant agencies are listed on the </w:t>
      </w:r>
      <w:hyperlink r:id="rId133" w:history="1">
        <w:r w:rsidRPr="00A841CD">
          <w:rPr>
            <w:rStyle w:val="Hyperlink"/>
          </w:rPr>
          <w:t>Anti-fouling and in-water cleaning guidelines</w:t>
        </w:r>
      </w:hyperlink>
      <w:r w:rsidRPr="00A841CD">
        <w:t xml:space="preserve"> webpage.</w:t>
      </w:r>
    </w:p>
    <w:p w14:paraId="7152B725" w14:textId="77777777" w:rsidR="006B5DEA" w:rsidRPr="00A841CD" w:rsidRDefault="006B5DEA" w:rsidP="006B5DEA">
      <w:pPr>
        <w:pStyle w:val="Heading5"/>
        <w:numPr>
          <w:ilvl w:val="3"/>
          <w:numId w:val="4"/>
        </w:numPr>
      </w:pPr>
      <w:r w:rsidRPr="00A841CD">
        <w:t>Sea chests and other vessel niche areas</w:t>
      </w:r>
    </w:p>
    <w:p w14:paraId="0D490107" w14:textId="2403A51D" w:rsidR="006B5DEA" w:rsidRPr="00846769" w:rsidRDefault="006B5DEA" w:rsidP="006B5DEA">
      <w:r w:rsidRPr="00A841CD">
        <w:t xml:space="preserve">Sea chests and internal seawater systems of vessels can accumulate biofouling and are structurally complex, making access for inspection and treatment difficult. </w:t>
      </w:r>
      <w:bookmarkStart w:id="390" w:name="_Hlk170740705"/>
      <w:r w:rsidRPr="00A841CD">
        <w:t>Both mobile and sedentary species are found in these areas (</w:t>
      </w:r>
      <w:r w:rsidRPr="00A841CD">
        <w:rPr>
          <w:lang w:eastAsia="ja-JP"/>
        </w:rPr>
        <w:t>Coutts</w:t>
      </w:r>
      <w:r w:rsidR="00841A97" w:rsidRPr="00A841CD">
        <w:t xml:space="preserve"> et al. </w:t>
      </w:r>
      <w:r w:rsidRPr="00A841CD">
        <w:t xml:space="preserve">2003). </w:t>
      </w:r>
      <w:bookmarkStart w:id="391" w:name="_Hlk170740717"/>
      <w:bookmarkEnd w:id="390"/>
      <w:r w:rsidRPr="00A841CD">
        <w:t>Fouling</w:t>
      </w:r>
      <w:r w:rsidRPr="00846769">
        <w:t xml:space="preserve"> communities that include dense patches of bivalve</w:t>
      </w:r>
      <w:r w:rsidR="00EC29D6" w:rsidRPr="00846769">
        <w:t xml:space="preserve">s </w:t>
      </w:r>
      <w:r w:rsidRPr="00846769">
        <w:t xml:space="preserve">can be attractive habitats for other marine pests. </w:t>
      </w:r>
      <w:bookmarkEnd w:id="391"/>
      <w:r w:rsidRPr="00846769">
        <w:t>Biofouling of sea chests, internal pipework</w:t>
      </w:r>
      <w:r w:rsidR="00EC29D6" w:rsidRPr="00846769">
        <w:t>,</w:t>
      </w:r>
      <w:r w:rsidRPr="00846769">
        <w:t xml:space="preserve"> and other niche areas can be independent to biofouling on the hull, and a clean hull does not imply clean niche areas.</w:t>
      </w:r>
    </w:p>
    <w:p w14:paraId="0D8C8FA1" w14:textId="69B20617" w:rsidR="006B5DEA" w:rsidRPr="00846769" w:rsidRDefault="006B5DEA" w:rsidP="006B5DEA">
      <w:r w:rsidRPr="00846769">
        <w:t xml:space="preserve">Treatments of these areas for </w:t>
      </w:r>
      <w:r w:rsidR="00EC29D6" w:rsidRPr="00846769">
        <w:t xml:space="preserve">invasive </w:t>
      </w:r>
      <w:r w:rsidRPr="00846769">
        <w:t>marine bivalves include both chemical and non-chemical methods.</w:t>
      </w:r>
      <w:r w:rsidR="002D0BC2" w:rsidRPr="00846769">
        <w:t xml:space="preserve"> </w:t>
      </w:r>
      <w:r w:rsidRPr="00846769">
        <w:t xml:space="preserve">There are considerations for effective in-water treatment. For instance, a key element of in-water treatments of sea chests is being able to seal off the confined spaces so that the treatment can be administered effectively. This can be achieved by sealing off external gratings using commercially available </w:t>
      </w:r>
      <w:hyperlink r:id="rId134" w:history="1">
        <w:r w:rsidRPr="00846769">
          <w:rPr>
            <w:rStyle w:val="Hyperlink"/>
          </w:rPr>
          <w:t>magnetic tarpaulins</w:t>
        </w:r>
      </w:hyperlink>
      <w:r w:rsidRPr="00846769">
        <w:t xml:space="preserve"> or bespoke sealing units. </w:t>
      </w:r>
      <w:r w:rsidR="00EF320C">
        <w:t xml:space="preserve">A timber ‘plug’ can be made to size to temporarily blocking off access to some vessel orifices. </w:t>
      </w:r>
      <w:r w:rsidRPr="00846769">
        <w:t>Sealing off confined spaces can also assist in preventing mobile marine pest species from avoiding the treatment.</w:t>
      </w:r>
    </w:p>
    <w:p w14:paraId="646EC59D" w14:textId="1BAC602E" w:rsidR="006B5DEA" w:rsidRPr="00A841CD" w:rsidRDefault="006B5DEA" w:rsidP="006B5DEA">
      <w:bookmarkStart w:id="392" w:name="_Hlk170740855"/>
      <w:r w:rsidRPr="00846769">
        <w:t>For non-chemical treatments, only thermal stress can feasibly be applied to pipework and niche areas and be effective within 48 hours. The use of heated water to around 60°C will be effective against all marine bivalves</w:t>
      </w:r>
      <w:r w:rsidR="000E7F70">
        <w:t>, given a suitable application time,</w:t>
      </w:r>
      <w:r w:rsidRPr="00846769">
        <w:t xml:space="preserve"> and it is also safe for the operator and the environment.</w:t>
      </w:r>
      <w:r w:rsidRPr="00846769">
        <w:rPr>
          <w:i/>
          <w:iCs/>
        </w:rPr>
        <w:t xml:space="preserve"> Magallana gigas </w:t>
      </w:r>
      <w:r w:rsidRPr="00846769">
        <w:t xml:space="preserve">is highly resilient to thermal </w:t>
      </w:r>
      <w:r w:rsidRPr="00A841CD">
        <w:t>stress and</w:t>
      </w:r>
      <w:r w:rsidRPr="00A841CD">
        <w:rPr>
          <w:i/>
          <w:iCs/>
        </w:rPr>
        <w:t xml:space="preserve"> </w:t>
      </w:r>
      <w:r w:rsidRPr="00A841CD">
        <w:t xml:space="preserve">has a reported lethal thermal tolerance of 60°C for 30 minutes or 57.5°C for 60 minutes (Piola &amp; Hopkins 2012). A thermal treatment designed and tested on recreational internal pipework was successful at treating </w:t>
      </w:r>
      <w:r w:rsidRPr="00A841CD">
        <w:rPr>
          <w:i/>
          <w:iCs/>
        </w:rPr>
        <w:t>M.</w:t>
      </w:r>
      <w:r w:rsidR="00FF70DD">
        <w:rPr>
          <w:i/>
          <w:iCs/>
        </w:rPr>
        <w:t> </w:t>
      </w:r>
      <w:r w:rsidRPr="00A841CD">
        <w:rPr>
          <w:i/>
          <w:iCs/>
        </w:rPr>
        <w:t>gigas</w:t>
      </w:r>
      <w:r w:rsidRPr="00A841CD">
        <w:t xml:space="preserve"> with 100% mortality when treated with 60±2°C for 60 minutes under experimental conditions (Cahill et al. 2019b). </w:t>
      </w:r>
    </w:p>
    <w:p w14:paraId="08A005BC" w14:textId="02C13230" w:rsidR="006B5DEA" w:rsidRPr="00846769" w:rsidRDefault="006B5DEA" w:rsidP="006B5DEA">
      <w:bookmarkStart w:id="393" w:name="_Hlk170740936"/>
      <w:bookmarkEnd w:id="392"/>
      <w:r w:rsidRPr="00A841CD">
        <w:t>For most chemical treatments, such as chlorine, chlorine dioxide, bromine, hydrogen peroxide, ferrate</w:t>
      </w:r>
      <w:r w:rsidR="00EC29D6" w:rsidRPr="00A841CD">
        <w:t>,</w:t>
      </w:r>
      <w:r w:rsidRPr="00A841CD">
        <w:t xml:space="preserve"> and peracetic acid</w:t>
      </w:r>
      <w:r w:rsidR="00EC29D6" w:rsidRPr="00A841CD">
        <w:t>,</w:t>
      </w:r>
      <w:r w:rsidRPr="00A841CD">
        <w:t xml:space="preserve"> there is insufficient information to accurately assess their efficacy in controlling bivalves (Cahill et al. 2019b</w:t>
      </w:r>
      <w:r w:rsidR="00FA1E54" w:rsidRPr="00A841CD">
        <w:t>; Cahill et al. 2021</w:t>
      </w:r>
      <w:r w:rsidRPr="00A841CD">
        <w:t xml:space="preserve">). </w:t>
      </w:r>
      <w:bookmarkEnd w:id="393"/>
      <w:r w:rsidRPr="00A841CD">
        <w:t xml:space="preserve">There are published reports </w:t>
      </w:r>
      <w:r w:rsidRPr="00A841CD">
        <w:lastRenderedPageBreak/>
        <w:t xml:space="preserve">demonstrating that acetic acid and commercial descaler formulations such as </w:t>
      </w:r>
      <w:proofErr w:type="spellStart"/>
      <w:r w:rsidRPr="00A841CD">
        <w:t>Rydlyme</w:t>
      </w:r>
      <w:proofErr w:type="spellEnd"/>
      <w:r w:rsidRPr="00A841CD">
        <w:t xml:space="preserve">®, </w:t>
      </w:r>
      <w:r w:rsidR="006F165C" w:rsidRPr="00A841CD">
        <w:t>can</w:t>
      </w:r>
      <w:r w:rsidRPr="00A841CD">
        <w:t xml:space="preserve"> be effective against intact fouling assemblages within 48 hours (Cahill et al. 2019a). These preparations</w:t>
      </w:r>
      <w:r w:rsidRPr="00846769">
        <w:t xml:space="preserve"> effectively kill attached molluscs, when appropriately contained and treated to the required levels.</w:t>
      </w:r>
      <w:r w:rsidR="00EF320C">
        <w:t xml:space="preserve"> </w:t>
      </w:r>
      <w:r w:rsidR="00EF320C" w:rsidRPr="00846769">
        <w:t xml:space="preserve">Refer to </w:t>
      </w:r>
      <w:hyperlink w:anchor="_Permits_to_use" w:history="1">
        <w:r w:rsidR="00EF320C" w:rsidRPr="0057140C">
          <w:rPr>
            <w:rStyle w:val="Hyperlink"/>
          </w:rPr>
          <w:t>Section 5.3.2.1</w:t>
        </w:r>
      </w:hyperlink>
      <w:r w:rsidR="00EF320C" w:rsidRPr="00846769">
        <w:t xml:space="preserve"> regarding approvals to chemically treat waterways</w:t>
      </w:r>
      <w:r w:rsidR="00EF320C">
        <w:t>, which may require additional approvals from other</w:t>
      </w:r>
      <w:bookmarkStart w:id="394" w:name="_Hlk187488980"/>
      <w:r w:rsidR="00EF320C">
        <w:t xml:space="preserve"> jurisdiction agencies. </w:t>
      </w:r>
      <w:bookmarkEnd w:id="394"/>
    </w:p>
    <w:p w14:paraId="7E08ADC6" w14:textId="575682D7" w:rsidR="006B5DEA" w:rsidRPr="00846769" w:rsidRDefault="006B5DEA" w:rsidP="006B5DEA">
      <w:r w:rsidRPr="00846769">
        <w:t xml:space="preserve">An important consideration for </w:t>
      </w:r>
      <w:r w:rsidR="000E7F70">
        <w:t xml:space="preserve">any </w:t>
      </w:r>
      <w:r w:rsidRPr="00846769">
        <w:t>chemical treatment is its risk to the environment and operator</w:t>
      </w:r>
      <w:r w:rsidR="000E7F70">
        <w:t xml:space="preserve">, weighed </w:t>
      </w:r>
      <w:r w:rsidRPr="00846769">
        <w:t xml:space="preserve">against its efficacy. Acetic acid and chlorine are considered safe to use within the marine environment; however, their efficacy needs to be determined. </w:t>
      </w:r>
      <w:r w:rsidR="0028348E">
        <w:t>T</w:t>
      </w:r>
      <w:r w:rsidR="00E5169D">
        <w:t xml:space="preserve">here is </w:t>
      </w:r>
      <w:r w:rsidR="0028348E">
        <w:t xml:space="preserve">also </w:t>
      </w:r>
      <w:r w:rsidR="00E5169D">
        <w:t xml:space="preserve">concern for the effects of acidic or caustic treatments on the integrity of antifouling coatings and rust protection of vessels. </w:t>
      </w:r>
      <w:r w:rsidRPr="00846769">
        <w:t>Maintaining active concentrations of these chemicals requires careful monitoring. Local authorities should be contacted for requirements around use of chemicals in natural waterbodies.</w:t>
      </w:r>
    </w:p>
    <w:p w14:paraId="0F18742F" w14:textId="38388BD4" w:rsidR="006B5DEA" w:rsidRPr="00846769" w:rsidRDefault="006B5DEA" w:rsidP="006B5DEA">
      <w:r w:rsidRPr="00846769">
        <w:t xml:space="preserve">Physical removal </w:t>
      </w:r>
      <w:r w:rsidR="00EC29D6" w:rsidRPr="00846769">
        <w:t>of a marine pest from niche areas is not always possible or feasible</w:t>
      </w:r>
      <w:r w:rsidRPr="00846769">
        <w:t>. There is risk of inadvertently releasing the biofouling organisms into the environment without significant measures to ensure that no viable material can escape. Deoxygenation and osmotic shock could take many days to several weeks to kill resilient bivalves (Cahill et al. 2019a), meaning they are unsuitable for response actions.</w:t>
      </w:r>
      <w:r w:rsidR="00BE2F09" w:rsidRPr="00846769">
        <w:t xml:space="preserve"> </w:t>
      </w:r>
      <w:r w:rsidRPr="00846769">
        <w:t>Because thermal stress presents few unknowns for developing operation</w:t>
      </w:r>
      <w:r w:rsidR="00E5169D">
        <w:t>al</w:t>
      </w:r>
      <w:r w:rsidRPr="00846769">
        <w:t xml:space="preserve"> treatment protocol</w:t>
      </w:r>
      <w:r w:rsidR="00E5169D">
        <w:t>s</w:t>
      </w:r>
      <w:r w:rsidRPr="00846769">
        <w:t xml:space="preserve"> compared to chemical treatments, it is considered that thermal stress is the most suitable treatment of bivalves in niche areas and internal seawater systems. </w:t>
      </w:r>
    </w:p>
    <w:p w14:paraId="6A0B9B49" w14:textId="5B02A247" w:rsidR="00FD7285" w:rsidRPr="00846769" w:rsidRDefault="00FD7285" w:rsidP="00FD7285">
      <w:pPr>
        <w:pStyle w:val="Heading4"/>
        <w:numPr>
          <w:ilvl w:val="2"/>
          <w:numId w:val="4"/>
        </w:numPr>
      </w:pPr>
      <w:bookmarkStart w:id="395" w:name="_Ballast_water_management"/>
      <w:bookmarkEnd w:id="395"/>
      <w:r w:rsidRPr="00846769">
        <w:t>Ballast water management</w:t>
      </w:r>
    </w:p>
    <w:p w14:paraId="53F3A517" w14:textId="30269927" w:rsidR="00FD7285" w:rsidRPr="00846769" w:rsidRDefault="00FD7285" w:rsidP="00FD7285">
      <w:r w:rsidRPr="00846769">
        <w:t xml:space="preserve">The </w:t>
      </w:r>
      <w:r w:rsidRPr="00846769">
        <w:rPr>
          <w:rStyle w:val="Emphasis"/>
        </w:rPr>
        <w:t>Biosecurity Act 2015</w:t>
      </w:r>
      <w:r w:rsidRPr="00846769">
        <w:t xml:space="preserve"> prohibits the discharge of unmanaged ballast water</w:t>
      </w:r>
      <w:r w:rsidR="00C75554">
        <w:t xml:space="preserve"> and ballast tank sediments</w:t>
      </w:r>
      <w:r w:rsidRPr="00846769">
        <w:t xml:space="preserve"> within Australian seas (within 12 nautical miles of any land mass or in water </w:t>
      </w:r>
      <w:r w:rsidR="00F5347D">
        <w:t>&lt;</w:t>
      </w:r>
      <w:r w:rsidRPr="00846769">
        <w:t xml:space="preserve">50 </w:t>
      </w:r>
      <w:r w:rsidRPr="00B95B90">
        <w:t>metres deep</w:t>
      </w:r>
      <w:r w:rsidRPr="00A841CD">
        <w:t>) (DAFF 202</w:t>
      </w:r>
      <w:r w:rsidR="00F5347D" w:rsidRPr="00A841CD">
        <w:t>0c</w:t>
      </w:r>
      <w:r w:rsidRPr="00A841CD">
        <w:t>).</w:t>
      </w:r>
      <w:r w:rsidRPr="00846769">
        <w:rPr>
          <w:rFonts w:cstheme="minorHAnsi"/>
          <w:bCs/>
        </w:rPr>
        <w:t xml:space="preserve"> </w:t>
      </w:r>
    </w:p>
    <w:p w14:paraId="45114F41" w14:textId="1BDEFCFB" w:rsidR="00FD7285" w:rsidRPr="00846769" w:rsidRDefault="00FD7285" w:rsidP="00FD7285">
      <w:pPr>
        <w:rPr>
          <w:rFonts w:cstheme="minorHAnsi"/>
        </w:rPr>
      </w:pPr>
      <w:r w:rsidRPr="00846769">
        <w:rPr>
          <w:rFonts w:cstheme="minorHAnsi"/>
        </w:rPr>
        <w:t>The</w:t>
      </w:r>
      <w:r w:rsidRPr="00846769">
        <w:rPr>
          <w:rFonts w:cstheme="minorHAnsi"/>
          <w:i/>
          <w:iCs/>
        </w:rPr>
        <w:t xml:space="preserve"> Biosecurity Act 2015 </w:t>
      </w:r>
      <w:r w:rsidR="00287F50">
        <w:rPr>
          <w:rFonts w:cstheme="minorHAnsi"/>
        </w:rPr>
        <w:t xml:space="preserve">also </w:t>
      </w:r>
      <w:r w:rsidRPr="00846769">
        <w:rPr>
          <w:rFonts w:cstheme="minorHAnsi"/>
        </w:rPr>
        <w:t xml:space="preserve">regulates the discharge of ballast water and ballast tank sediments in Australian waters. Vessels intending to discharge ballast water in Australia must apply for permission via the </w:t>
      </w:r>
      <w:hyperlink r:id="rId135" w:history="1">
        <w:r w:rsidRPr="00846769">
          <w:rPr>
            <w:rStyle w:val="Hyperlink"/>
            <w:rFonts w:cstheme="minorHAnsi"/>
          </w:rPr>
          <w:t xml:space="preserve">Maritime and Aircraft Reporting </w:t>
        </w:r>
        <w:r w:rsidRPr="00846769">
          <w:rPr>
            <w:rStyle w:val="Hyperlink"/>
          </w:rPr>
          <w:t>System</w:t>
        </w:r>
        <w:r w:rsidR="00BE2F09" w:rsidRPr="00846769">
          <w:rPr>
            <w:rStyle w:val="Hyperlink"/>
          </w:rPr>
          <w:t xml:space="preserve"> (MARS)</w:t>
        </w:r>
      </w:hyperlink>
      <w:r w:rsidRPr="00846769">
        <w:rPr>
          <w:rFonts w:cstheme="minorHAnsi"/>
        </w:rPr>
        <w:t xml:space="preserve"> and receive a valid Biosecurity Status Document prior to any discharge. Discharging untreated ballast water is now prohibited in Australia, unless granted an exemption by the Director of Biosecurity. The discharge of ballast tank sediment is an offence in Australia. Ballast water and ballast tank sediments are also managed by the </w:t>
      </w:r>
      <w:hyperlink r:id="rId136" w:history="1">
        <w:r w:rsidRPr="00846769">
          <w:rPr>
            <w:rStyle w:val="Hyperlink"/>
            <w:rFonts w:cstheme="minorHAnsi"/>
            <w:shd w:val="clear" w:color="auto" w:fill="FFFFFF"/>
          </w:rPr>
          <w:t>International Convention for the Control and Management of Ships’ Ballast Water and Sediments</w:t>
        </w:r>
      </w:hyperlink>
      <w:r w:rsidRPr="00846769">
        <w:rPr>
          <w:rFonts w:cstheme="minorHAnsi"/>
          <w:u w:color="0070C0"/>
          <w:shd w:val="clear" w:color="auto" w:fill="FFFFFF"/>
        </w:rPr>
        <w:t xml:space="preserve"> (</w:t>
      </w:r>
      <w:r w:rsidRPr="00846769">
        <w:rPr>
          <w:rFonts w:cstheme="minorHAnsi"/>
          <w:u w:color="0070C0"/>
        </w:rPr>
        <w:t xml:space="preserve">International Ballast Water Management Convention) which has reduced the likelihood of </w:t>
      </w:r>
      <w:r w:rsidR="000E7F70">
        <w:rPr>
          <w:rFonts w:cstheme="minorHAnsi"/>
          <w:u w:color="0070C0"/>
        </w:rPr>
        <w:t>marine pest introduction</w:t>
      </w:r>
      <w:r w:rsidR="00F5347D">
        <w:rPr>
          <w:rFonts w:cstheme="minorHAnsi"/>
          <w:u w:color="0070C0"/>
        </w:rPr>
        <w:t>s</w:t>
      </w:r>
      <w:r w:rsidR="000E7F70">
        <w:rPr>
          <w:rFonts w:cstheme="minorHAnsi"/>
          <w:u w:color="0070C0"/>
        </w:rPr>
        <w:t xml:space="preserve"> by </w:t>
      </w:r>
      <w:r w:rsidRPr="00846769">
        <w:rPr>
          <w:rFonts w:cstheme="minorHAnsi"/>
          <w:u w:color="0070C0"/>
        </w:rPr>
        <w:t>this vector, however the risk is not removed. Australia is a signatory to the International Ballast Water Management Convention.</w:t>
      </w:r>
    </w:p>
    <w:p w14:paraId="441A39AB" w14:textId="2A6A5634" w:rsidR="00FD7285" w:rsidRPr="00846769" w:rsidRDefault="00FD7285" w:rsidP="00FD7285">
      <w:pPr>
        <w:rPr>
          <w:rFonts w:cstheme="minorHAnsi"/>
        </w:rPr>
      </w:pPr>
      <w:r w:rsidRPr="00846769">
        <w:rPr>
          <w:rFonts w:cstheme="minorHAnsi"/>
        </w:rPr>
        <w:t xml:space="preserve">The approved methods for management of ballast water and ballast tank sediment can be found in the </w:t>
      </w:r>
      <w:hyperlink r:id="rId137" w:anchor="daff-page-main" w:history="1">
        <w:r w:rsidRPr="00B95B90">
          <w:rPr>
            <w:rStyle w:val="Hyperlink"/>
            <w:rFonts w:cstheme="minorHAnsi"/>
          </w:rPr>
          <w:t>Australian Ballast Water Management Requirements</w:t>
        </w:r>
      </w:hyperlink>
      <w:r w:rsidRPr="00B95B90">
        <w:rPr>
          <w:rFonts w:cstheme="minorHAnsi"/>
        </w:rPr>
        <w:t xml:space="preserve"> (DAFF 202</w:t>
      </w:r>
      <w:r w:rsidR="00F5347D">
        <w:rPr>
          <w:rFonts w:cstheme="minorHAnsi"/>
        </w:rPr>
        <w:t>0c</w:t>
      </w:r>
      <w:r w:rsidRPr="00B95B90">
        <w:rPr>
          <w:rFonts w:cstheme="minorHAnsi"/>
        </w:rPr>
        <w:t>)</w:t>
      </w:r>
      <w:r w:rsidRPr="00846769">
        <w:rPr>
          <w:rFonts w:cstheme="minorHAnsi"/>
        </w:rPr>
        <w:t xml:space="preserve"> and are as follow</w:t>
      </w:r>
      <w:r w:rsidR="00244A1C" w:rsidRPr="00846769">
        <w:rPr>
          <w:rFonts w:cstheme="minorHAnsi"/>
        </w:rPr>
        <w:t>s</w:t>
      </w:r>
      <w:r w:rsidRPr="00846769">
        <w:rPr>
          <w:rFonts w:cstheme="minorHAnsi"/>
        </w:rPr>
        <w:t>:</w:t>
      </w:r>
    </w:p>
    <w:p w14:paraId="3D2332C8" w14:textId="77777777" w:rsidR="00FD7285" w:rsidRPr="00846769" w:rsidRDefault="00FD7285" w:rsidP="00FD7285">
      <w:pPr>
        <w:pStyle w:val="ListBullet"/>
      </w:pPr>
      <w:bookmarkStart w:id="396" w:name="_Hlk187490057"/>
      <w:r w:rsidRPr="00846769">
        <w:t xml:space="preserve">use of an IMO approved </w:t>
      </w:r>
      <w:hyperlink r:id="rId138" w:history="1">
        <w:r w:rsidRPr="00846769">
          <w:rPr>
            <w:rStyle w:val="Hyperlink"/>
          </w:rPr>
          <w:t>Ballast Water Management System</w:t>
        </w:r>
      </w:hyperlink>
      <w:r w:rsidRPr="00846769">
        <w:t xml:space="preserve"> (BWMS)</w:t>
      </w:r>
    </w:p>
    <w:p w14:paraId="0A5FFE72" w14:textId="77777777" w:rsidR="00FD7285" w:rsidRPr="00846769" w:rsidRDefault="00FD7285" w:rsidP="00FD7285">
      <w:pPr>
        <w:pStyle w:val="ListBullet"/>
      </w:pPr>
      <w:r w:rsidRPr="00846769">
        <w:t>ballast water exchange conducted in an acceptable area</w:t>
      </w:r>
    </w:p>
    <w:p w14:paraId="1FB12273" w14:textId="6539FD29" w:rsidR="00FD7285" w:rsidRPr="00846769" w:rsidRDefault="00FD7285" w:rsidP="00FD7285">
      <w:pPr>
        <w:pStyle w:val="ListBullet"/>
      </w:pPr>
      <w:r w:rsidRPr="00846769">
        <w:t>use of low-risk ballast water (such as fresh potable water, high seas water</w:t>
      </w:r>
      <w:r w:rsidR="00BE2F09" w:rsidRPr="00846769">
        <w:t>,</w:t>
      </w:r>
      <w:r w:rsidRPr="00846769">
        <w:t xml:space="preserve"> or fresh water from an on-board freshwater production facility)</w:t>
      </w:r>
    </w:p>
    <w:p w14:paraId="698350BE" w14:textId="77777777" w:rsidR="00FD7285" w:rsidRPr="00846769" w:rsidRDefault="00FD7285" w:rsidP="00FD7285">
      <w:pPr>
        <w:pStyle w:val="ListBullet"/>
      </w:pPr>
      <w:r w:rsidRPr="00846769">
        <w:t>retention of high-risk ballast water on board the vessel</w:t>
      </w:r>
    </w:p>
    <w:p w14:paraId="6DBD875A" w14:textId="77777777" w:rsidR="00FD7285" w:rsidRPr="00846769" w:rsidRDefault="00FD7285" w:rsidP="00FD7285">
      <w:pPr>
        <w:pStyle w:val="ListBullet"/>
      </w:pPr>
      <w:r w:rsidRPr="00846769">
        <w:lastRenderedPageBreak/>
        <w:t>discharge to an approved ballast water reception facility.</w:t>
      </w:r>
    </w:p>
    <w:p w14:paraId="1AFE6AFA" w14:textId="30D969C0" w:rsidR="00FD7285" w:rsidRPr="00846769" w:rsidRDefault="00FD7285" w:rsidP="00FD7285">
      <w:r w:rsidRPr="00846769">
        <w:t xml:space="preserve">Note that the International Ballast Water Management Convention requires all </w:t>
      </w:r>
      <w:r w:rsidR="00160093">
        <w:t>vessels</w:t>
      </w:r>
      <w:r w:rsidR="00160093" w:rsidRPr="00846769">
        <w:t xml:space="preserve"> </w:t>
      </w:r>
      <w:r w:rsidRPr="00846769">
        <w:t xml:space="preserve">that use ballast water to comply with the regulation D-2 standard with respect to maximum amounts of viable organisms allowed to be discharged following use of an installed BWMS as of 8 September 2024. The use of ballast water exchange as a primary method of ballast water management </w:t>
      </w:r>
      <w:r w:rsidR="00DE49A5">
        <w:t xml:space="preserve">was </w:t>
      </w:r>
      <w:r w:rsidRPr="00846769">
        <w:t xml:space="preserve">phased out </w:t>
      </w:r>
      <w:r w:rsidR="00DE49A5">
        <w:t>on</w:t>
      </w:r>
      <w:r w:rsidRPr="00846769">
        <w:t xml:space="preserve"> the same date.</w:t>
      </w:r>
    </w:p>
    <w:p w14:paraId="405C4D66" w14:textId="77FEAE7F" w:rsidR="00FD7285" w:rsidRPr="00846769" w:rsidRDefault="00FD7285" w:rsidP="00FD7285">
      <w:pPr>
        <w:pStyle w:val="Heading5"/>
        <w:numPr>
          <w:ilvl w:val="3"/>
          <w:numId w:val="4"/>
        </w:numPr>
      </w:pPr>
      <w:bookmarkStart w:id="397" w:name="_Hlk187490131"/>
      <w:bookmarkEnd w:id="396"/>
      <w:r w:rsidRPr="00846769">
        <w:t>Vessels arriving in Australian waters from an international location</w:t>
      </w:r>
    </w:p>
    <w:p w14:paraId="4A23ACED" w14:textId="76961D95" w:rsidR="00C75554" w:rsidRPr="00846769" w:rsidRDefault="00C75554" w:rsidP="00FD7285">
      <w:r>
        <w:rPr>
          <w:rFonts w:cstheme="minorHAnsi"/>
        </w:rPr>
        <w:t xml:space="preserve">All vessels entering Australian waters pose a potential biosecurity risk. </w:t>
      </w:r>
      <w:r w:rsidRPr="00846769">
        <w:rPr>
          <w:rFonts w:cstheme="minorHAnsi"/>
        </w:rPr>
        <w:t xml:space="preserve">Vessels intending to discharge </w:t>
      </w:r>
      <w:r>
        <w:rPr>
          <w:rFonts w:cstheme="minorHAnsi"/>
        </w:rPr>
        <w:t xml:space="preserve">internationally sourced </w:t>
      </w:r>
      <w:r w:rsidRPr="00846769">
        <w:rPr>
          <w:rFonts w:cstheme="minorHAnsi"/>
        </w:rPr>
        <w:t xml:space="preserve">ballast water in Australia must </w:t>
      </w:r>
      <w:r>
        <w:rPr>
          <w:rFonts w:cstheme="minorHAnsi"/>
        </w:rPr>
        <w:t>submit a Ballast Water Report</w:t>
      </w:r>
      <w:r w:rsidRPr="00846769">
        <w:rPr>
          <w:rFonts w:cstheme="minorHAnsi"/>
        </w:rPr>
        <w:t xml:space="preserve"> via the </w:t>
      </w:r>
      <w:hyperlink r:id="rId139" w:history="1">
        <w:r w:rsidRPr="00846769">
          <w:rPr>
            <w:rStyle w:val="Hyperlink"/>
            <w:rFonts w:cstheme="minorHAnsi"/>
          </w:rPr>
          <w:t xml:space="preserve">Maritime and Aircraft Reporting </w:t>
        </w:r>
        <w:r w:rsidRPr="00846769">
          <w:rPr>
            <w:rStyle w:val="Hyperlink"/>
          </w:rPr>
          <w:t>System (MARS)</w:t>
        </w:r>
      </w:hyperlink>
      <w:r w:rsidRPr="00846769">
        <w:rPr>
          <w:rFonts w:cstheme="minorHAnsi"/>
        </w:rPr>
        <w:t xml:space="preserve">. </w:t>
      </w:r>
      <w:r w:rsidRPr="00846769">
        <w:t xml:space="preserve">The Ballast Water Report will be assessed, and a response will be issued through </w:t>
      </w:r>
      <w:r>
        <w:t>a</w:t>
      </w:r>
      <w:r w:rsidRPr="00846769">
        <w:t xml:space="preserve"> Biosecurity Status Document</w:t>
      </w:r>
      <w:r>
        <w:t xml:space="preserve"> </w:t>
      </w:r>
      <w:r w:rsidRPr="00846769">
        <w:rPr>
          <w:rFonts w:cstheme="minorHAnsi"/>
        </w:rPr>
        <w:t xml:space="preserve">prior to any </w:t>
      </w:r>
      <w:r>
        <w:rPr>
          <w:rFonts w:cstheme="minorHAnsi"/>
        </w:rPr>
        <w:t xml:space="preserve">permitted </w:t>
      </w:r>
      <w:r w:rsidRPr="00846769">
        <w:rPr>
          <w:rFonts w:cstheme="minorHAnsi"/>
        </w:rPr>
        <w:t>discharge</w:t>
      </w:r>
      <w:r w:rsidRPr="00846769">
        <w:t>. To prevent the discharge of unmanaged ballast, even vessels not intending to discharge ballast water are strongly encouraged to manage their ballast water by an approved method and to submit a Ballast Water Report. Following the first point of arrival, international vessels may uptake Australian sourced ballast water for discharge later in Australia or overseas</w:t>
      </w:r>
      <w:r>
        <w:t>, however there are restrictions for where Australian sourced ballast water can be discharged</w:t>
      </w:r>
      <w:r w:rsidRPr="00846769">
        <w:t>.</w:t>
      </w:r>
    </w:p>
    <w:p w14:paraId="432BE5E0" w14:textId="6500A982" w:rsidR="00FD7285" w:rsidRPr="00846769" w:rsidRDefault="00FD7285" w:rsidP="00FD7285">
      <w:pPr>
        <w:pStyle w:val="Heading5"/>
        <w:numPr>
          <w:ilvl w:val="3"/>
          <w:numId w:val="4"/>
        </w:numPr>
      </w:pPr>
      <w:bookmarkStart w:id="398" w:name="_Vessels_operating_between"/>
      <w:bookmarkEnd w:id="397"/>
      <w:bookmarkEnd w:id="398"/>
      <w:r w:rsidRPr="00846769">
        <w:t>Vessels operating between Australian domestic locations</w:t>
      </w:r>
    </w:p>
    <w:p w14:paraId="59D67C93" w14:textId="27043B47" w:rsidR="00C75554" w:rsidRDefault="00C75554" w:rsidP="00C75554">
      <w:pPr>
        <w:rPr>
          <w:rFonts w:cstheme="minorHAnsi"/>
        </w:rPr>
      </w:pPr>
      <w:r w:rsidRPr="00846769">
        <w:rPr>
          <w:rFonts w:cstheme="minorHAnsi"/>
        </w:rPr>
        <w:t xml:space="preserve">The movement of Australian sourced ballast water between Australian ports is prohibited unless it has been managed, or a low-risk exemption has been provided by the department. The approved ballast water management options are available in the </w:t>
      </w:r>
      <w:hyperlink r:id="rId140" w:history="1">
        <w:r w:rsidR="00F5347D" w:rsidRPr="00B65460">
          <w:rPr>
            <w:rStyle w:val="Hyperlink"/>
            <w:rFonts w:cstheme="minorHAnsi"/>
          </w:rPr>
          <w:t>Australian Ballast Water Management Requirements</w:t>
        </w:r>
      </w:hyperlink>
      <w:r w:rsidR="00F5347D">
        <w:rPr>
          <w:rFonts w:cstheme="minorHAnsi"/>
        </w:rPr>
        <w:t>.</w:t>
      </w:r>
    </w:p>
    <w:p w14:paraId="1166C2B1" w14:textId="6BA2F286" w:rsidR="00C75554" w:rsidRPr="00846769" w:rsidRDefault="00C75554" w:rsidP="00FD7285">
      <w:pPr>
        <w:rPr>
          <w:rFonts w:cstheme="minorHAnsi"/>
        </w:rPr>
      </w:pPr>
      <w:r w:rsidRPr="00846769">
        <w:rPr>
          <w:rFonts w:cstheme="minorHAnsi"/>
        </w:rPr>
        <w:t>Low-risk exemptions are based on individual voyages with specific ballast water uptake and discharge locations and dates</w:t>
      </w:r>
      <w:r>
        <w:rPr>
          <w:rFonts w:cstheme="minorHAnsi"/>
        </w:rPr>
        <w:t xml:space="preserve">. </w:t>
      </w:r>
      <w:bookmarkStart w:id="399" w:name="_Hlk187490220"/>
      <w:r>
        <w:rPr>
          <w:rFonts w:cstheme="minorHAnsi"/>
        </w:rPr>
        <w:t xml:space="preserve">Determination of level of risk is made via the </w:t>
      </w:r>
      <w:r w:rsidRPr="00846769">
        <w:rPr>
          <w:rFonts w:cstheme="minorHAnsi"/>
        </w:rPr>
        <w:t xml:space="preserve">domestic ballast water risk tables </w:t>
      </w:r>
      <w:r>
        <w:rPr>
          <w:rFonts w:cstheme="minorHAnsi"/>
        </w:rPr>
        <w:t xml:space="preserve">which </w:t>
      </w:r>
      <w:r w:rsidRPr="00846769">
        <w:rPr>
          <w:rFonts w:cstheme="minorHAnsi"/>
        </w:rPr>
        <w:t>inform the Australian Sourced Ballast Application in MARS</w:t>
      </w:r>
      <w:r>
        <w:rPr>
          <w:rFonts w:cstheme="minorHAnsi"/>
        </w:rPr>
        <w:t>.</w:t>
      </w:r>
      <w:r w:rsidRPr="00846769">
        <w:rPr>
          <w:rFonts w:cstheme="minorHAnsi"/>
        </w:rPr>
        <w:t xml:space="preserve"> </w:t>
      </w:r>
      <w:bookmarkEnd w:id="399"/>
      <w:r>
        <w:rPr>
          <w:rFonts w:cstheme="minorHAnsi"/>
        </w:rPr>
        <w:t>A</w:t>
      </w:r>
      <w:r w:rsidRPr="00846769">
        <w:rPr>
          <w:rFonts w:cstheme="minorHAnsi"/>
        </w:rPr>
        <w:t xml:space="preserve">ny modification to locations and/or dates or additional uptake/discharge combinations </w:t>
      </w:r>
      <w:r>
        <w:rPr>
          <w:rFonts w:cstheme="minorHAnsi"/>
        </w:rPr>
        <w:t xml:space="preserve">by a vessel </w:t>
      </w:r>
      <w:r w:rsidRPr="00846769">
        <w:rPr>
          <w:rFonts w:cstheme="minorHAnsi"/>
        </w:rPr>
        <w:t>require</w:t>
      </w:r>
      <w:r>
        <w:rPr>
          <w:rFonts w:cstheme="minorHAnsi"/>
        </w:rPr>
        <w:t>s</w:t>
      </w:r>
      <w:r w:rsidRPr="00846769">
        <w:rPr>
          <w:rFonts w:cstheme="minorHAnsi"/>
        </w:rPr>
        <w:t xml:space="preserve"> a new application for exemption</w:t>
      </w:r>
      <w:r>
        <w:rPr>
          <w:rFonts w:cstheme="minorHAnsi"/>
        </w:rPr>
        <w:t xml:space="preserve"> to be submitted. </w:t>
      </w:r>
      <w:r w:rsidRPr="007E4B6A">
        <w:rPr>
          <w:rFonts w:cstheme="minorHAnsi"/>
        </w:rPr>
        <w:t xml:space="preserve"> </w:t>
      </w:r>
      <w:bookmarkStart w:id="400" w:name="_Hlk187490255"/>
      <w:r w:rsidRPr="007E4B6A">
        <w:rPr>
          <w:rFonts w:cstheme="minorHAnsi"/>
        </w:rPr>
        <w:t>Alterations to the domestic ballast water risk tables may be required in the event of an emergency response</w:t>
      </w:r>
      <w:r w:rsidRPr="00846769">
        <w:rPr>
          <w:rFonts w:cstheme="minorHAnsi"/>
        </w:rPr>
        <w:t>.</w:t>
      </w:r>
      <w:bookmarkEnd w:id="400"/>
    </w:p>
    <w:p w14:paraId="67AC4067" w14:textId="61611092" w:rsidR="00FD7285" w:rsidRPr="00846769" w:rsidRDefault="00FD7285" w:rsidP="00FD7285">
      <w:pPr>
        <w:pStyle w:val="Heading5"/>
        <w:numPr>
          <w:ilvl w:val="3"/>
          <w:numId w:val="4"/>
        </w:numPr>
      </w:pPr>
      <w:bookmarkStart w:id="401" w:name="_Vessels_departing_for"/>
      <w:bookmarkStart w:id="402" w:name="_Hlk187490307"/>
      <w:bookmarkEnd w:id="401"/>
      <w:r w:rsidRPr="00846769">
        <w:t>Vessels departing for international destinations</w:t>
      </w:r>
    </w:p>
    <w:p w14:paraId="0FC024E5" w14:textId="49A58ECC" w:rsidR="00FD7285" w:rsidRPr="00846769" w:rsidRDefault="00FD7285" w:rsidP="00FD7285">
      <w:pPr>
        <w:rPr>
          <w:rFonts w:cstheme="minorHAnsi"/>
        </w:rPr>
      </w:pPr>
      <w:r w:rsidRPr="00846769">
        <w:rPr>
          <w:rFonts w:cstheme="minorHAnsi"/>
        </w:rPr>
        <w:t xml:space="preserve">Vessels leaving a control area for destinations outside of Australia’s territorial waters </w:t>
      </w:r>
      <w:r w:rsidR="00C75554" w:rsidRPr="00846769">
        <w:rPr>
          <w:rFonts w:cstheme="minorHAnsi"/>
        </w:rPr>
        <w:t>should be notified</w:t>
      </w:r>
      <w:r w:rsidR="00B24D2C">
        <w:rPr>
          <w:rFonts w:cstheme="minorHAnsi"/>
        </w:rPr>
        <w:t xml:space="preserve"> by the entity managing the control area</w:t>
      </w:r>
      <w:r w:rsidR="00C75554" w:rsidRPr="00846769">
        <w:rPr>
          <w:rFonts w:cstheme="minorHAnsi"/>
        </w:rPr>
        <w:t xml:space="preserve"> </w:t>
      </w:r>
      <w:r w:rsidRPr="00846769">
        <w:rPr>
          <w:rFonts w:cstheme="minorHAnsi"/>
        </w:rPr>
        <w:t xml:space="preserve">of the risk and be required to manage ballast water as specified by the International Maritime Organization (IMO) </w:t>
      </w:r>
      <w:hyperlink r:id="rId141" w:history="1">
        <w:r w:rsidRPr="00846769">
          <w:rPr>
            <w:rStyle w:val="Hyperlink"/>
            <w:rFonts w:cstheme="minorHAnsi"/>
          </w:rPr>
          <w:t>International Convention for the Control and Management of Ships’ Ballast Water and Sediments, 2004 (Ballast Water Management Convention)</w:t>
        </w:r>
      </w:hyperlink>
      <w:r w:rsidRPr="00846769">
        <w:rPr>
          <w:rFonts w:cstheme="minorHAnsi"/>
        </w:rPr>
        <w:t xml:space="preserve">. </w:t>
      </w:r>
      <w:r w:rsidR="00C75554">
        <w:rPr>
          <w:rFonts w:cstheme="minorHAnsi"/>
        </w:rPr>
        <w:t>Vessels also</w:t>
      </w:r>
      <w:r w:rsidRPr="00846769">
        <w:rPr>
          <w:rFonts w:cstheme="minorHAnsi"/>
        </w:rPr>
        <w:t xml:space="preserve"> need to be aware of any requirements in destination countries.</w:t>
      </w:r>
    </w:p>
    <w:p w14:paraId="6B9BA6B5" w14:textId="1616AEE8" w:rsidR="008F4889" w:rsidRPr="00846769" w:rsidRDefault="008F4889" w:rsidP="008F4889">
      <w:pPr>
        <w:pStyle w:val="Heading4"/>
        <w:numPr>
          <w:ilvl w:val="2"/>
          <w:numId w:val="4"/>
        </w:numPr>
      </w:pPr>
      <w:bookmarkStart w:id="403" w:name="_Management_of_aquaculture"/>
      <w:bookmarkEnd w:id="402"/>
      <w:bookmarkEnd w:id="403"/>
      <w:r w:rsidRPr="00846769">
        <w:t xml:space="preserve">Management of aquaculture stock and equipment </w:t>
      </w:r>
    </w:p>
    <w:p w14:paraId="12DEC64B" w14:textId="6A91B2F4" w:rsidR="008F4889" w:rsidRPr="00846769" w:rsidRDefault="005662CF" w:rsidP="008F4889">
      <w:r w:rsidRPr="00846769">
        <w:t>Invasive m</w:t>
      </w:r>
      <w:r w:rsidR="008F4889" w:rsidRPr="00846769">
        <w:t>arine bivalves may be transported either on equipment used to culture marine species (such as ropes, nets, cages, buoys, and harvesting vessels) or on the stock itself. Movement of aquaculture stock or equipment from the control area during a marine pest emergency response should be permitted only if it can be demonstrated that steps taken to decontaminate the equipment and stock are able to effectively remove all life stages of the pest (</w:t>
      </w:r>
      <w:r w:rsidR="00264769">
        <w:t>i.e.</w:t>
      </w:r>
      <w:r w:rsidR="008F4889" w:rsidRPr="00846769">
        <w:t xml:space="preserve"> 100% mortality). This should require efficacy trials of the decontamination methods and approval of the protocol by the incident manager.</w:t>
      </w:r>
    </w:p>
    <w:p w14:paraId="0769EA44" w14:textId="728B220A" w:rsidR="008F4889" w:rsidRPr="00846769" w:rsidRDefault="008F4889" w:rsidP="008F4889">
      <w:r w:rsidRPr="00846769">
        <w:lastRenderedPageBreak/>
        <w:t>Different marine pests vary in their susceptibility to physical removal or exposure to toxicants. Bivalves have strong basal attachments and/or hard exoskeletons that allow them to withstand short periods of exposure to toxicants</w:t>
      </w:r>
      <w:r w:rsidR="002D509C" w:rsidRPr="00846769">
        <w:t xml:space="preserve"> or desiccation</w:t>
      </w:r>
      <w:r w:rsidR="00F70643">
        <w:t xml:space="preserve"> </w:t>
      </w:r>
      <w:r w:rsidR="002D509C" w:rsidRPr="00846769">
        <w:t xml:space="preserve">and </w:t>
      </w:r>
      <w:r w:rsidRPr="00846769">
        <w:t>are likely to be more resistant to decontamination methods than soft</w:t>
      </w:r>
      <w:r w:rsidRPr="00846769">
        <w:noBreakHyphen/>
        <w:t>bodied pests, such as ascidians or macroalgae. The effectiveness of any treatments may be affected by the conditions in which they are applied, including the ambient salinity, temperature, dissolved oxygen, pH, water flow, and the size and nutritional status of the treated species.</w:t>
      </w:r>
    </w:p>
    <w:p w14:paraId="7C0625A3" w14:textId="52E2284F" w:rsidR="008F4889" w:rsidRPr="00846769" w:rsidRDefault="008F4889">
      <w:pPr>
        <w:rPr>
          <w:rFonts w:cstheme="minorHAnsi"/>
        </w:rPr>
      </w:pPr>
      <w:r w:rsidRPr="00846769">
        <w:rPr>
          <w:rFonts w:cstheme="minorHAnsi"/>
        </w:rPr>
        <w:t>For all aquaculture stock and equipment treatment methods which are land-based, there is a risk that invasive marine bivalves dislodged during haul-out and may remain viable and could start a new population if returned to the sea. Containment and treatment of the waste, including influent and effluent water, may be necessary and similar precautions should be applied as per land-based treatment in</w:t>
      </w:r>
      <w:r w:rsidR="002D509C" w:rsidRPr="00846769">
        <w:rPr>
          <w:rFonts w:cstheme="minorHAnsi"/>
        </w:rPr>
        <w:t xml:space="preserve"> </w:t>
      </w:r>
      <w:hyperlink w:anchor="_Land-based_treatment" w:history="1">
        <w:r w:rsidR="002D509C" w:rsidRPr="00846769">
          <w:rPr>
            <w:rStyle w:val="Hyperlink"/>
            <w:rFonts w:cstheme="minorHAnsi"/>
          </w:rPr>
          <w:t>Section 3.3.1.1.</w:t>
        </w:r>
      </w:hyperlink>
    </w:p>
    <w:p w14:paraId="3151A196" w14:textId="53893E75" w:rsidR="006939E1" w:rsidRPr="00846769" w:rsidRDefault="00B5740F" w:rsidP="00BF317B">
      <w:pPr>
        <w:pStyle w:val="Heading5"/>
        <w:numPr>
          <w:ilvl w:val="3"/>
          <w:numId w:val="4"/>
        </w:numPr>
      </w:pPr>
      <w:r w:rsidRPr="00846769">
        <w:t>Aquaculture stock</w:t>
      </w:r>
    </w:p>
    <w:p w14:paraId="044E8978" w14:textId="5EA5CCF2" w:rsidR="008F4889" w:rsidRPr="00C80491" w:rsidRDefault="008F4889" w:rsidP="008F4889">
      <w:pPr>
        <w:rPr>
          <w:rFonts w:cstheme="minorHAnsi"/>
        </w:rPr>
      </w:pPr>
      <w:r w:rsidRPr="00846769">
        <w:t xml:space="preserve">The translocation of aquaculture stock is a probable secondary vector for spread of </w:t>
      </w:r>
      <w:r w:rsidR="005662CF" w:rsidRPr="00846769">
        <w:t>marine pests</w:t>
      </w:r>
      <w:r w:rsidRPr="00846769">
        <w:t xml:space="preserve"> in Australia. </w:t>
      </w:r>
      <w:bookmarkStart w:id="404" w:name="_Hlk187491228"/>
      <w:r w:rsidR="005662CF" w:rsidRPr="00846769">
        <w:rPr>
          <w:rFonts w:cstheme="minorHAnsi"/>
        </w:rPr>
        <w:t>Species such as oysters can provide habitats that support the accidental co-transfer of other non-target invasive marine bivalve species</w:t>
      </w:r>
      <w:r w:rsidR="00C80491">
        <w:rPr>
          <w:rFonts w:cstheme="minorHAnsi"/>
        </w:rPr>
        <w:t xml:space="preserve">, or potentially other pest species and parasites </w:t>
      </w:r>
      <w:r w:rsidR="00C80491" w:rsidRPr="00A841CD">
        <w:rPr>
          <w:rFonts w:cstheme="minorHAnsi"/>
        </w:rPr>
        <w:t>(</w:t>
      </w:r>
      <w:proofErr w:type="spellStart"/>
      <w:r w:rsidR="00C80491" w:rsidRPr="00A841CD">
        <w:rPr>
          <w:rFonts w:cstheme="minorHAnsi"/>
        </w:rPr>
        <w:t>G</w:t>
      </w:r>
      <w:r w:rsidR="00034046" w:rsidRPr="00A841CD">
        <w:rPr>
          <w:rFonts w:cstheme="minorHAnsi"/>
        </w:rPr>
        <w:t>oe</w:t>
      </w:r>
      <w:r w:rsidR="00C80491" w:rsidRPr="00A841CD">
        <w:rPr>
          <w:rFonts w:cstheme="minorHAnsi"/>
        </w:rPr>
        <w:t>dknegt</w:t>
      </w:r>
      <w:proofErr w:type="spellEnd"/>
      <w:r w:rsidR="00C80491" w:rsidRPr="00A841CD">
        <w:rPr>
          <w:rFonts w:cstheme="minorHAnsi"/>
        </w:rPr>
        <w:t xml:space="preserve"> et al. 2018). </w:t>
      </w:r>
      <w:bookmarkStart w:id="405" w:name="_Hlk187491258"/>
      <w:bookmarkEnd w:id="404"/>
      <w:r w:rsidR="005662CF" w:rsidRPr="00A841CD">
        <w:rPr>
          <w:rFonts w:cstheme="minorHAnsi"/>
        </w:rPr>
        <w:t>Similarly</w:t>
      </w:r>
      <w:r w:rsidR="005662CF" w:rsidRPr="00846769">
        <w:rPr>
          <w:rFonts w:cstheme="minorHAnsi"/>
        </w:rPr>
        <w:t>, i</w:t>
      </w:r>
      <w:r w:rsidRPr="00846769">
        <w:t>nvasive</w:t>
      </w:r>
      <w:r w:rsidR="005662CF" w:rsidRPr="00846769">
        <w:t xml:space="preserve"> marine</w:t>
      </w:r>
      <w:r w:rsidRPr="00846769">
        <w:t xml:space="preserve"> bivalves can settle on the shells of cultured bivalves and on aquaculture equipment. </w:t>
      </w:r>
      <w:bookmarkEnd w:id="405"/>
    </w:p>
    <w:p w14:paraId="53FC6562" w14:textId="77777777" w:rsidR="008F4889" w:rsidRPr="00846769" w:rsidRDefault="008F4889" w:rsidP="008F4889">
      <w:pPr>
        <w:rPr>
          <w:rFonts w:cstheme="minorHAnsi"/>
        </w:rPr>
      </w:pPr>
      <w:r w:rsidRPr="00846769">
        <w:rPr>
          <w:rFonts w:cstheme="minorHAnsi"/>
        </w:rPr>
        <w:t>Aquaculture stock can be treated by:</w:t>
      </w:r>
    </w:p>
    <w:p w14:paraId="14CA4190" w14:textId="77777777" w:rsidR="008F4889" w:rsidRPr="00846769" w:rsidRDefault="008F4889" w:rsidP="008F4889">
      <w:pPr>
        <w:pStyle w:val="ListBullet"/>
      </w:pPr>
      <w:r w:rsidRPr="00846769">
        <w:t>manual removal/destruction</w:t>
      </w:r>
    </w:p>
    <w:p w14:paraId="2E41E670" w14:textId="77777777" w:rsidR="008F4889" w:rsidRPr="00846769" w:rsidRDefault="008F4889" w:rsidP="008F4889">
      <w:pPr>
        <w:pStyle w:val="ListBullet"/>
      </w:pPr>
      <w:r w:rsidRPr="00846769">
        <w:t>detergents</w:t>
      </w:r>
    </w:p>
    <w:p w14:paraId="31322836" w14:textId="77777777" w:rsidR="008F4889" w:rsidRPr="00846769" w:rsidRDefault="008F4889" w:rsidP="008F4889">
      <w:pPr>
        <w:pStyle w:val="ListBullet"/>
      </w:pPr>
      <w:r w:rsidRPr="00846769">
        <w:t xml:space="preserve">osmotic treatment. </w:t>
      </w:r>
    </w:p>
    <w:p w14:paraId="6C3D6B11" w14:textId="0243FD7A" w:rsidR="008F4889" w:rsidRPr="00846769" w:rsidRDefault="008F4889" w:rsidP="008F4889">
      <w:pPr>
        <w:rPr>
          <w:rFonts w:cstheme="minorHAnsi"/>
        </w:rPr>
      </w:pPr>
      <w:r w:rsidRPr="00846769">
        <w:t xml:space="preserve">The utility of treatment methods used to decontaminate aquaculture stock relies on the therapeutic ratio. </w:t>
      </w:r>
      <w:bookmarkStart w:id="406" w:name="_Hlk187491857"/>
      <w:r w:rsidRPr="00846769">
        <w:t xml:space="preserve">A therapeutic ratio is the highest exposure to an effective treatment that results in no stock loss or reduced viability of stock because of the treatment </w:t>
      </w:r>
      <w:bookmarkEnd w:id="406"/>
      <w:r w:rsidRPr="00846769">
        <w:t xml:space="preserve">(Cahill et al. 2021). </w:t>
      </w:r>
      <w:r w:rsidR="00034046">
        <w:t>To ensure survival</w:t>
      </w:r>
      <w:r w:rsidR="00287F50">
        <w:t xml:space="preserve"> of</w:t>
      </w:r>
      <w:r w:rsidR="00034046">
        <w:t xml:space="preserve"> aquaculture stock, wide therapeutic ratios are preferred. </w:t>
      </w:r>
      <w:r w:rsidRPr="00846769">
        <w:t>T</w:t>
      </w:r>
      <w:r w:rsidRPr="00846769">
        <w:rPr>
          <w:rFonts w:cstheme="minorHAnsi"/>
        </w:rPr>
        <w:t>rials should be carried out to determine rates of mortality of the treatment on aquaculture stock and on the target marine pest (Cahill et al. 2021). Where the treatment cannot be effective, it may be precautionary to either destroy potentially contaminated stock and dispose of it to landfill, or harvest and process stock for human consumption.</w:t>
      </w:r>
      <w:r w:rsidR="000E7F70">
        <w:rPr>
          <w:rFonts w:cstheme="minorHAnsi"/>
        </w:rPr>
        <w:t xml:space="preserve"> Thorough cleaning prior to use of another treatment will permit quicker or more effective treatment.</w:t>
      </w:r>
    </w:p>
    <w:p w14:paraId="0B416803" w14:textId="77777777" w:rsidR="008F4889" w:rsidRPr="00846769" w:rsidRDefault="008F4889" w:rsidP="008F4889">
      <w:pPr>
        <w:rPr>
          <w:rFonts w:cstheme="minorHAnsi"/>
        </w:rPr>
      </w:pPr>
      <w:bookmarkStart w:id="407" w:name="_Hlk187491924"/>
      <w:r w:rsidRPr="00846769">
        <w:rPr>
          <w:rFonts w:cstheme="minorHAnsi"/>
        </w:rPr>
        <w:t>Import of aquaculture stock is strongly regulated and most jurisdictions have conditions on movements of aquaculture stock to manage biosecurity and other risks.</w:t>
      </w:r>
    </w:p>
    <w:bookmarkEnd w:id="407"/>
    <w:p w14:paraId="24ECBD52" w14:textId="787221F9" w:rsidR="008F4889" w:rsidRPr="00846769" w:rsidRDefault="008F4889" w:rsidP="008F4889">
      <w:pPr>
        <w:pStyle w:val="Heading5"/>
        <w:numPr>
          <w:ilvl w:val="3"/>
          <w:numId w:val="4"/>
        </w:numPr>
      </w:pPr>
      <w:r w:rsidRPr="00846769">
        <w:t>Aquaculture equipment</w:t>
      </w:r>
    </w:p>
    <w:p w14:paraId="16065F6C" w14:textId="77777777" w:rsidR="008F4889" w:rsidRPr="00846769" w:rsidRDefault="008F4889" w:rsidP="008F4889">
      <w:pPr>
        <w:rPr>
          <w:rFonts w:cstheme="minorHAnsi"/>
        </w:rPr>
      </w:pPr>
      <w:r w:rsidRPr="00846769">
        <w:rPr>
          <w:rFonts w:cstheme="minorHAnsi"/>
        </w:rPr>
        <w:t>The protocols recommended for treatment of ropes and aquaculture equipment, such as buoys, floats, nets, and traps are:</w:t>
      </w:r>
    </w:p>
    <w:p w14:paraId="3CED22F9" w14:textId="77777777" w:rsidR="002D509C" w:rsidRPr="00846769" w:rsidRDefault="008F4889" w:rsidP="00A04E26">
      <w:pPr>
        <w:pStyle w:val="ListParagraph"/>
        <w:numPr>
          <w:ilvl w:val="6"/>
          <w:numId w:val="4"/>
        </w:numPr>
        <w:ind w:left="425" w:hanging="425"/>
        <w:contextualSpacing w:val="0"/>
      </w:pPr>
      <w:r w:rsidRPr="00846769">
        <w:t xml:space="preserve">Remove equipment to land, taking care not to dislodge motile species </w:t>
      </w:r>
      <w:r w:rsidR="005662CF" w:rsidRPr="00846769">
        <w:t xml:space="preserve">or fragments </w:t>
      </w:r>
      <w:r w:rsidRPr="00846769">
        <w:t>when removing structures from the water</w:t>
      </w:r>
    </w:p>
    <w:p w14:paraId="23F3639B" w14:textId="77777777" w:rsidR="002D509C" w:rsidRPr="00846769" w:rsidRDefault="008F4889" w:rsidP="00A04E26">
      <w:pPr>
        <w:pStyle w:val="ListParagraph"/>
        <w:numPr>
          <w:ilvl w:val="6"/>
          <w:numId w:val="4"/>
        </w:numPr>
        <w:ind w:left="425" w:hanging="425"/>
        <w:contextualSpacing w:val="0"/>
      </w:pPr>
      <w:r w:rsidRPr="00846769">
        <w:t>Clean thoroughly by high-pressure water blasting (&gt;2000 psi at distance of 100 mm)</w:t>
      </w:r>
    </w:p>
    <w:p w14:paraId="2650F586" w14:textId="5F4C108B" w:rsidR="002D509C" w:rsidRPr="00846769" w:rsidRDefault="008F4889" w:rsidP="00A04E26">
      <w:pPr>
        <w:pStyle w:val="ListParagraph"/>
        <w:numPr>
          <w:ilvl w:val="6"/>
          <w:numId w:val="4"/>
        </w:numPr>
        <w:ind w:left="425" w:hanging="425"/>
        <w:contextualSpacing w:val="0"/>
      </w:pPr>
      <w:r w:rsidRPr="00846769">
        <w:lastRenderedPageBreak/>
        <w:t>Immerse in 2% liquid sodium hypochlorite (200 to 400 ppm) for &gt;4 hours, or 2% detergent (</w:t>
      </w:r>
      <w:r w:rsidR="0004422F">
        <w:t>e.g.</w:t>
      </w:r>
      <w:r w:rsidRPr="00846769">
        <w:t xml:space="preserve"> DECON 90) solution for &gt;8 hours, or hot water (&gt;50°C) for &gt;1 hour</w:t>
      </w:r>
    </w:p>
    <w:p w14:paraId="3D7EF796" w14:textId="220148C2" w:rsidR="008F4889" w:rsidRPr="00846769" w:rsidRDefault="008F4889" w:rsidP="00A04E26">
      <w:pPr>
        <w:pStyle w:val="ListParagraph"/>
        <w:numPr>
          <w:ilvl w:val="6"/>
          <w:numId w:val="4"/>
        </w:numPr>
        <w:ind w:left="425" w:hanging="425"/>
        <w:contextualSpacing w:val="0"/>
      </w:pPr>
      <w:r w:rsidRPr="00846769">
        <w:t>Rinse in seawater or freshwater and air dry for &gt;48 hours.</w:t>
      </w:r>
    </w:p>
    <w:p w14:paraId="60247E3B" w14:textId="44166E11" w:rsidR="00D624C9" w:rsidRPr="00846769" w:rsidRDefault="00D624C9" w:rsidP="00D624C9">
      <w:pPr>
        <w:pStyle w:val="Heading4"/>
        <w:numPr>
          <w:ilvl w:val="2"/>
          <w:numId w:val="4"/>
        </w:numPr>
      </w:pPr>
      <w:bookmarkStart w:id="408" w:name="_Management_of_submerged"/>
      <w:bookmarkEnd w:id="408"/>
      <w:r w:rsidRPr="00846769">
        <w:t xml:space="preserve">Management of </w:t>
      </w:r>
      <w:r w:rsidR="00015D0A">
        <w:t>marine infrastructure</w:t>
      </w:r>
      <w:r w:rsidRPr="00846769">
        <w:t xml:space="preserve"> and habitat </w:t>
      </w:r>
    </w:p>
    <w:p w14:paraId="67CF9FCE" w14:textId="4D0994BD" w:rsidR="00D624C9" w:rsidRPr="00846769" w:rsidRDefault="00D624C9" w:rsidP="00D624C9">
      <w:r w:rsidRPr="00846769">
        <w:t xml:space="preserve">All infrastructure submerged or exposed to the marine environment is at risk of being colonised by invasive marine bivalves. This includes permanent, semi-permanent, and temporary infrastructure that may be entirely or partially submerged for periods of time. </w:t>
      </w:r>
      <w:r w:rsidR="00E5169D" w:rsidRPr="00846769">
        <w:t xml:space="preserve">For fouling organisms, </w:t>
      </w:r>
      <w:r w:rsidR="00E5169D">
        <w:t xml:space="preserve">marine infrastructure </w:t>
      </w:r>
      <w:r w:rsidR="00E5169D" w:rsidRPr="00846769">
        <w:t>both artificial and natural, that cannot be removed from the water are to be considered high priority. These include, but are not limited to, structures such as:</w:t>
      </w:r>
    </w:p>
    <w:p w14:paraId="23327F93" w14:textId="77777777" w:rsidR="00D624C9" w:rsidRPr="00846769" w:rsidRDefault="00D624C9" w:rsidP="00D624C9">
      <w:pPr>
        <w:pStyle w:val="ListBullet"/>
      </w:pPr>
      <w:r w:rsidRPr="00846769">
        <w:t>aquaculture infrastructure and facilities</w:t>
      </w:r>
    </w:p>
    <w:p w14:paraId="6354E6CB" w14:textId="77777777" w:rsidR="00D624C9" w:rsidRPr="00846769" w:rsidRDefault="00D624C9" w:rsidP="00D624C9">
      <w:pPr>
        <w:pStyle w:val="ListBullet"/>
      </w:pPr>
      <w:r w:rsidRPr="00846769">
        <w:t>petroleum production and exploration industry infrastructure and facilities</w:t>
      </w:r>
    </w:p>
    <w:p w14:paraId="4B26E305" w14:textId="53B8F81C" w:rsidR="00D624C9" w:rsidRPr="00846769" w:rsidRDefault="00D624C9" w:rsidP="00D624C9">
      <w:pPr>
        <w:pStyle w:val="ListBullet"/>
      </w:pPr>
      <w:r w:rsidRPr="00846769">
        <w:t>marinas, slipways, boat maintenance facilities, and recreational boating facilities</w:t>
      </w:r>
    </w:p>
    <w:p w14:paraId="2DE01886" w14:textId="77777777" w:rsidR="00D624C9" w:rsidRPr="00846769" w:rsidRDefault="00D624C9" w:rsidP="00D624C9">
      <w:pPr>
        <w:pStyle w:val="ListBullet"/>
      </w:pPr>
      <w:r w:rsidRPr="00846769">
        <w:t>projecting piles</w:t>
      </w:r>
    </w:p>
    <w:p w14:paraId="0919A121" w14:textId="4E62EAAB" w:rsidR="00D624C9" w:rsidRPr="00846769" w:rsidRDefault="00D624C9" w:rsidP="00D624C9">
      <w:pPr>
        <w:pStyle w:val="ListBullet"/>
      </w:pPr>
      <w:r w:rsidRPr="00846769">
        <w:t>breakwaters and rock walls</w:t>
      </w:r>
    </w:p>
    <w:p w14:paraId="3747174D" w14:textId="77777777" w:rsidR="00D624C9" w:rsidRPr="00846769" w:rsidRDefault="00D624C9" w:rsidP="00D624C9">
      <w:pPr>
        <w:pStyle w:val="ListBullet"/>
      </w:pPr>
      <w:r w:rsidRPr="00846769">
        <w:t>groynes</w:t>
      </w:r>
    </w:p>
    <w:p w14:paraId="1BEDD59A" w14:textId="77777777" w:rsidR="00D624C9" w:rsidRPr="00846769" w:rsidRDefault="00D624C9" w:rsidP="00D624C9">
      <w:pPr>
        <w:pStyle w:val="ListBullet"/>
      </w:pPr>
      <w:proofErr w:type="gramStart"/>
      <w:r w:rsidRPr="00846769">
        <w:t>rip-rap</w:t>
      </w:r>
      <w:proofErr w:type="gramEnd"/>
    </w:p>
    <w:p w14:paraId="0E2831B7" w14:textId="77777777" w:rsidR="00D624C9" w:rsidRPr="00846769" w:rsidRDefault="00D624C9" w:rsidP="00D624C9">
      <w:pPr>
        <w:pStyle w:val="ListBullet"/>
      </w:pPr>
      <w:r w:rsidRPr="00846769">
        <w:t>wrecks</w:t>
      </w:r>
    </w:p>
    <w:p w14:paraId="3707F8DF" w14:textId="77777777" w:rsidR="00D624C9" w:rsidRPr="00846769" w:rsidRDefault="00D624C9" w:rsidP="00D624C9">
      <w:pPr>
        <w:pStyle w:val="ListBullet"/>
      </w:pPr>
      <w:r w:rsidRPr="00846769">
        <w:t>hulks</w:t>
      </w:r>
    </w:p>
    <w:p w14:paraId="47E3501D" w14:textId="77777777" w:rsidR="00D624C9" w:rsidRPr="00846769" w:rsidRDefault="00D624C9" w:rsidP="00D624C9">
      <w:pPr>
        <w:pStyle w:val="ListBullet"/>
      </w:pPr>
      <w:r w:rsidRPr="00846769">
        <w:t>hulls</w:t>
      </w:r>
    </w:p>
    <w:p w14:paraId="76853ED9" w14:textId="77777777" w:rsidR="00D624C9" w:rsidRPr="00846769" w:rsidRDefault="00D624C9" w:rsidP="00D624C9">
      <w:pPr>
        <w:pStyle w:val="ListBullet"/>
      </w:pPr>
      <w:r w:rsidRPr="00846769">
        <w:t>steel facings</w:t>
      </w:r>
    </w:p>
    <w:p w14:paraId="70C9149F" w14:textId="13C7693F" w:rsidR="00D624C9" w:rsidRPr="00846769" w:rsidRDefault="00D624C9" w:rsidP="00D624C9">
      <w:pPr>
        <w:pStyle w:val="ListBullet"/>
      </w:pPr>
      <w:r w:rsidRPr="00846769">
        <w:t>ropes</w:t>
      </w:r>
      <w:r w:rsidR="00B83AA3">
        <w:t xml:space="preserve">, </w:t>
      </w:r>
      <w:r w:rsidR="006F165C" w:rsidRPr="00846769">
        <w:t>buoys</w:t>
      </w:r>
      <w:r w:rsidR="00B83AA3">
        <w:t xml:space="preserve"> and fenders</w:t>
      </w:r>
    </w:p>
    <w:p w14:paraId="6D291976" w14:textId="77777777" w:rsidR="00D624C9" w:rsidRPr="00846769" w:rsidRDefault="00D624C9" w:rsidP="00D624C9">
      <w:pPr>
        <w:pStyle w:val="ListBullet"/>
      </w:pPr>
      <w:r w:rsidRPr="00846769">
        <w:t>moorings and mooring dolphins</w:t>
      </w:r>
    </w:p>
    <w:p w14:paraId="5CC2ADE4" w14:textId="77777777" w:rsidR="00D624C9" w:rsidRPr="00846769" w:rsidRDefault="00D624C9" w:rsidP="00D624C9">
      <w:pPr>
        <w:pStyle w:val="ListBullet"/>
      </w:pPr>
      <w:r w:rsidRPr="00846769">
        <w:t>natural seabeds and reefs.</w:t>
      </w:r>
    </w:p>
    <w:p w14:paraId="3395DE91" w14:textId="77777777" w:rsidR="00D624C9" w:rsidRPr="00846769" w:rsidRDefault="00D624C9" w:rsidP="00D624C9">
      <w:pPr>
        <w:rPr>
          <w:lang w:eastAsia="ja-JP"/>
        </w:rPr>
      </w:pPr>
      <w:r w:rsidRPr="00846769">
        <w:t xml:space="preserve">Biofouling management for infrastructure should be consistent with the National Biofouling Management Guidelines. These </w:t>
      </w:r>
      <w:r w:rsidRPr="00846769">
        <w:rPr>
          <w:lang w:eastAsia="ja-JP"/>
        </w:rPr>
        <w:t>are available for the following industries and operators:</w:t>
      </w:r>
    </w:p>
    <w:p w14:paraId="1788393E" w14:textId="77777777" w:rsidR="00D624C9" w:rsidRPr="00846769" w:rsidRDefault="00D624C9" w:rsidP="00D624C9">
      <w:pPr>
        <w:pStyle w:val="ListBullet"/>
      </w:pPr>
      <w:hyperlink r:id="rId142" w:history="1">
        <w:r w:rsidRPr="00846769">
          <w:rPr>
            <w:rStyle w:val="Hyperlink"/>
          </w:rPr>
          <w:t>aquaculture</w:t>
        </w:r>
      </w:hyperlink>
      <w:r w:rsidRPr="00846769">
        <w:t xml:space="preserve"> industry</w:t>
      </w:r>
    </w:p>
    <w:p w14:paraId="6008CDD2" w14:textId="77777777" w:rsidR="00D624C9" w:rsidRPr="00846769" w:rsidRDefault="00D624C9" w:rsidP="00D624C9">
      <w:pPr>
        <w:pStyle w:val="ListBullet"/>
      </w:pPr>
      <w:hyperlink r:id="rId143" w:history="1">
        <w:r w:rsidRPr="00846769">
          <w:rPr>
            <w:rStyle w:val="Hyperlink"/>
          </w:rPr>
          <w:t xml:space="preserve">offshore infrastructure </w:t>
        </w:r>
      </w:hyperlink>
      <w:r w:rsidRPr="00846769">
        <w:t>(petroleum production and exploration industry)</w:t>
      </w:r>
    </w:p>
    <w:p w14:paraId="4CCCEA5F" w14:textId="77777777" w:rsidR="00D624C9" w:rsidRPr="00846769" w:rsidRDefault="00D624C9" w:rsidP="00D624C9">
      <w:pPr>
        <w:pStyle w:val="ListBullet"/>
      </w:pPr>
      <w:hyperlink r:id="rId144" w:history="1">
        <w:r w:rsidRPr="00846769">
          <w:rPr>
            <w:rStyle w:val="Hyperlink"/>
          </w:rPr>
          <w:t>port and marina operators</w:t>
        </w:r>
      </w:hyperlink>
      <w:r w:rsidRPr="00846769">
        <w:t xml:space="preserve"> (marinas, slipways, boat maintenance and recreational boating facilities).</w:t>
      </w:r>
    </w:p>
    <w:p w14:paraId="269B6296" w14:textId="77777777" w:rsidR="008F4889" w:rsidRPr="00846769" w:rsidRDefault="008F4889" w:rsidP="008F4889"/>
    <w:p w14:paraId="5826228E" w14:textId="77777777" w:rsidR="008F4889" w:rsidRPr="00846769" w:rsidRDefault="008F4889" w:rsidP="008F4889"/>
    <w:p w14:paraId="41EF9C38" w14:textId="77777777" w:rsidR="008F4889" w:rsidRPr="00846769" w:rsidRDefault="008F4889" w:rsidP="008F4889"/>
    <w:p w14:paraId="27E56367" w14:textId="77777777" w:rsidR="008F4889" w:rsidRPr="00846769" w:rsidRDefault="008F4889" w:rsidP="008F4889"/>
    <w:p w14:paraId="0535D4C3" w14:textId="4ED52BAB" w:rsidR="00F968B4" w:rsidRPr="00846769" w:rsidRDefault="00531E10" w:rsidP="00A04E26">
      <w:pPr>
        <w:pStyle w:val="Heading2"/>
        <w:numPr>
          <w:ilvl w:val="0"/>
          <w:numId w:val="2"/>
        </w:numPr>
        <w:ind w:left="709" w:hanging="709"/>
      </w:pPr>
      <w:bookmarkStart w:id="409" w:name="_Toc189658674"/>
      <w:bookmarkStart w:id="410" w:name="_Toc189776217"/>
      <w:bookmarkStart w:id="411" w:name="_Toc189946897"/>
      <w:bookmarkStart w:id="412" w:name="_Toc189947057"/>
      <w:bookmarkStart w:id="413" w:name="_Toc189947335"/>
      <w:bookmarkStart w:id="414" w:name="_Delimitation,_surveillance,_and"/>
      <w:bookmarkStart w:id="415" w:name="_Surveillance_and_delimitation"/>
      <w:bookmarkStart w:id="416" w:name="_Toc191998665"/>
      <w:bookmarkStart w:id="417" w:name="_Hlk75506594"/>
      <w:bookmarkStart w:id="418" w:name="_Hlk75946960"/>
      <w:bookmarkEnd w:id="409"/>
      <w:bookmarkEnd w:id="410"/>
      <w:bookmarkEnd w:id="411"/>
      <w:bookmarkEnd w:id="412"/>
      <w:bookmarkEnd w:id="413"/>
      <w:bookmarkEnd w:id="414"/>
      <w:bookmarkEnd w:id="415"/>
      <w:r>
        <w:lastRenderedPageBreak/>
        <w:t>Surveillance and delimitation</w:t>
      </w:r>
      <w:bookmarkEnd w:id="416"/>
    </w:p>
    <w:p w14:paraId="577B180A" w14:textId="56573B22" w:rsidR="00531E10" w:rsidRPr="00846769" w:rsidRDefault="00531E10" w:rsidP="00531E10">
      <w:r>
        <w:t>Surveillance</w:t>
      </w:r>
      <w:r w:rsidR="000E7F70">
        <w:t>,</w:t>
      </w:r>
      <w:r>
        <w:t xml:space="preserve"> and </w:t>
      </w:r>
      <w:r w:rsidR="000E7F70">
        <w:t xml:space="preserve">specifically </w:t>
      </w:r>
      <w:r>
        <w:t>delimitation</w:t>
      </w:r>
      <w:r w:rsidR="003B6D4D">
        <w:t xml:space="preserve"> surveys</w:t>
      </w:r>
      <w:r w:rsidR="000E7F70">
        <w:t>,</w:t>
      </w:r>
      <w:r w:rsidRPr="00846769">
        <w:t xml:space="preserve"> </w:t>
      </w:r>
      <w:r w:rsidR="000E7F70">
        <w:t>is</w:t>
      </w:r>
      <w:r w:rsidR="000E7F70" w:rsidRPr="00846769">
        <w:t xml:space="preserve"> </w:t>
      </w:r>
      <w:r w:rsidRPr="00846769">
        <w:t xml:space="preserve">used to detect invasive marine bivalve populations during an incursion and help inform management actions. </w:t>
      </w:r>
      <w:r w:rsidR="000E7F70">
        <w:t xml:space="preserve">Surveillance </w:t>
      </w:r>
      <w:r w:rsidRPr="00846769">
        <w:t xml:space="preserve">activities may occur throughout the entire life cycle of the response and will help to confirm species presence or absence, to monitor spread, to assess the size and extent of the population, to inform control programs and response objectives, or to support that eradication has been successful. </w:t>
      </w:r>
    </w:p>
    <w:p w14:paraId="28562255" w14:textId="77777777" w:rsidR="00531E10" w:rsidRPr="00846769" w:rsidRDefault="00531E10" w:rsidP="00531E10">
      <w:pPr>
        <w:rPr>
          <w:rFonts w:cstheme="minorHAnsi"/>
        </w:rPr>
      </w:pPr>
      <w:proofErr w:type="gramStart"/>
      <w:r w:rsidRPr="00846769">
        <w:rPr>
          <w:rFonts w:cstheme="minorHAnsi"/>
        </w:rPr>
        <w:t>For the purpose of</w:t>
      </w:r>
      <w:proofErr w:type="gramEnd"/>
      <w:r w:rsidRPr="00846769">
        <w:rPr>
          <w:rFonts w:cstheme="minorHAnsi"/>
        </w:rPr>
        <w:t xml:space="preserve"> this manual, the following definitions are used: </w:t>
      </w:r>
    </w:p>
    <w:p w14:paraId="555E9EC6" w14:textId="6B846143" w:rsidR="000E7F70" w:rsidRPr="00A04E26" w:rsidRDefault="000E7F70" w:rsidP="000E7F70">
      <w:pPr>
        <w:pStyle w:val="ListBullet"/>
      </w:pPr>
      <w:r w:rsidRPr="00846769">
        <w:rPr>
          <w:b/>
          <w:bCs/>
        </w:rPr>
        <w:t>Surveillance</w:t>
      </w:r>
      <w:r w:rsidRPr="00846769">
        <w:t xml:space="preserve"> –</w:t>
      </w:r>
      <w:r>
        <w:rPr>
          <w:b/>
          <w:bCs/>
        </w:rPr>
        <w:t xml:space="preserve"> </w:t>
      </w:r>
      <w:r w:rsidRPr="00846769">
        <w:t xml:space="preserve">Surveillance is the systematic investigation over time, of a population or area, to collect data and information about the presence, incidence, prevalence, or geographical extent of an invasive marine bivalve, and includes active and passive approaches. Surveillance can occur before a response has been initiated or after a response has been stood down. It is sometimes called a ‘detection survey’. </w:t>
      </w:r>
      <w:r>
        <w:t xml:space="preserve">‘Monitoring’ is also a term used interchangeably with surveillance. </w:t>
      </w:r>
    </w:p>
    <w:p w14:paraId="0355F796" w14:textId="273FCB15" w:rsidR="000E7F70" w:rsidRPr="00846769" w:rsidRDefault="000E7F70" w:rsidP="000E7F70">
      <w:pPr>
        <w:pStyle w:val="ListBullet"/>
      </w:pPr>
      <w:r w:rsidRPr="00846769">
        <w:rPr>
          <w:b/>
          <w:bCs/>
        </w:rPr>
        <w:t>Delimitation –</w:t>
      </w:r>
      <w:r>
        <w:rPr>
          <w:b/>
          <w:bCs/>
        </w:rPr>
        <w:t xml:space="preserve"> </w:t>
      </w:r>
      <w:r w:rsidRPr="00846769">
        <w:t xml:space="preserve">Delimitation </w:t>
      </w:r>
      <w:r>
        <w:t xml:space="preserve">is a form of surveillance that </w:t>
      </w:r>
      <w:r w:rsidRPr="00846769">
        <w:t>establishes the geographic extent of an area infested by, or free from, an invasive marine bivalve during a response, and specifically informs feasibility of eradication or areas to target for control and management. Delimitation usually occurs throughout the response.</w:t>
      </w:r>
    </w:p>
    <w:p w14:paraId="46F74E78" w14:textId="77777777" w:rsidR="00F03A5E" w:rsidRPr="00846769" w:rsidRDefault="00F03A5E" w:rsidP="00F03A5E">
      <w:pPr>
        <w:pStyle w:val="Heading3"/>
        <w:numPr>
          <w:ilvl w:val="1"/>
          <w:numId w:val="4"/>
        </w:numPr>
      </w:pPr>
      <w:bookmarkStart w:id="419" w:name="_Toc184221796"/>
      <w:bookmarkStart w:id="420" w:name="_Toc189658676"/>
      <w:bookmarkStart w:id="421" w:name="_Toc189776219"/>
      <w:bookmarkStart w:id="422" w:name="_Toc189946899"/>
      <w:bookmarkStart w:id="423" w:name="_Toc189947059"/>
      <w:bookmarkStart w:id="424" w:name="_Toc189947337"/>
      <w:bookmarkStart w:id="425" w:name="_Delimitation_during_an"/>
      <w:bookmarkStart w:id="426" w:name="_Toc191998666"/>
      <w:bookmarkEnd w:id="419"/>
      <w:bookmarkEnd w:id="420"/>
      <w:bookmarkEnd w:id="421"/>
      <w:bookmarkEnd w:id="422"/>
      <w:bookmarkEnd w:id="423"/>
      <w:bookmarkEnd w:id="424"/>
      <w:bookmarkEnd w:id="425"/>
      <w:r w:rsidRPr="00846769">
        <w:t>Delimitation during an incursion</w:t>
      </w:r>
      <w:bookmarkEnd w:id="426"/>
    </w:p>
    <w:p w14:paraId="188A2584" w14:textId="0AC03542" w:rsidR="00F03A5E" w:rsidRPr="00846769" w:rsidRDefault="00F03A5E" w:rsidP="00F03A5E">
      <w:pPr>
        <w:rPr>
          <w:rFonts w:cstheme="minorHAnsi"/>
        </w:rPr>
      </w:pPr>
      <w:r w:rsidRPr="00846769">
        <w:rPr>
          <w:rFonts w:cstheme="minorHAnsi"/>
        </w:rPr>
        <w:t xml:space="preserve">After the detection of an invasive marine bivalve, a delimiting survey should be conducted quickly to establish if the area considered to be infested is localised or widespread. This information will assist in determining which response option, containment, eradication, or ongoing management, is most feasible for </w:t>
      </w:r>
      <w:r w:rsidRPr="00DD01E4">
        <w:rPr>
          <w:rFonts w:cstheme="minorHAnsi"/>
        </w:rPr>
        <w:t>the incursion (van Havre &amp; Whittle 2015).</w:t>
      </w:r>
      <w:r w:rsidRPr="00846769">
        <w:rPr>
          <w:rFonts w:cstheme="minorHAnsi"/>
        </w:rPr>
        <w:t xml:space="preserve"> </w:t>
      </w:r>
      <w:bookmarkStart w:id="427" w:name="_Hlk170742914"/>
      <w:r w:rsidRPr="00846769">
        <w:rPr>
          <w:rFonts w:cstheme="minorHAnsi"/>
        </w:rPr>
        <w:t>Delimitation usually occurs during the investigation phase but may also occur throughout later phases of the response to inform the next steps of the response or the status of the marine pest.</w:t>
      </w:r>
      <w:bookmarkEnd w:id="427"/>
    </w:p>
    <w:p w14:paraId="06CDFD37" w14:textId="313D5B00" w:rsidR="00F03A5E" w:rsidRPr="00846769" w:rsidRDefault="00F03A5E" w:rsidP="00F03A5E">
      <w:pPr>
        <w:rPr>
          <w:rFonts w:cstheme="minorHAnsi"/>
        </w:rPr>
      </w:pPr>
      <w:r w:rsidRPr="00846769">
        <w:rPr>
          <w:rFonts w:cstheme="minorHAnsi"/>
        </w:rPr>
        <w:t xml:space="preserve">Until the response option is known, containment measures around all suspected infected area(s) should be implemented to reduce the potential spread of the invasive marine bivalve. An incursion can generally be declared delimited when no new infested area has been discovered </w:t>
      </w:r>
      <w:r w:rsidR="003B6D4D" w:rsidRPr="00846769">
        <w:rPr>
          <w:rFonts w:cstheme="minorHAnsi"/>
        </w:rPr>
        <w:t xml:space="preserve">for </w:t>
      </w:r>
      <w:proofErr w:type="gramStart"/>
      <w:r w:rsidR="003B6D4D" w:rsidRPr="00846769">
        <w:rPr>
          <w:rFonts w:cstheme="minorHAnsi"/>
        </w:rPr>
        <w:t>a period of time</w:t>
      </w:r>
      <w:proofErr w:type="gramEnd"/>
      <w:r w:rsidRPr="00846769">
        <w:rPr>
          <w:rFonts w:cstheme="minorHAnsi"/>
        </w:rPr>
        <w:t xml:space="preserve">, given that surveys into new areas are </w:t>
      </w:r>
      <w:r w:rsidRPr="00DD01E4">
        <w:rPr>
          <w:rFonts w:cstheme="minorHAnsi"/>
        </w:rPr>
        <w:t>performed to indicate spread has not occurred (van Havre &amp; Whittle 2015).</w:t>
      </w:r>
    </w:p>
    <w:p w14:paraId="2777ECAA" w14:textId="77777777" w:rsidR="00F03A5E" w:rsidRPr="00846769" w:rsidRDefault="00F03A5E" w:rsidP="00F03A5E">
      <w:pPr>
        <w:rPr>
          <w:rFonts w:cstheme="minorHAnsi"/>
        </w:rPr>
      </w:pPr>
      <w:r w:rsidRPr="00846769">
        <w:rPr>
          <w:rFonts w:cstheme="minorHAnsi"/>
        </w:rPr>
        <w:t>The below section outlines considerations when planning a delimiting survey and some survey methods that may assist in delimitation, including:</w:t>
      </w:r>
    </w:p>
    <w:p w14:paraId="3EBF0CC0" w14:textId="47015B3F" w:rsidR="00F03A5E" w:rsidRPr="00846769" w:rsidRDefault="00F03A5E" w:rsidP="00F03A5E">
      <w:pPr>
        <w:pStyle w:val="ListBullet"/>
      </w:pPr>
      <w:r w:rsidRPr="00846769">
        <w:t xml:space="preserve">tracing an incursion </w:t>
      </w:r>
      <w:r w:rsidR="008561CA" w:rsidRPr="00DE35C0">
        <w:t>(trace</w:t>
      </w:r>
      <w:r w:rsidR="008561CA">
        <w:t>-</w:t>
      </w:r>
      <w:r w:rsidR="008561CA" w:rsidRPr="00DE35C0">
        <w:t xml:space="preserve">back </w:t>
      </w:r>
      <w:r w:rsidR="008561CA">
        <w:t xml:space="preserve">and </w:t>
      </w:r>
      <w:r w:rsidR="008561CA" w:rsidRPr="00DE35C0">
        <w:t>trace</w:t>
      </w:r>
      <w:r w:rsidR="008561CA">
        <w:t>-</w:t>
      </w:r>
      <w:r w:rsidR="008561CA" w:rsidRPr="00DE35C0">
        <w:t>forward)</w:t>
      </w:r>
    </w:p>
    <w:p w14:paraId="4258F72B" w14:textId="77777777" w:rsidR="00F03A5E" w:rsidRPr="00846769" w:rsidRDefault="00F03A5E" w:rsidP="00F03A5E">
      <w:pPr>
        <w:pStyle w:val="ListBullet"/>
      </w:pPr>
      <w:r w:rsidRPr="00846769">
        <w:t>perpendicular and margin transects</w:t>
      </w:r>
    </w:p>
    <w:p w14:paraId="6A0F0928" w14:textId="77777777" w:rsidR="00F03A5E" w:rsidRPr="00846769" w:rsidRDefault="00F03A5E" w:rsidP="00F03A5E">
      <w:pPr>
        <w:pStyle w:val="ListBullet"/>
      </w:pPr>
      <w:r w:rsidRPr="00846769">
        <w:t>adaptive sampling</w:t>
      </w:r>
    </w:p>
    <w:p w14:paraId="5DDF29E2" w14:textId="6EF30BEB" w:rsidR="00F03A5E" w:rsidRPr="00846769" w:rsidRDefault="00F03A5E" w:rsidP="00F03A5E">
      <w:pPr>
        <w:pStyle w:val="ListBullet"/>
      </w:pPr>
      <w:r w:rsidRPr="00846769">
        <w:t>approach, decline, delimit</w:t>
      </w:r>
      <w:r w:rsidR="00BC14EB" w:rsidRPr="00846769">
        <w:t xml:space="preserve"> (ADD)</w:t>
      </w:r>
      <w:r w:rsidRPr="00846769">
        <w:t>.</w:t>
      </w:r>
    </w:p>
    <w:p w14:paraId="5556A196" w14:textId="318BD03A" w:rsidR="00F03A5E" w:rsidRPr="00846769" w:rsidRDefault="00F03A5E" w:rsidP="00F03A5E">
      <w:pPr>
        <w:rPr>
          <w:rFonts w:cstheme="minorHAnsi"/>
        </w:rPr>
      </w:pPr>
      <w:r w:rsidRPr="00846769">
        <w:rPr>
          <w:rFonts w:cstheme="minorHAnsi"/>
        </w:rPr>
        <w:t xml:space="preserve">We provide an overview of the different sampling methods for invasive marine bivalves that could be used during delimiting surveys in </w:t>
      </w:r>
      <w:hyperlink w:anchor="_Methods_for_delimitation," w:history="1">
        <w:r w:rsidR="00EE779F" w:rsidRPr="00846769">
          <w:rPr>
            <w:rStyle w:val="Hyperlink"/>
          </w:rPr>
          <w:t>Section 4.</w:t>
        </w:r>
        <w:r w:rsidR="00EE779F">
          <w:rPr>
            <w:rStyle w:val="Hyperlink"/>
          </w:rPr>
          <w:t>3</w:t>
        </w:r>
      </w:hyperlink>
      <w:r w:rsidRPr="00846769">
        <w:t>.</w:t>
      </w:r>
      <w:r w:rsidRPr="00846769">
        <w:rPr>
          <w:rFonts w:cstheme="minorHAnsi"/>
        </w:rPr>
        <w:t xml:space="preserve"> </w:t>
      </w:r>
      <w:bookmarkStart w:id="428" w:name="_Hlk170743051"/>
      <w:r w:rsidRPr="00846769">
        <w:rPr>
          <w:rFonts w:cstheme="minorHAnsi"/>
        </w:rPr>
        <w:t xml:space="preserve">In some cases, a sampling method is not necessarily </w:t>
      </w:r>
      <w:r w:rsidRPr="00846769">
        <w:rPr>
          <w:rFonts w:cstheme="minorHAnsi"/>
        </w:rPr>
        <w:lastRenderedPageBreak/>
        <w:t xml:space="preserve">consistent across life stages, for instance a method that is effective for </w:t>
      </w:r>
      <w:r w:rsidR="00E166E6" w:rsidRPr="00846769">
        <w:rPr>
          <w:rFonts w:cstheme="minorHAnsi"/>
        </w:rPr>
        <w:t>collecting larvae</w:t>
      </w:r>
      <w:r w:rsidRPr="00846769">
        <w:rPr>
          <w:rFonts w:cstheme="minorHAnsi"/>
        </w:rPr>
        <w:t xml:space="preserve"> may be ineffective at </w:t>
      </w:r>
      <w:r w:rsidR="000E7F70">
        <w:rPr>
          <w:rFonts w:cstheme="minorHAnsi"/>
        </w:rPr>
        <w:t>capturing</w:t>
      </w:r>
      <w:r w:rsidR="000E7F70" w:rsidRPr="00846769">
        <w:rPr>
          <w:rFonts w:cstheme="minorHAnsi"/>
        </w:rPr>
        <w:t xml:space="preserve"> </w:t>
      </w:r>
      <w:r w:rsidRPr="00846769">
        <w:rPr>
          <w:rFonts w:cstheme="minorHAnsi"/>
        </w:rPr>
        <w:t>adult life stages.</w:t>
      </w:r>
      <w:bookmarkEnd w:id="428"/>
    </w:p>
    <w:p w14:paraId="7781D334" w14:textId="77777777" w:rsidR="00F03A5E" w:rsidRPr="00846769" w:rsidRDefault="00F03A5E" w:rsidP="00F03A5E">
      <w:pPr>
        <w:pStyle w:val="Heading4"/>
        <w:numPr>
          <w:ilvl w:val="2"/>
          <w:numId w:val="4"/>
        </w:numPr>
      </w:pPr>
      <w:bookmarkStart w:id="429" w:name="_Designing_a_delimiting"/>
      <w:bookmarkStart w:id="430" w:name="_Toc87599109"/>
      <w:bookmarkEnd w:id="429"/>
      <w:r w:rsidRPr="00846769">
        <w:t>Designing a delimiting survey</w:t>
      </w:r>
      <w:bookmarkEnd w:id="430"/>
    </w:p>
    <w:p w14:paraId="4A905851" w14:textId="77777777" w:rsidR="00F03A5E" w:rsidRPr="00846769" w:rsidRDefault="00F03A5E" w:rsidP="00F03A5E">
      <w:pPr>
        <w:rPr>
          <w:rFonts w:cstheme="minorHAnsi"/>
        </w:rPr>
      </w:pPr>
      <w:r w:rsidRPr="00846769">
        <w:rPr>
          <w:rFonts w:cstheme="minorHAnsi"/>
        </w:rPr>
        <w:t>When designing and planning a delimitation survey strategy, a manager should consider:</w:t>
      </w:r>
    </w:p>
    <w:p w14:paraId="1E9900F5" w14:textId="77777777" w:rsidR="00F03A5E" w:rsidRPr="00846769" w:rsidRDefault="00F03A5E" w:rsidP="00F03A5E">
      <w:pPr>
        <w:pStyle w:val="ListBullet"/>
        <w:rPr>
          <w:rFonts w:cstheme="minorHAnsi"/>
        </w:rPr>
      </w:pPr>
      <w:r w:rsidRPr="00846769">
        <w:rPr>
          <w:rFonts w:cstheme="minorHAnsi"/>
        </w:rPr>
        <w:t xml:space="preserve">the allocation and management of available resources to delimit an incursion most effectively, </w:t>
      </w:r>
      <w:r w:rsidRPr="00846769">
        <w:rPr>
          <w:rFonts w:cstheme="minorHAnsi"/>
          <w:color w:val="000000" w:themeColor="text1"/>
        </w:rPr>
        <w:t>including:</w:t>
      </w:r>
    </w:p>
    <w:p w14:paraId="6EC66F33" w14:textId="5BC00F5E" w:rsidR="00F03A5E" w:rsidRPr="00846769" w:rsidRDefault="00F03A5E" w:rsidP="00F03A5E">
      <w:pPr>
        <w:pStyle w:val="ListBullet2"/>
        <w:rPr>
          <w:color w:val="000000" w:themeColor="text1"/>
        </w:rPr>
      </w:pPr>
      <w:r w:rsidRPr="00846769">
        <w:rPr>
          <w:color w:val="000000" w:themeColor="text1"/>
        </w:rPr>
        <w:t xml:space="preserve">funding of the operation (see </w:t>
      </w:r>
      <w:hyperlink w:anchor="_Funding_of_operations" w:history="1">
        <w:r w:rsidRPr="00846769">
          <w:rPr>
            <w:rStyle w:val="Hyperlink"/>
          </w:rPr>
          <w:t>Section 1.3</w:t>
        </w:r>
      </w:hyperlink>
      <w:r w:rsidRPr="00846769">
        <w:rPr>
          <w:color w:val="000000" w:themeColor="text1"/>
        </w:rPr>
        <w:t>)</w:t>
      </w:r>
    </w:p>
    <w:p w14:paraId="4DA4DA35" w14:textId="77777777" w:rsidR="00F03A5E" w:rsidRPr="00846769" w:rsidRDefault="00F03A5E" w:rsidP="00F03A5E">
      <w:pPr>
        <w:pStyle w:val="ListBullet2"/>
        <w:rPr>
          <w:color w:val="000000" w:themeColor="text1"/>
        </w:rPr>
      </w:pPr>
      <w:r w:rsidRPr="00846769">
        <w:rPr>
          <w:color w:val="000000" w:themeColor="text1"/>
        </w:rPr>
        <w:t>personnel and equipment (including personnel training)</w:t>
      </w:r>
    </w:p>
    <w:p w14:paraId="485405A2" w14:textId="77777777" w:rsidR="00F03A5E" w:rsidRPr="00846769" w:rsidRDefault="00F03A5E" w:rsidP="00F03A5E">
      <w:pPr>
        <w:pStyle w:val="ListBullet2"/>
        <w:rPr>
          <w:color w:val="000000" w:themeColor="text1"/>
        </w:rPr>
      </w:pPr>
      <w:r w:rsidRPr="00846769">
        <w:rPr>
          <w:color w:val="000000" w:themeColor="text1"/>
        </w:rPr>
        <w:t>SOPs for consistency of sample collection, preservation, and record keeping</w:t>
      </w:r>
    </w:p>
    <w:p w14:paraId="5A6904A5" w14:textId="77777777" w:rsidR="00F03A5E" w:rsidRPr="00846769" w:rsidRDefault="00F03A5E" w:rsidP="00F03A5E">
      <w:pPr>
        <w:pStyle w:val="ListBullet2"/>
        <w:rPr>
          <w:color w:val="000000" w:themeColor="text1"/>
        </w:rPr>
      </w:pPr>
      <w:r w:rsidRPr="00846769">
        <w:rPr>
          <w:color w:val="000000" w:themeColor="text1"/>
        </w:rPr>
        <w:t xml:space="preserve">ability to obtain identification confirmation from a </w:t>
      </w:r>
      <w:r w:rsidRPr="00846769">
        <w:rPr>
          <w:lang w:eastAsia="ja-JP"/>
        </w:rPr>
        <w:t>recognised taxonomic expert or diagnostic facility.</w:t>
      </w:r>
    </w:p>
    <w:p w14:paraId="09E42442" w14:textId="77777777" w:rsidR="00F03A5E" w:rsidRPr="00846769" w:rsidRDefault="00F03A5E" w:rsidP="00F03A5E">
      <w:pPr>
        <w:pStyle w:val="ListBullet"/>
        <w:rPr>
          <w:rFonts w:cstheme="minorHAnsi"/>
        </w:rPr>
      </w:pPr>
      <w:r w:rsidRPr="00846769">
        <w:rPr>
          <w:rFonts w:cstheme="minorHAnsi"/>
        </w:rPr>
        <w:t>the location where the invasive marine bivalve was initially detected:</w:t>
      </w:r>
    </w:p>
    <w:p w14:paraId="104FA430" w14:textId="77777777" w:rsidR="00F03A5E" w:rsidRPr="00846769" w:rsidRDefault="00F03A5E" w:rsidP="00F03A5E">
      <w:pPr>
        <w:pStyle w:val="ListBullet2"/>
        <w:rPr>
          <w:rFonts w:cstheme="minorHAnsi"/>
        </w:rPr>
      </w:pPr>
      <w:r w:rsidRPr="00846769">
        <w:rPr>
          <w:rFonts w:cstheme="minorHAnsi"/>
        </w:rPr>
        <w:t>how long the bivalve has been present at the site before it was detected</w:t>
      </w:r>
    </w:p>
    <w:p w14:paraId="5A5A7F5B" w14:textId="77777777" w:rsidR="00F03A5E" w:rsidRPr="00846769" w:rsidRDefault="00F03A5E" w:rsidP="00F03A5E">
      <w:pPr>
        <w:pStyle w:val="ListBullet2"/>
        <w:rPr>
          <w:rFonts w:cstheme="minorHAnsi"/>
        </w:rPr>
      </w:pPr>
      <w:r w:rsidRPr="00846769">
        <w:rPr>
          <w:rFonts w:cstheme="minorHAnsi"/>
        </w:rPr>
        <w:t>the dispersal characteristics of the bivalve, including:</w:t>
      </w:r>
    </w:p>
    <w:p w14:paraId="5CD4AF8E" w14:textId="77777777" w:rsidR="00F03A5E" w:rsidRPr="00846769" w:rsidRDefault="00F03A5E" w:rsidP="00F03A5E">
      <w:pPr>
        <w:pStyle w:val="ListBullet3"/>
        <w:rPr>
          <w:rFonts w:cstheme="minorHAnsi"/>
        </w:rPr>
      </w:pPr>
      <w:r w:rsidRPr="00846769">
        <w:rPr>
          <w:rFonts w:asciiTheme="minorHAnsi" w:hAnsiTheme="minorHAnsi" w:cstheme="minorHAnsi"/>
        </w:rPr>
        <w:t>the frequency and quantity of reproductive output from the population since the initial incursion</w:t>
      </w:r>
    </w:p>
    <w:p w14:paraId="665FD132" w14:textId="77777777" w:rsidR="00F03A5E" w:rsidRPr="00846769" w:rsidRDefault="00F03A5E" w:rsidP="00F03A5E">
      <w:pPr>
        <w:pStyle w:val="ListBullet3"/>
        <w:rPr>
          <w:rFonts w:cstheme="minorHAnsi"/>
        </w:rPr>
      </w:pPr>
      <w:r w:rsidRPr="00846769">
        <w:rPr>
          <w:rFonts w:asciiTheme="minorHAnsi" w:hAnsiTheme="minorHAnsi" w:cstheme="minorHAnsi"/>
        </w:rPr>
        <w:t>the effects of environmental and human factors on the spread of dispersal stages.</w:t>
      </w:r>
    </w:p>
    <w:p w14:paraId="04E9599D" w14:textId="52299765" w:rsidR="00F03A5E" w:rsidRPr="00846769" w:rsidRDefault="00F03A5E" w:rsidP="00F03A5E">
      <w:pPr>
        <w:pStyle w:val="ListBullet"/>
      </w:pPr>
      <w:r w:rsidRPr="00846769">
        <w:t>bivalve biology, such as survival</w:t>
      </w:r>
      <w:r w:rsidR="00287F50">
        <w:t>,</w:t>
      </w:r>
      <w:r w:rsidRPr="00846769">
        <w:t xml:space="preserve"> reproductive rate</w:t>
      </w:r>
      <w:r w:rsidR="00287F50">
        <w:t>,</w:t>
      </w:r>
      <w:r w:rsidRPr="00846769">
        <w:t xml:space="preserve"> and current stages of reproductive development</w:t>
      </w:r>
    </w:p>
    <w:p w14:paraId="071F8579" w14:textId="77777777" w:rsidR="00F03A5E" w:rsidRPr="00846769" w:rsidRDefault="00F03A5E" w:rsidP="00F03A5E">
      <w:pPr>
        <w:pStyle w:val="ListBullet"/>
      </w:pPr>
      <w:r w:rsidRPr="00846769">
        <w:t>bivalve habitat, such as distribution and suitability of potential habitats around restricted areas and control areas</w:t>
      </w:r>
    </w:p>
    <w:p w14:paraId="5F503797" w14:textId="77777777" w:rsidR="00F03A5E" w:rsidRPr="00846769" w:rsidRDefault="00F03A5E" w:rsidP="00F03A5E">
      <w:pPr>
        <w:pStyle w:val="ListBullet"/>
      </w:pPr>
      <w:r w:rsidRPr="00846769">
        <w:t>survey design sensitivity (factoring detection method sensitivity, including bivalve biology), sampling logistics, and operator safety.</w:t>
      </w:r>
    </w:p>
    <w:p w14:paraId="23718462" w14:textId="721A823B" w:rsidR="00F03A5E" w:rsidRPr="00A841CD" w:rsidRDefault="00F03A5E" w:rsidP="00F03A5E">
      <w:pPr>
        <w:rPr>
          <w:rFonts w:cstheme="minorHAnsi"/>
        </w:rPr>
      </w:pPr>
      <w:r w:rsidRPr="00846769">
        <w:rPr>
          <w:rFonts w:cstheme="minorHAnsi"/>
        </w:rPr>
        <w:t xml:space="preserve">Local knowledge and site inspections as well as satellite imagery, habitat suitability maps or risk maps, hydrographic charts, and online databases such as </w:t>
      </w:r>
      <w:hyperlink r:id="rId145" w:history="1">
        <w:proofErr w:type="spellStart"/>
        <w:r w:rsidRPr="00846769">
          <w:rPr>
            <w:rStyle w:val="Hyperlink"/>
            <w:rFonts w:cstheme="minorHAnsi"/>
          </w:rPr>
          <w:t>Seamap</w:t>
        </w:r>
        <w:proofErr w:type="spellEnd"/>
        <w:r w:rsidRPr="00846769">
          <w:rPr>
            <w:rStyle w:val="Hyperlink"/>
            <w:rFonts w:cstheme="minorHAnsi"/>
          </w:rPr>
          <w:t xml:space="preserve"> Australia</w:t>
        </w:r>
      </w:hyperlink>
      <w:r w:rsidRPr="00846769">
        <w:rPr>
          <w:rFonts w:cstheme="minorHAnsi"/>
        </w:rPr>
        <w:t xml:space="preserve"> can be useful for identifying areas that may contain habitats suitable for the invasive marine bivalve. Where they exist, hydrodynamic models such as </w:t>
      </w:r>
      <w:hyperlink r:id="rId146" w:history="1">
        <w:r w:rsidRPr="00846769">
          <w:rPr>
            <w:rStyle w:val="Hyperlink"/>
            <w:rFonts w:cstheme="minorHAnsi"/>
          </w:rPr>
          <w:t>Connie3</w:t>
        </w:r>
      </w:hyperlink>
      <w:r w:rsidRPr="00846769">
        <w:t xml:space="preserve"> (accessed on request from CSIRO) </w:t>
      </w:r>
      <w:r w:rsidRPr="00846769">
        <w:rPr>
          <w:rFonts w:cstheme="minorHAnsi"/>
        </w:rPr>
        <w:t xml:space="preserve">may also be useful to simulate the likely directions of current flow. This information </w:t>
      </w:r>
      <w:r w:rsidRPr="00A841CD">
        <w:rPr>
          <w:rFonts w:cstheme="minorHAnsi"/>
        </w:rPr>
        <w:t>can provide possible rate and extent of spread of planktonic larvae from the known area of infestation (Inglis et al. 2006). Graphical summaries that plot the areal extent of new detections relative to the area searched can be used to evaluate the progress of delimitation and control of the pest (Panetta &amp; Lawes 2005).</w:t>
      </w:r>
    </w:p>
    <w:p w14:paraId="54F065FD" w14:textId="7E02FFA6" w:rsidR="00F03A5E" w:rsidRPr="00A841CD" w:rsidRDefault="00F03A5E" w:rsidP="00F03A5E">
      <w:pPr>
        <w:rPr>
          <w:rFonts w:cstheme="minorHAnsi"/>
        </w:rPr>
      </w:pPr>
      <w:r w:rsidRPr="00A841CD">
        <w:rPr>
          <w:rFonts w:cstheme="minorHAnsi"/>
        </w:rPr>
        <w:t xml:space="preserve">Knowledge of habitat requirements of an invasive marine bivalve may assist in targeting surveillance within these habitats. Habitat suitability models and particle dispersion models may also </w:t>
      </w:r>
      <w:r w:rsidR="000E7F70" w:rsidRPr="00A841CD">
        <w:rPr>
          <w:rFonts w:cstheme="minorHAnsi"/>
        </w:rPr>
        <w:t xml:space="preserve">be used in conjunction </w:t>
      </w:r>
      <w:r w:rsidRPr="00A841CD">
        <w:rPr>
          <w:rFonts w:cstheme="minorHAnsi"/>
        </w:rPr>
        <w:t>to identify</w:t>
      </w:r>
      <w:r w:rsidR="000E7F70" w:rsidRPr="00A841CD">
        <w:rPr>
          <w:rFonts w:cstheme="minorHAnsi"/>
        </w:rPr>
        <w:t xml:space="preserve"> or prioritise</w:t>
      </w:r>
      <w:r w:rsidRPr="00A841CD">
        <w:rPr>
          <w:rFonts w:cstheme="minorHAnsi"/>
        </w:rPr>
        <w:t xml:space="preserve"> survey locations (Inglis et al. 2006). </w:t>
      </w:r>
    </w:p>
    <w:p w14:paraId="2CFCF818" w14:textId="49B127A0" w:rsidR="00622E93" w:rsidRPr="00A841CD" w:rsidRDefault="00622E93" w:rsidP="00622E93">
      <w:pPr>
        <w:pStyle w:val="Heading5"/>
        <w:numPr>
          <w:ilvl w:val="3"/>
          <w:numId w:val="4"/>
        </w:numPr>
      </w:pPr>
      <w:bookmarkStart w:id="431" w:name="_Hlk187676449"/>
      <w:r w:rsidRPr="00A841CD">
        <w:t>Species distribution modelling</w:t>
      </w:r>
    </w:p>
    <w:p w14:paraId="79568ABC" w14:textId="77777777" w:rsidR="0095789F" w:rsidRPr="00846769" w:rsidRDefault="0095789F" w:rsidP="0095789F">
      <w:pPr>
        <w:pStyle w:val="ListBullet"/>
        <w:numPr>
          <w:ilvl w:val="0"/>
          <w:numId w:val="0"/>
        </w:numPr>
      </w:pPr>
      <w:bookmarkStart w:id="432" w:name="_Hlk170743649"/>
      <w:r w:rsidRPr="00A841CD">
        <w:t xml:space="preserve">Species Distribution Modelling, also known as Habitat Suitability Modelling or Ecological Niche Modelling, can be used to predict distributions of aquatic species </w:t>
      </w:r>
      <w:r w:rsidRPr="00A841CD">
        <w:fldChar w:fldCharType="begin"/>
      </w:r>
      <w:r w:rsidRPr="00A841CD">
        <w:instrText xml:space="preserve"> ADDIN EN.CITE &lt;EndNote&gt;&lt;Cite&gt;&lt;Author&gt;Melo-Merino&lt;/Author&gt;&lt;Year&gt;2020&lt;/Year&gt;&lt;RecNum&gt;3234&lt;/RecNum&gt;&lt;DisplayText&gt;(Melo-Merino&lt;style face="italic"&gt; et al.&lt;/style&gt; 2020)&lt;/DisplayText&gt;&lt;record&gt;&lt;rec-number&gt;3234&lt;/rec-number&gt;&lt;foreign-keys&gt;&lt;key app="EN" db-id="pwt20vt9052s2uetf93vz5062vw9es5t090s" timestamp="1576215463"&gt;3234&lt;/key&gt;&lt;/foreign-keys&gt;&lt;ref-type name="Journal Article"&gt;17&lt;/ref-type&gt;&lt;contributors&gt;&lt;authors&gt;&lt;author&gt;Melo-Merino, Sara M.&lt;/author&gt;&lt;author&gt;Reyes-Bonilla, Héctor&lt;/author&gt;&lt;author&gt;Lira-Noriega, Andrés&lt;/author&gt;&lt;/authors&gt;&lt;/contributors&gt;&lt;titles&gt;&lt;title&gt;Ecological niche models and species distribution models in marine environments: A literature review and spatial analysis of evidence&lt;/title&gt;&lt;secondary-title&gt;Ecological Modelling&lt;/secondary-title&gt;&lt;/titles&gt;&lt;periodical&gt;&lt;full-title&gt;Ecological Modelling&lt;/full-title&gt;&lt;abbr-1&gt;Ecol Modell&lt;/abbr-1&gt;&lt;/periodical&gt;&lt;pages&gt;108837&lt;/pages&gt;&lt;volume&gt;415&lt;/volume&gt;&lt;keywords&gt;&lt;keyword&gt;Biogeography&lt;/keyword&gt;&lt;keyword&gt;Coastal&lt;/keyword&gt;&lt;keyword&gt;Correlative modelling&lt;/keyword&gt;&lt;keyword&gt;Geographic distribution&lt;/keyword&gt;&lt;keyword&gt;Ocean&lt;/keyword&gt;&lt;keyword&gt;Process-based modelling&lt;/keyword&gt;&lt;keyword&gt;Sea&lt;/keyword&gt;&lt;keyword&gt;Suitability&lt;/keyword&gt;&lt;/keywords&gt;&lt;dates&gt;&lt;year&gt;2020&lt;/year&gt;&lt;pub-dates&gt;&lt;date&gt;2020/01/01/&lt;/date&gt;&lt;/pub-dates&gt;&lt;/dates&gt;&lt;isbn&gt;0304-3800&lt;/isbn&gt;&lt;urls&gt;&lt;related-urls&gt;&lt;url&gt;http://www.sciencedirect.com/science/article/pii/S030438001930345X&lt;/url&gt;&lt;/related-urls&gt;&lt;/urls&gt;&lt;electronic-resource-num&gt;https://doi.org/10.1016/j.ecolmodel.2019.108837&lt;/electronic-resource-num&gt;&lt;/record&gt;&lt;/Cite&gt;&lt;/EndNote&gt;</w:instrText>
      </w:r>
      <w:r w:rsidRPr="00A841CD">
        <w:fldChar w:fldCharType="separate"/>
      </w:r>
      <w:r w:rsidRPr="00A841CD">
        <w:t>(Melo-Merino</w:t>
      </w:r>
      <w:r w:rsidRPr="00A841CD">
        <w:rPr>
          <w:i/>
        </w:rPr>
        <w:t xml:space="preserve"> </w:t>
      </w:r>
      <w:r w:rsidRPr="00A841CD">
        <w:rPr>
          <w:iCs/>
        </w:rPr>
        <w:t>et al. 2</w:t>
      </w:r>
      <w:r w:rsidRPr="00A841CD">
        <w:t>020)</w:t>
      </w:r>
      <w:r w:rsidRPr="00A841CD">
        <w:fldChar w:fldCharType="end"/>
      </w:r>
      <w:r w:rsidRPr="00A841CD">
        <w:t>. There</w:t>
      </w:r>
      <w:r w:rsidRPr="00846769">
        <w:t xml:space="preserve"> are two main families of models:</w:t>
      </w:r>
    </w:p>
    <w:p w14:paraId="081548CF" w14:textId="77777777" w:rsidR="0095789F" w:rsidRPr="00A841CD" w:rsidRDefault="0095789F" w:rsidP="0095789F">
      <w:pPr>
        <w:pStyle w:val="ListBullet"/>
      </w:pPr>
      <w:r w:rsidRPr="00846769">
        <w:lastRenderedPageBreak/>
        <w:t xml:space="preserve">mechanistic models – where species biology is well understood </w:t>
      </w:r>
      <w:r w:rsidRPr="00A841CD">
        <w:fldChar w:fldCharType="begin"/>
      </w:r>
      <w:r w:rsidRPr="00A841CD">
        <w:instrText xml:space="preserve"> ADDIN EN.CITE &lt;EndNote&gt;&lt;Cite&gt;&lt;Author&gt;Jofré Madariaga&lt;/Author&gt;&lt;Year&gt;2014&lt;/Year&gt;&lt;RecNum&gt;3317&lt;/RecNum&gt;&lt;DisplayText&gt;(Jofré Madariaga&lt;style face="italic"&gt; et al.&lt;/style&gt; 2014)&lt;/DisplayText&gt;&lt;record&gt;&lt;rec-number&gt;3317&lt;/rec-number&gt;&lt;foreign-keys&gt;&lt;key app="EN" db-id="pwt20vt9052s2uetf93vz5062vw9es5t090s" timestamp="1579144125"&gt;3317&lt;/key&gt;&lt;key app="ENWeb" db-id=""&gt;0&lt;/key&gt;&lt;/foreign-keys&gt;&lt;ref-type name="Journal Article"&gt;17&lt;/ref-type&gt;&lt;contributors&gt;&lt;authors&gt;&lt;author&gt;Jofré Madariaga, David&lt;/author&gt;&lt;author&gt;Rivadeneira, Marcelo M.&lt;/author&gt;&lt;author&gt;Tala, Fadia&lt;/author&gt;&lt;author&gt;Thiel, Martin&lt;/author&gt;&lt;/authors&gt;&lt;/contributors&gt;&lt;titles&gt;&lt;title&gt;Environmental tolerance of the two invasive species Ciona intestinalis and Codium fragile: their invasion potential along a temperate coast&lt;/title&gt;&lt;secondary-title&gt;Biological Invasions&lt;/secondary-title&gt;&lt;/titles&gt;&lt;periodical&gt;&lt;full-title&gt;Biological Invasions&lt;/full-title&gt;&lt;abbr-1&gt;Biol Invasions&lt;/abbr-1&gt;&lt;/periodical&gt;&lt;pages&gt;2507-2527&lt;/pages&gt;&lt;volume&gt;16&lt;/volume&gt;&lt;number&gt;12&lt;/number&gt;&lt;section&gt;2507&lt;/section&gt;&lt;dates&gt;&lt;year&gt;2014&lt;/year&gt;&lt;/dates&gt;&lt;isbn&gt;1387-3547&amp;#xD;1573-1464&lt;/isbn&gt;&lt;urls&gt;&lt;/urls&gt;&lt;electronic-resource-num&gt;10.1007/s10530-014-0680-7&lt;/electronic-resource-num&gt;&lt;/record&gt;&lt;/Cite&gt;&lt;/EndNote&gt;</w:instrText>
      </w:r>
      <w:r w:rsidRPr="00A841CD">
        <w:fldChar w:fldCharType="separate"/>
      </w:r>
      <w:r w:rsidRPr="00A841CD">
        <w:t>(Jofré Madariaga</w:t>
      </w:r>
      <w:r w:rsidRPr="00A841CD">
        <w:rPr>
          <w:i/>
        </w:rPr>
        <w:t xml:space="preserve"> </w:t>
      </w:r>
      <w:r w:rsidRPr="00A841CD">
        <w:rPr>
          <w:iCs/>
        </w:rPr>
        <w:t>et al. 2</w:t>
      </w:r>
      <w:r w:rsidRPr="00A841CD">
        <w:t>014)</w:t>
      </w:r>
      <w:r w:rsidRPr="00A841CD">
        <w:fldChar w:fldCharType="end"/>
      </w:r>
    </w:p>
    <w:p w14:paraId="3396E014" w14:textId="77777777" w:rsidR="0095789F" w:rsidRPr="00A841CD" w:rsidRDefault="0095789F" w:rsidP="0095789F">
      <w:pPr>
        <w:pStyle w:val="ListBullet"/>
      </w:pPr>
      <w:r w:rsidRPr="00A841CD">
        <w:t xml:space="preserve">correlative models – require data on species presence locations, but can be applied where species biology is not well understood </w:t>
      </w:r>
      <w:r w:rsidRPr="00A841CD">
        <w:fldChar w:fldCharType="begin"/>
      </w:r>
      <w:r w:rsidRPr="00A841CD">
        <w:instrText xml:space="preserve"> ADDIN EN.CITE &lt;EndNote&gt;&lt;Cite&gt;&lt;Author&gt;Castelar&lt;/Author&gt;&lt;Year&gt;2015&lt;/Year&gt;&lt;RecNum&gt;2792&lt;/RecNum&gt;&lt;DisplayText&gt;(Castelar&lt;style face="italic"&gt; et al.&lt;/style&gt; 2015)&lt;/DisplayText&gt;&lt;record&gt;&lt;rec-number&gt;2792&lt;/rec-number&gt;&lt;foreign-keys&gt;&lt;key app="EN" db-id="pwt20vt9052s2uetf93vz5062vw9es5t090s" timestamp="1535083950"&gt;2792&lt;/key&gt;&lt;/foreign-keys&gt;&lt;ref-type name="Journal Article"&gt;17&lt;/ref-type&gt;&lt;contributors&gt;&lt;authors&gt;&lt;author&gt;Castelar, B.&lt;/author&gt;&lt;author&gt;de Siqueira, M. F.&lt;/author&gt;&lt;author&gt;Sánchez-Tapia, A.&lt;/author&gt;&lt;author&gt;Reis, R. P.&lt;/author&gt;&lt;/authors&gt;&lt;/contributors&gt;&lt;auth-address&gt;Instituto de Pesquisas Jardim Botânico do Rio de Janeiro, Rua Pacheco Leão 915-sala 125, Rio de Janeiro, RJ, Brazil&amp;#xD;Fundação Instituto de Pesca do Estado do Rio de Janeiro, Av. das Américas 31501, Rio de Janeiro, RJ, Brazil&lt;/auth-address&gt;&lt;titles&gt;&lt;title&gt;Risk analysis using species distribution modeling to support public policies for the alien alga Kappaphycus alvarezii aquaculture in Brazil&lt;/title&gt;&lt;secondary-title&gt;Aquaculture&lt;/secondary-title&gt;&lt;/titles&gt;&lt;periodical&gt;&lt;full-title&gt;Aquaculture&lt;/full-title&gt;&lt;abbr-1&gt;Aquaculture&lt;/abbr-1&gt;&lt;/periodical&gt;&lt;pages&gt;217-226&lt;/pages&gt;&lt;volume&gt;446&lt;/volume&gt;&lt;keywords&gt;&lt;keyword&gt;GARP&lt;/keyword&gt;&lt;keyword&gt;Invasion risk&lt;/keyword&gt;&lt;keyword&gt;MAXENT&lt;/keyword&gt;&lt;keyword&gt;Seaweed aquaculture&lt;/keyword&gt;&lt;keyword&gt;Suitability models&lt;/keyword&gt;&lt;keyword&gt;Sustainable aquaculture&lt;/keyword&gt;&lt;/keywords&gt;&lt;dates&gt;&lt;year&gt;2015&lt;/year&gt;&lt;/dates&gt;&lt;work-type&gt;Article&lt;/work-type&gt;&lt;urls&gt;&lt;related-urls&gt;&lt;url&gt;&lt;style face="underline" font="default" size="100%"&gt;https://www.scopus.com/inward/record.uri?eid=2-s2.0-84929328715&amp;amp;doi=10.1016%2fj.aquaculture.2015.05.012&amp;amp;partnerID=40&amp;amp;md5=b72d2ae68dc5063ccc61f2204a78ad7f&lt;/style&gt;&lt;/url&gt;&lt;/related-urls&gt;&lt;/urls&gt;&lt;electronic-resource-num&gt;10.1016/j.aquaculture.2015.05.012&lt;/electronic-resource-num&gt;&lt;remote-database-name&gt;Scopus&lt;/remote-database-name&gt;&lt;/record&gt;&lt;/Cite&gt;&lt;/EndNote&gt;</w:instrText>
      </w:r>
      <w:r w:rsidRPr="00A841CD">
        <w:fldChar w:fldCharType="separate"/>
      </w:r>
      <w:r w:rsidRPr="00A841CD">
        <w:t>(Castelar</w:t>
      </w:r>
      <w:r w:rsidRPr="00A841CD">
        <w:rPr>
          <w:i/>
        </w:rPr>
        <w:t xml:space="preserve"> </w:t>
      </w:r>
      <w:r w:rsidRPr="00A841CD">
        <w:rPr>
          <w:iCs/>
        </w:rPr>
        <w:t xml:space="preserve">et al. </w:t>
      </w:r>
      <w:r w:rsidRPr="00A841CD">
        <w:t>2015)</w:t>
      </w:r>
      <w:r w:rsidRPr="00A841CD">
        <w:fldChar w:fldCharType="end"/>
      </w:r>
      <w:r w:rsidRPr="00A841CD">
        <w:t>.</w:t>
      </w:r>
    </w:p>
    <w:p w14:paraId="108CBFA2" w14:textId="03916181" w:rsidR="00931632" w:rsidRPr="00A841CD" w:rsidRDefault="00931632" w:rsidP="00A04E26">
      <w:pPr>
        <w:pStyle w:val="ListBullet"/>
        <w:numPr>
          <w:ilvl w:val="0"/>
          <w:numId w:val="0"/>
        </w:numPr>
      </w:pPr>
      <w:r w:rsidRPr="00A841CD">
        <w:t>For marine pest emergency responses, the Invasive Marine Species Range Mapping Tool Methodology is the preferred method. This model</w:t>
      </w:r>
      <w:r w:rsidR="00622E93" w:rsidRPr="00A841CD">
        <w:t xml:space="preserve">, developed by the Australian Bureau of Agricultural and resource Economics and Sciences (ABARES), </w:t>
      </w:r>
      <w:r w:rsidRPr="00A841CD">
        <w:t xml:space="preserve">produces a map that shows the range of the pest species in Australian coastal waters. </w:t>
      </w:r>
      <w:r w:rsidR="00622E93" w:rsidRPr="00A841CD">
        <w:t xml:space="preserve">Detail on this tool can be found in </w:t>
      </w:r>
      <w:hyperlink r:id="rId147" w:history="1">
        <w:r w:rsidR="00622E93" w:rsidRPr="00A841CD">
          <w:rPr>
            <w:rStyle w:val="Hyperlink"/>
          </w:rPr>
          <w:t>Attachment 5D</w:t>
        </w:r>
      </w:hyperlink>
      <w:r w:rsidR="00622E93" w:rsidRPr="00A841CD">
        <w:t xml:space="preserve"> outlined in the NEBRA.</w:t>
      </w:r>
    </w:p>
    <w:p w14:paraId="3E1F1F8E" w14:textId="3EE22DB9" w:rsidR="0095789F" w:rsidRPr="00846769" w:rsidRDefault="00931632" w:rsidP="0095789F">
      <w:r w:rsidRPr="00A841CD">
        <w:t>Other m</w:t>
      </w:r>
      <w:r w:rsidR="0095789F" w:rsidRPr="00A841CD">
        <w:t xml:space="preserve">odels for predicting spread are summarised by </w:t>
      </w:r>
      <w:r w:rsidR="0095789F" w:rsidRPr="00A841CD">
        <w:fldChar w:fldCharType="begin"/>
      </w:r>
      <w:r w:rsidR="0095789F" w:rsidRPr="00A841CD">
        <w:instrText xml:space="preserve"> ADDIN EN.CITE &lt;EndNote&gt;&lt;Cite AuthorYear="1"&gt;&lt;Author&gt;Wonham&lt;/Author&gt;&lt;Year&gt;2009&lt;/Year&gt;&lt;RecNum&gt;3253&lt;/RecNum&gt;&lt;DisplayText&gt;Wonham and Lewis (2009)&lt;/DisplayText&gt;&lt;record&gt;&lt;rec-number&gt;3253&lt;/rec-number&gt;&lt;foreign-keys&gt;&lt;key app="EN" db-id="pwt20vt9052s2uetf93vz5062vw9es5t090s" timestamp="1578295942"&gt;3253&lt;/key&gt;&lt;/foreign-keys&gt;&lt;ref-type name="Book Section"&gt;5&lt;/ref-type&gt;&lt;contributors&gt;&lt;authors&gt;&lt;author&gt;Wonham, Marjorie J.&lt;/author&gt;&lt;author&gt;Lewis, Mark A.&lt;/author&gt;&lt;/authors&gt;&lt;secondary-authors&gt;&lt;author&gt;Rilov, Gil&lt;/author&gt;&lt;author&gt;Crooks, Jeffrey A.&lt;/author&gt;&lt;/secondary-authors&gt;&lt;/contributors&gt;&lt;titles&gt;&lt;title&gt;Modeling Marine Invasions: Current and Future Approaches&lt;/title&gt;&lt;secondary-title&gt;Biological Invasions in Marine Ecosystems: Ecological, Management, and Geographic Perspectives&lt;/secondary-title&gt;&lt;/titles&gt;&lt;pages&gt;71-105&lt;/pages&gt;&lt;dates&gt;&lt;year&gt;2009&lt;/year&gt;&lt;pub-dates&gt;&lt;date&gt;2009//&lt;/date&gt;&lt;/pub-dates&gt;&lt;/dates&gt;&lt;pub-location&gt;Berlin, Heidelberg&lt;/pub-location&gt;&lt;publisher&gt;Springer Berlin Heidelberg&lt;/publisher&gt;&lt;isbn&gt;978-3-540-79236-9&lt;/isbn&gt;&lt;urls&gt;&lt;related-urls&gt;&lt;url&gt;https://doi.org/10.1007/978-3-540-79236-9_4&lt;/url&gt;&lt;/related-urls&gt;&lt;/urls&gt;&lt;electronic-resource-num&gt;10.1007/978-3-540-79236-9_4&lt;/electronic-resource-num&gt;&lt;/record&gt;&lt;/Cite&gt;&lt;/EndNote&gt;</w:instrText>
      </w:r>
      <w:r w:rsidR="0095789F" w:rsidRPr="00A841CD">
        <w:fldChar w:fldCharType="separate"/>
      </w:r>
      <w:r w:rsidR="0095789F" w:rsidRPr="00A841CD">
        <w:t>Wonham and Lewis (2009)</w:t>
      </w:r>
      <w:r w:rsidR="0095789F" w:rsidRPr="00A841CD">
        <w:fldChar w:fldCharType="end"/>
      </w:r>
      <w:r w:rsidR="0095789F" w:rsidRPr="00A841CD">
        <w:t xml:space="preserve">. </w:t>
      </w:r>
    </w:p>
    <w:p w14:paraId="0AE544E8" w14:textId="77777777" w:rsidR="00F03A5E" w:rsidRPr="00846769" w:rsidRDefault="00F03A5E" w:rsidP="00F03A5E">
      <w:pPr>
        <w:pStyle w:val="Heading5"/>
        <w:numPr>
          <w:ilvl w:val="3"/>
          <w:numId w:val="4"/>
        </w:numPr>
      </w:pPr>
      <w:bookmarkStart w:id="433" w:name="_Hlk170743694"/>
      <w:bookmarkEnd w:id="431"/>
      <w:bookmarkEnd w:id="432"/>
      <w:r w:rsidRPr="00846769">
        <w:t>Tracing an incursion</w:t>
      </w:r>
    </w:p>
    <w:p w14:paraId="189127F0" w14:textId="77777777" w:rsidR="00F03A5E" w:rsidRPr="00846769" w:rsidRDefault="00F03A5E" w:rsidP="00F03A5E">
      <w:pPr>
        <w:rPr>
          <w:rFonts w:cstheme="minorHAnsi"/>
        </w:rPr>
      </w:pPr>
      <w:r w:rsidRPr="00846769">
        <w:t xml:space="preserve">Usually conducted at the same time as delimitation, trace-back and trace-forward information is used to determine how and where an invasive marine bivalve first entered a site and where it may have spread </w:t>
      </w:r>
      <w:r w:rsidRPr="00DD01E4">
        <w:t xml:space="preserve">to </w:t>
      </w:r>
      <w:r w:rsidRPr="00DD01E4">
        <w:rPr>
          <w:rFonts w:cstheme="minorHAnsi"/>
        </w:rPr>
        <w:t>(van Havre &amp; Whittle 2015).</w:t>
      </w:r>
    </w:p>
    <w:p w14:paraId="13B5E9BF" w14:textId="45F9E9DA" w:rsidR="00F03A5E" w:rsidRPr="00846769" w:rsidRDefault="00F03A5E" w:rsidP="00F03A5E">
      <w:pPr>
        <w:rPr>
          <w:rFonts w:cstheme="minorHAnsi"/>
        </w:rPr>
      </w:pPr>
      <w:r w:rsidRPr="00846769">
        <w:rPr>
          <w:rFonts w:cstheme="minorHAnsi"/>
        </w:rPr>
        <w:t>Trace-</w:t>
      </w:r>
      <w:r w:rsidR="00BC14EB" w:rsidRPr="00846769">
        <w:rPr>
          <w:rFonts w:cstheme="minorHAnsi"/>
        </w:rPr>
        <w:t>back and trace-forward</w:t>
      </w:r>
      <w:r w:rsidRPr="00846769">
        <w:rPr>
          <w:rFonts w:cstheme="minorHAnsi"/>
        </w:rPr>
        <w:t xml:space="preserve"> ha</w:t>
      </w:r>
      <w:r w:rsidR="00BC14EB" w:rsidRPr="00846769">
        <w:rPr>
          <w:rFonts w:cstheme="minorHAnsi"/>
        </w:rPr>
        <w:t>ve</w:t>
      </w:r>
      <w:r w:rsidRPr="00846769">
        <w:rPr>
          <w:rFonts w:cstheme="minorHAnsi"/>
        </w:rPr>
        <w:t xml:space="preserve"> been covered in more detail</w:t>
      </w:r>
      <w:r w:rsidR="00BC14EB" w:rsidRPr="00846769">
        <w:rPr>
          <w:rFonts w:cstheme="minorHAnsi"/>
        </w:rPr>
        <w:t xml:space="preserve"> </w:t>
      </w:r>
      <w:r w:rsidRPr="00846769">
        <w:rPr>
          <w:rFonts w:cstheme="minorHAnsi"/>
        </w:rPr>
        <w:t xml:space="preserve">in </w:t>
      </w:r>
      <w:hyperlink w:anchor="_Trace-back" w:history="1">
        <w:r w:rsidRPr="00846769">
          <w:rPr>
            <w:rStyle w:val="Hyperlink"/>
            <w:rFonts w:cstheme="minorHAnsi"/>
          </w:rPr>
          <w:t xml:space="preserve">Section </w:t>
        </w:r>
        <w:r w:rsidR="00BC14EB" w:rsidRPr="00846769">
          <w:rPr>
            <w:rStyle w:val="Hyperlink"/>
            <w:rFonts w:cstheme="minorHAnsi"/>
          </w:rPr>
          <w:t>3.1.4.1</w:t>
        </w:r>
      </w:hyperlink>
      <w:r w:rsidRPr="00846769">
        <w:rPr>
          <w:rFonts w:cstheme="minorHAnsi"/>
        </w:rPr>
        <w:t xml:space="preserve"> and </w:t>
      </w:r>
      <w:hyperlink w:anchor="_Trace-forward" w:history="1">
        <w:r w:rsidRPr="00846769">
          <w:rPr>
            <w:rStyle w:val="Hyperlink"/>
            <w:rFonts w:cstheme="minorHAnsi"/>
          </w:rPr>
          <w:t xml:space="preserve">Section </w:t>
        </w:r>
        <w:r w:rsidR="00BC14EB" w:rsidRPr="00846769">
          <w:rPr>
            <w:rStyle w:val="Hyperlink"/>
            <w:rFonts w:cstheme="minorHAnsi"/>
          </w:rPr>
          <w:t>3.1.4.2</w:t>
        </w:r>
        <w:r w:rsidRPr="00846769">
          <w:rPr>
            <w:rStyle w:val="Hyperlink"/>
            <w:rFonts w:cstheme="minorHAnsi"/>
          </w:rPr>
          <w:t>,</w:t>
        </w:r>
      </w:hyperlink>
      <w:r w:rsidRPr="00846769">
        <w:rPr>
          <w:rFonts w:cstheme="minorHAnsi"/>
        </w:rPr>
        <w:t xml:space="preserve"> respectively. </w:t>
      </w:r>
    </w:p>
    <w:p w14:paraId="44D509C5" w14:textId="77777777" w:rsidR="00F03A5E" w:rsidRPr="00846769" w:rsidRDefault="00F03A5E" w:rsidP="00F03A5E">
      <w:pPr>
        <w:pStyle w:val="Heading5"/>
        <w:numPr>
          <w:ilvl w:val="3"/>
          <w:numId w:val="4"/>
        </w:numPr>
      </w:pPr>
      <w:bookmarkStart w:id="434" w:name="_Data_sources_for"/>
      <w:bookmarkStart w:id="435" w:name="_Hlk187676554"/>
      <w:bookmarkEnd w:id="433"/>
      <w:bookmarkEnd w:id="434"/>
      <w:r w:rsidRPr="00846769">
        <w:t>Data sources for tracing vectors</w:t>
      </w:r>
    </w:p>
    <w:bookmarkEnd w:id="435"/>
    <w:p w14:paraId="3BE4AC0C" w14:textId="77777777" w:rsidR="00F03A5E" w:rsidRPr="00846769" w:rsidRDefault="00F03A5E" w:rsidP="00F03A5E">
      <w:pPr>
        <w:pStyle w:val="Heading7"/>
        <w:rPr>
          <w:b/>
          <w:bCs/>
          <w:color w:val="000000" w:themeColor="text1"/>
        </w:rPr>
      </w:pPr>
      <w:r w:rsidRPr="00846769">
        <w:rPr>
          <w:b/>
          <w:bCs/>
          <w:color w:val="000000" w:themeColor="text1"/>
        </w:rPr>
        <w:t>Vessels</w:t>
      </w:r>
    </w:p>
    <w:p w14:paraId="4EA92E43" w14:textId="1415DE8B" w:rsidR="00F03A5E" w:rsidRPr="00846769" w:rsidRDefault="00F03A5E" w:rsidP="00F03A5E">
      <w:pPr>
        <w:rPr>
          <w:rFonts w:cstheme="minorHAnsi"/>
        </w:rPr>
      </w:pPr>
      <w:r w:rsidRPr="00846769">
        <w:rPr>
          <w:rFonts w:cstheme="minorHAnsi"/>
        </w:rPr>
        <w:t xml:space="preserve">Tracing the movements of vessels to and from an incursion is important to know where a marine pest may have originated or be translocated within Australian waters. Some useful data sources on movements of large, registered </w:t>
      </w:r>
      <w:r w:rsidR="005C572F" w:rsidRPr="00846769">
        <w:rPr>
          <w:rFonts w:cstheme="minorHAnsi"/>
        </w:rPr>
        <w:t xml:space="preserve">commercial </w:t>
      </w:r>
      <w:r w:rsidRPr="00846769">
        <w:rPr>
          <w:rFonts w:cstheme="minorHAnsi"/>
        </w:rPr>
        <w:t>vessels are:</w:t>
      </w:r>
    </w:p>
    <w:p w14:paraId="4B609B61" w14:textId="77777777" w:rsidR="00F03A5E" w:rsidRPr="00846769" w:rsidRDefault="00F03A5E" w:rsidP="00F03A5E">
      <w:pPr>
        <w:pStyle w:val="ListBullet"/>
      </w:pPr>
      <w:hyperlink r:id="rId148" w:history="1">
        <w:r w:rsidRPr="00846769">
          <w:rPr>
            <w:rStyle w:val="Hyperlink"/>
          </w:rPr>
          <w:t xml:space="preserve">Australian Government </w:t>
        </w:r>
        <w:r w:rsidRPr="00846769">
          <w:rPr>
            <w:rStyle w:val="Hyperlink"/>
            <w:rFonts w:cstheme="minorHAnsi"/>
          </w:rPr>
          <w:t>Department of Agriculture, Fisheries</w:t>
        </w:r>
      </w:hyperlink>
      <w:r w:rsidRPr="00846769">
        <w:rPr>
          <w:rStyle w:val="Hyperlink"/>
          <w:rFonts w:cstheme="minorHAnsi"/>
        </w:rPr>
        <w:t xml:space="preserve"> and Forestry</w:t>
      </w:r>
    </w:p>
    <w:p w14:paraId="5435A650" w14:textId="77777777" w:rsidR="00F03A5E" w:rsidRPr="00846769" w:rsidRDefault="00F03A5E" w:rsidP="00F03A5E">
      <w:pPr>
        <w:pStyle w:val="ListBullet"/>
      </w:pPr>
      <w:hyperlink r:id="rId149" w:history="1">
        <w:r w:rsidRPr="00846769">
          <w:rPr>
            <w:rStyle w:val="Hyperlink"/>
            <w:rFonts w:cstheme="minorHAnsi"/>
          </w:rPr>
          <w:t>Lloyd’s List Intelligence</w:t>
        </w:r>
      </w:hyperlink>
    </w:p>
    <w:p w14:paraId="293A2F3E" w14:textId="77777777" w:rsidR="00F03A5E" w:rsidRPr="00846769" w:rsidRDefault="00F03A5E" w:rsidP="00F03A5E">
      <w:pPr>
        <w:pStyle w:val="ListBullet"/>
      </w:pPr>
      <w:hyperlink r:id="rId150" w:history="1">
        <w:proofErr w:type="spellStart"/>
        <w:r w:rsidRPr="00846769">
          <w:rPr>
            <w:rStyle w:val="Hyperlink"/>
            <w:rFonts w:cstheme="minorHAnsi"/>
          </w:rPr>
          <w:t>MarineTraffic</w:t>
        </w:r>
        <w:proofErr w:type="spellEnd"/>
      </w:hyperlink>
    </w:p>
    <w:p w14:paraId="383331BE" w14:textId="77777777" w:rsidR="00F03A5E" w:rsidRPr="00846769" w:rsidRDefault="00F03A5E" w:rsidP="00F03A5E">
      <w:pPr>
        <w:pStyle w:val="ListBullet"/>
      </w:pPr>
      <w:hyperlink r:id="rId151" w:history="1">
        <w:r w:rsidRPr="00846769">
          <w:rPr>
            <w:rStyle w:val="Hyperlink"/>
            <w:rFonts w:cstheme="minorHAnsi"/>
          </w:rPr>
          <w:t>Australian Fisheries Management Authority</w:t>
        </w:r>
      </w:hyperlink>
    </w:p>
    <w:p w14:paraId="1F082629" w14:textId="77777777" w:rsidR="00F03A5E" w:rsidRPr="00846769" w:rsidRDefault="00F03A5E" w:rsidP="00F03A5E">
      <w:pPr>
        <w:pStyle w:val="ListBullet"/>
      </w:pPr>
      <w:hyperlink r:id="rId152" w:history="1">
        <w:r w:rsidRPr="00846769">
          <w:rPr>
            <w:rStyle w:val="Hyperlink"/>
            <w:rFonts w:cstheme="minorHAnsi"/>
          </w:rPr>
          <w:t>Bureau of Infrastructure, Transport and Regional Economics</w:t>
        </w:r>
      </w:hyperlink>
      <w:r w:rsidRPr="00846769">
        <w:rPr>
          <w:color w:val="4472C4" w:themeColor="accent1"/>
        </w:rPr>
        <w:t xml:space="preserve"> </w:t>
      </w:r>
    </w:p>
    <w:p w14:paraId="16ACA819" w14:textId="77777777" w:rsidR="00F03A5E" w:rsidRPr="00846769" w:rsidRDefault="00F03A5E" w:rsidP="00F03A5E">
      <w:pPr>
        <w:pStyle w:val="ListBullet"/>
      </w:pPr>
      <w:hyperlink r:id="rId153" w:history="1">
        <w:r w:rsidRPr="00846769">
          <w:rPr>
            <w:rStyle w:val="Hyperlink"/>
            <w:rFonts w:cstheme="minorHAnsi"/>
          </w:rPr>
          <w:t>Australian Border Force</w:t>
        </w:r>
      </w:hyperlink>
    </w:p>
    <w:p w14:paraId="78B97935" w14:textId="77777777" w:rsidR="00F03A5E" w:rsidRPr="00846769" w:rsidRDefault="00F03A5E" w:rsidP="00F03A5E">
      <w:pPr>
        <w:pStyle w:val="ListBullet"/>
      </w:pPr>
      <w:hyperlink r:id="rId154" w:history="1">
        <w:r w:rsidRPr="00846769">
          <w:rPr>
            <w:rStyle w:val="Hyperlink"/>
            <w:rFonts w:cstheme="minorHAnsi"/>
          </w:rPr>
          <w:t>Australian Maritime Safety Authority</w:t>
        </w:r>
      </w:hyperlink>
    </w:p>
    <w:p w14:paraId="7E6BD3F2" w14:textId="77777777" w:rsidR="00F03A5E" w:rsidRPr="00846769" w:rsidRDefault="00F03A5E" w:rsidP="00F03A5E">
      <w:pPr>
        <w:pStyle w:val="ListBullet"/>
      </w:pPr>
      <w:r w:rsidRPr="00846769">
        <w:t>local port authorities keep records of all vessel movements at their port berths and associated anchorage points.</w:t>
      </w:r>
    </w:p>
    <w:p w14:paraId="09AEE81F" w14:textId="77777777" w:rsidR="00F03A5E" w:rsidRPr="00846769" w:rsidRDefault="00F03A5E" w:rsidP="00F03A5E">
      <w:pPr>
        <w:rPr>
          <w:rFonts w:cstheme="minorHAnsi"/>
        </w:rPr>
      </w:pPr>
      <w:r w:rsidRPr="00846769">
        <w:rPr>
          <w:rFonts w:cstheme="minorHAnsi"/>
        </w:rPr>
        <w:t>Specific industries operating in marine environments may have information on movement of vessels and equipment such as aquaculture, natural resource extractors, maritime transport, and logistics industries. There are no consolidated data on domestic movements of smaller coastal vessels within Australian waters. Ports and some marina operators keep records of vessels that have been used in their facilities. Local industry groups, such as fishing groups, may provide point-of-contact for vessels and the movements of their respective industry sectors. Logged vessel trip reports held by the Australian Volunteer Coast Guard may also provide some data on vessel movements.</w:t>
      </w:r>
    </w:p>
    <w:p w14:paraId="160BB4D2" w14:textId="77777777" w:rsidR="00F03A5E" w:rsidRPr="00846769" w:rsidRDefault="00F03A5E" w:rsidP="00F03A5E">
      <w:pPr>
        <w:rPr>
          <w:rFonts w:cstheme="minorHAnsi"/>
        </w:rPr>
      </w:pPr>
      <w:r w:rsidRPr="00846769">
        <w:rPr>
          <w:rFonts w:cstheme="minorHAnsi"/>
        </w:rPr>
        <w:lastRenderedPageBreak/>
        <w:t xml:space="preserve">Some states and territories have developed vessel-tracking systems for a range of vessel types. For example, during the operational period of </w:t>
      </w:r>
      <w:r w:rsidRPr="00846769">
        <w:rPr>
          <w:i/>
          <w:iCs/>
        </w:rPr>
        <w:t>Mytilopsis</w:t>
      </w:r>
      <w:r w:rsidRPr="00846769">
        <w:rPr>
          <w:rStyle w:val="Emphasis"/>
        </w:rPr>
        <w:t xml:space="preserve"> sallei </w:t>
      </w:r>
      <w:r w:rsidRPr="00846769">
        <w:rPr>
          <w:rFonts w:cstheme="minorHAnsi"/>
        </w:rPr>
        <w:t>incursion in Darwin, an access database was developed that contained vessel names, contacts, current location, history of individual vessel movements and the risk status of the vessel.</w:t>
      </w:r>
    </w:p>
    <w:p w14:paraId="5A24A1AC" w14:textId="7E7B6B56" w:rsidR="00F03A5E" w:rsidRPr="00846769" w:rsidRDefault="00F03A5E" w:rsidP="00F03A5E">
      <w:pPr>
        <w:pStyle w:val="Heading7"/>
        <w:rPr>
          <w:b/>
          <w:bCs/>
          <w:color w:val="000000" w:themeColor="text1"/>
        </w:rPr>
      </w:pPr>
      <w:r w:rsidRPr="00846769">
        <w:rPr>
          <w:b/>
          <w:bCs/>
          <w:color w:val="000000" w:themeColor="text1"/>
        </w:rPr>
        <w:t xml:space="preserve">Ocean current </w:t>
      </w:r>
      <w:r w:rsidR="005600C8">
        <w:rPr>
          <w:b/>
          <w:bCs/>
          <w:color w:val="000000" w:themeColor="text1"/>
        </w:rPr>
        <w:t xml:space="preserve">and hydrodynamic </w:t>
      </w:r>
      <w:r w:rsidRPr="00846769">
        <w:rPr>
          <w:b/>
          <w:bCs/>
          <w:color w:val="000000" w:themeColor="text1"/>
        </w:rPr>
        <w:t>modelling</w:t>
      </w:r>
    </w:p>
    <w:p w14:paraId="4A5B24F7" w14:textId="7B19EB08" w:rsidR="00F03A5E" w:rsidRPr="00846769" w:rsidRDefault="00F03A5E" w:rsidP="00F03A5E">
      <w:pPr>
        <w:rPr>
          <w:rFonts w:cstheme="minorHAnsi"/>
        </w:rPr>
      </w:pPr>
      <w:r w:rsidRPr="00846769">
        <w:rPr>
          <w:rFonts w:cstheme="minorHAnsi"/>
        </w:rPr>
        <w:t xml:space="preserve">Ocean current </w:t>
      </w:r>
      <w:r w:rsidR="00393E5D">
        <w:rPr>
          <w:rFonts w:cstheme="minorHAnsi"/>
        </w:rPr>
        <w:t xml:space="preserve">and hydrodynamic </w:t>
      </w:r>
      <w:r w:rsidRPr="00846769">
        <w:rPr>
          <w:rFonts w:cstheme="minorHAnsi"/>
        </w:rPr>
        <w:t>modelling may be an effective forward and back tracing method for estimating the source and locations as part of an invasive marine bivalve response</w:t>
      </w:r>
      <w:r w:rsidR="0095789F" w:rsidRPr="00846769">
        <w:rPr>
          <w:rFonts w:cstheme="minorHAnsi"/>
        </w:rPr>
        <w:t>. Some tools that can assist with modelling current movements include:</w:t>
      </w:r>
    </w:p>
    <w:p w14:paraId="25A5FDA3" w14:textId="77777777" w:rsidR="00F03A5E" w:rsidRPr="00846769" w:rsidRDefault="00F03A5E" w:rsidP="00F03A5E">
      <w:pPr>
        <w:pStyle w:val="ListBullet"/>
      </w:pPr>
      <w:hyperlink r:id="rId155" w:history="1">
        <w:r w:rsidRPr="00846769">
          <w:rPr>
            <w:rStyle w:val="Hyperlink"/>
            <w:rFonts w:cstheme="minorHAnsi"/>
          </w:rPr>
          <w:t>Connie3</w:t>
        </w:r>
      </w:hyperlink>
      <w:r w:rsidRPr="00846769">
        <w:rPr>
          <w:color w:val="4472C4" w:themeColor="accent1"/>
        </w:rPr>
        <w:t xml:space="preserve"> </w:t>
      </w:r>
      <w:r w:rsidRPr="00846769">
        <w:t>(accessed on request from CSIRO)</w:t>
      </w:r>
    </w:p>
    <w:p w14:paraId="6C000AE3" w14:textId="77777777" w:rsidR="00F03A5E" w:rsidRPr="00846769" w:rsidRDefault="00F03A5E" w:rsidP="00F03A5E">
      <w:pPr>
        <w:pStyle w:val="ListBullet"/>
        <w:spacing w:after="160" w:line="259" w:lineRule="auto"/>
        <w:rPr>
          <w:rStyle w:val="Emphasis"/>
          <w:rFonts w:ascii="Times New Roman" w:hAnsi="Times New Roman" w:cs="Times New Roman"/>
          <w:sz w:val="24"/>
          <w:szCs w:val="24"/>
        </w:rPr>
      </w:pPr>
      <w:hyperlink r:id="rId156" w:history="1">
        <w:r w:rsidRPr="00846769">
          <w:rPr>
            <w:rStyle w:val="Hyperlink"/>
            <w:rFonts w:cstheme="minorHAnsi"/>
          </w:rPr>
          <w:t>Regional Ocean Modelling System</w:t>
        </w:r>
        <w:r w:rsidRPr="00846769">
          <w:t xml:space="preserve"> </w:t>
        </w:r>
      </w:hyperlink>
    </w:p>
    <w:p w14:paraId="58AE9AE7" w14:textId="77777777" w:rsidR="00F03A5E" w:rsidRPr="00846769" w:rsidRDefault="00F03A5E" w:rsidP="00F03A5E">
      <w:pPr>
        <w:pStyle w:val="ListBullet"/>
      </w:pPr>
      <w:hyperlink r:id="rId157" w:history="1">
        <w:r w:rsidRPr="00846769">
          <w:rPr>
            <w:rStyle w:val="Hyperlink"/>
          </w:rPr>
          <w:t>Marine Invader Tracking and Information System</w:t>
        </w:r>
      </w:hyperlink>
    </w:p>
    <w:p w14:paraId="3D79743F" w14:textId="77777777" w:rsidR="00F03A5E" w:rsidRPr="00846769" w:rsidRDefault="00F03A5E" w:rsidP="00F03A5E">
      <w:pPr>
        <w:pStyle w:val="ListBullet"/>
      </w:pPr>
      <w:hyperlink r:id="rId158" w:history="1">
        <w:r w:rsidRPr="00846769">
          <w:rPr>
            <w:rStyle w:val="Hyperlink"/>
          </w:rPr>
          <w:t>International Comprehensive Ocean-Atmosphere Data Set</w:t>
        </w:r>
      </w:hyperlink>
    </w:p>
    <w:p w14:paraId="776D770A" w14:textId="77777777" w:rsidR="00F03A5E" w:rsidRPr="00846769" w:rsidRDefault="00F03A5E" w:rsidP="00F03A5E">
      <w:pPr>
        <w:pStyle w:val="ListBullet"/>
      </w:pPr>
      <w:hyperlink r:id="rId159" w:history="1">
        <w:r w:rsidRPr="00846769">
          <w:rPr>
            <w:rStyle w:val="Hyperlink"/>
          </w:rPr>
          <w:t>Global Marine Environment Datasets</w:t>
        </w:r>
      </w:hyperlink>
    </w:p>
    <w:p w14:paraId="3D7CB8E3" w14:textId="77777777" w:rsidR="00F03A5E" w:rsidRDefault="00F03A5E" w:rsidP="00F03A5E">
      <w:pPr>
        <w:pStyle w:val="ListBullet"/>
      </w:pPr>
      <w:hyperlink r:id="rId160" w:history="1">
        <w:r w:rsidRPr="00846769">
          <w:rPr>
            <w:rStyle w:val="Hyperlink"/>
          </w:rPr>
          <w:t>National Oceanic and Atmospheric Administration</w:t>
        </w:r>
      </w:hyperlink>
      <w:r w:rsidRPr="00846769">
        <w:t>.</w:t>
      </w:r>
    </w:p>
    <w:p w14:paraId="5DF7FED5" w14:textId="363D2A65" w:rsidR="00393E5D" w:rsidRPr="00846769" w:rsidRDefault="00393E5D" w:rsidP="00A04E26">
      <w:pPr>
        <w:pStyle w:val="ListBullet"/>
        <w:numPr>
          <w:ilvl w:val="0"/>
          <w:numId w:val="0"/>
        </w:numPr>
      </w:pPr>
      <w:bookmarkStart w:id="436" w:name="_Hlk187677216"/>
      <w:r>
        <w:t xml:space="preserve">Hydrodynamic modelling tools often require highly specialised technical experts to operate and interpret, and thus it may not always be feasible to use such modelling techniques during a marine pest response. In addition, these tools may not have the spatial and temporal resolution required to model </w:t>
      </w:r>
      <w:r w:rsidR="00DE49A5">
        <w:t xml:space="preserve">the </w:t>
      </w:r>
      <w:r>
        <w:t xml:space="preserve">hydrodynamics of specific locations such as </w:t>
      </w:r>
      <w:proofErr w:type="gramStart"/>
      <w:r w:rsidR="00944EBF">
        <w:t>ports</w:t>
      </w:r>
      <w:r w:rsidR="00DE49A5">
        <w:t>,</w:t>
      </w:r>
      <w:r w:rsidR="00944EBF">
        <w:t xml:space="preserve"> and</w:t>
      </w:r>
      <w:proofErr w:type="gramEnd"/>
      <w:r>
        <w:t xml:space="preserve"> can be quite expensive to run (see Summerson, Hester &amp; Garaham 2018). </w:t>
      </w:r>
    </w:p>
    <w:p w14:paraId="74CDB8D9" w14:textId="77777777" w:rsidR="00F03A5E" w:rsidRPr="00846769" w:rsidRDefault="00F03A5E" w:rsidP="00F03A5E">
      <w:pPr>
        <w:pStyle w:val="Heading5"/>
        <w:numPr>
          <w:ilvl w:val="3"/>
          <w:numId w:val="4"/>
        </w:numPr>
      </w:pPr>
      <w:bookmarkStart w:id="437" w:name="_Hlk187677259"/>
      <w:bookmarkEnd w:id="436"/>
      <w:r w:rsidRPr="00846769">
        <w:t>Perpendicular and margin transects</w:t>
      </w:r>
    </w:p>
    <w:bookmarkEnd w:id="437"/>
    <w:p w14:paraId="13395B9D" w14:textId="77777777" w:rsidR="00F03A5E" w:rsidRPr="00A841CD" w:rsidRDefault="00F03A5E" w:rsidP="00F03A5E">
      <w:pPr>
        <w:rPr>
          <w:rFonts w:cstheme="minorHAnsi"/>
        </w:rPr>
      </w:pPr>
      <w:r w:rsidRPr="00846769">
        <w:rPr>
          <w:rFonts w:cstheme="minorHAnsi"/>
        </w:rPr>
        <w:t xml:space="preserve">Allocating surveys along </w:t>
      </w:r>
      <w:r w:rsidRPr="00A841CD">
        <w:rPr>
          <w:rFonts w:cstheme="minorHAnsi"/>
        </w:rPr>
        <w:t xml:space="preserve">perpendicular and margin transects can rapidly lead surveyors to the outer reaches of an invasion, particularly at times when infestations are dense at the point of introduction and decline with distance (Hauser et al. 2016). Alternatively, survey effort could be made at the margins of the known infestation. </w:t>
      </w:r>
    </w:p>
    <w:p w14:paraId="1A7C5667" w14:textId="77777777" w:rsidR="00F03A5E" w:rsidRPr="00A841CD" w:rsidRDefault="00F03A5E" w:rsidP="00F03A5E">
      <w:pPr>
        <w:pStyle w:val="Heading5"/>
        <w:numPr>
          <w:ilvl w:val="3"/>
          <w:numId w:val="4"/>
        </w:numPr>
      </w:pPr>
      <w:bookmarkStart w:id="438" w:name="_Hlk187677268"/>
      <w:r w:rsidRPr="00A841CD">
        <w:t>Adaptive sampling</w:t>
      </w:r>
    </w:p>
    <w:bookmarkEnd w:id="438"/>
    <w:p w14:paraId="2F0B6205" w14:textId="77777777" w:rsidR="00F03A5E" w:rsidRPr="00A841CD" w:rsidRDefault="00F03A5E" w:rsidP="00F03A5E">
      <w:r w:rsidRPr="00A841CD">
        <w:rPr>
          <w:rFonts w:cstheme="minorHAnsi"/>
        </w:rPr>
        <w:t xml:space="preserve">Using probability-based sampling, adaptive sampling designs use sample points located on systematic grids or gradients away from the site of known infestation </w:t>
      </w:r>
      <w:r w:rsidRPr="00A841CD">
        <w:fldChar w:fldCharType="begin">
          <w:fldData xml:space="preserve">PEVuZE5vdGU+PENpdGU+PEF1dGhvcj5UaG9tcHNvbjwvQXV0aG9yPjxZZWFyPjIwMDQ8L1llYXI+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</w:fldData>
        </w:fldChar>
      </w:r>
      <w:r w:rsidRPr="00A841CD">
        <w:instrText xml:space="preserve"> ADDIN EN.CITE </w:instrText>
      </w:r>
      <w:r w:rsidRPr="00A841CD">
        <w:fldChar w:fldCharType="begin">
          <w:fldData xml:space="preserve">PEVuZE5vdGU+PENpdGU+PEF1dGhvcj5UaG9tcHNvbjwvQXV0aG9yPjxZZWFyPjIwMDQ8L1llYXI+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</w:fldData>
        </w:fldChar>
      </w:r>
      <w:r w:rsidRPr="00A841CD">
        <w:instrText xml:space="preserve"> ADDIN EN.CITE.DATA </w:instrText>
      </w:r>
      <w:r w:rsidRPr="00A841CD">
        <w:fldChar w:fldCharType="end"/>
      </w:r>
      <w:r w:rsidRPr="00A841CD">
        <w:fldChar w:fldCharType="separate"/>
      </w:r>
      <w:r w:rsidRPr="00A841CD">
        <w:t>(Thompson 2004; Brown</w:t>
      </w:r>
      <w:r w:rsidRPr="00A841CD">
        <w:rPr>
          <w:i/>
        </w:rPr>
        <w:t xml:space="preserve"> </w:t>
      </w:r>
      <w:r w:rsidRPr="00A841CD">
        <w:rPr>
          <w:iCs/>
        </w:rPr>
        <w:t>et al</w:t>
      </w:r>
      <w:r w:rsidRPr="00A841CD">
        <w:rPr>
          <w:i/>
        </w:rPr>
        <w:t>.</w:t>
      </w:r>
      <w:r w:rsidRPr="00A841CD">
        <w:t xml:space="preserve"> 2013)</w:t>
      </w:r>
      <w:r w:rsidRPr="00A841CD">
        <w:fldChar w:fldCharType="end"/>
      </w:r>
      <w:r w:rsidRPr="00A841CD">
        <w:t>. This</w:t>
      </w:r>
      <w:r w:rsidRPr="00A841CD">
        <w:rPr>
          <w:rFonts w:cstheme="minorHAnsi"/>
        </w:rPr>
        <w:t xml:space="preserve"> is most useful to ensure the greatest possible area is covered, while providing the best chance of detecting established and founding populations.</w:t>
      </w:r>
      <w:r w:rsidRPr="00A841CD">
        <w:t xml:space="preserve"> The general approach is to sample at predetermined locations (often across a grid), and when the target is found, to sample more intensively near the detection </w:t>
      </w:r>
      <w:r w:rsidRPr="00A841CD">
        <w:fldChar w:fldCharType="begin"/>
      </w:r>
      <w:r w:rsidRPr="00A841CD">
        <w:instrText xml:space="preserve"> ADDIN EN.CITE &lt;EndNote&gt;&lt;Cite&gt;&lt;Author&gt;Thompson&lt;/Author&gt;&lt;Year&gt;2004&lt;/Year&gt;&lt;RecNum&gt;3152&lt;/RecNum&gt;&lt;DisplayText&gt;(Thompson 2004)&lt;/DisplayText&gt;&lt;record&gt;&lt;rec-number&gt;3152&lt;/rec-number&gt;&lt;foreign-keys&gt;&lt;key app="EN" db-id="pwt20vt9052s2uetf93vz5062vw9es5t090s" timestamp="1575258772"&gt;3152&lt;/key&gt;&lt;/foreign-keys&gt;&lt;ref-type name="Book"&gt;6&lt;/ref-type&gt;&lt;contributors&gt;&lt;authors&gt;&lt;author&gt;Thompson, William L.&lt;/author&gt;&lt;/authors&gt;&lt;secondary-authors&gt;&lt;author&gt;Steiner, Frederick R. Contributor&lt;/author&gt;&lt;/secondary-authors&gt;&lt;/contributors&gt;&lt;titles&gt;&lt;title&gt;Sampling Rare or Elusive Species Concepts, Designs, and Techniques for Estimating Population Parameters&lt;/title&gt;&lt;/titles&gt;&lt;keywords&gt;&lt;keyword&gt;Rare animals -- Monitoring&lt;/keyword&gt;&lt;keyword&gt;Rare plants -- Monitoring&lt;/keyword&gt;&lt;keyword&gt;Landscape ecology -- Environmental aspects -- Planning&lt;/keyword&gt;&lt;keyword&gt;Land use&lt;/keyword&gt;&lt;keyword&gt;Ecological landscape design&lt;/keyword&gt;&lt;keyword&gt;Earth &amp;amp; Environmental Sciences&lt;/keyword&gt;&lt;keyword&gt;Ecology&lt;/keyword&gt;&lt;keyword&gt;Electronic books&lt;/keyword&gt;&lt;/keywords&gt;&lt;dates&gt;&lt;year&gt;2004&lt;/year&gt;&lt;/dates&gt;&lt;pub-location&gt;Washington DC&lt;/pub-location&gt;&lt;publisher&gt;Island Press&lt;/publisher&gt;&lt;urls&gt;&lt;/urls&gt;&lt;/record&gt;&lt;/Cite&gt;&lt;/EndNote&gt;</w:instrText>
      </w:r>
      <w:r w:rsidRPr="00A841CD">
        <w:fldChar w:fldCharType="separate"/>
      </w:r>
      <w:r w:rsidRPr="00A841CD">
        <w:t>(Thompson 2004)</w:t>
      </w:r>
      <w:r w:rsidRPr="00A841CD">
        <w:fldChar w:fldCharType="end"/>
      </w:r>
      <w:r w:rsidRPr="00A841CD">
        <w:t xml:space="preserve">. Adaptive sampling can be effective for detection of rare species, but has the disadvantages that the final sample size and survey cost are unknown prior to the survey, and field implementation may be complicated </w:t>
      </w:r>
      <w:r w:rsidRPr="00A841CD">
        <w:fldChar w:fldCharType="begin"/>
      </w:r>
      <w:r w:rsidRPr="00A841CD">
        <w:instrText xml:space="preserve"> ADDIN EN.CITE &lt;EndNote&gt;&lt;Cite&gt;&lt;Author&gt;Thompson&lt;/Author&gt;&lt;Year&gt;2004&lt;/Year&gt;&lt;RecNum&gt;3152&lt;/RecNum&gt;&lt;DisplayText&gt;(Thompson 2004)&lt;/DisplayText&gt;&lt;record&gt;&lt;rec-number&gt;3152&lt;/rec-number&gt;&lt;foreign-keys&gt;&lt;key app="EN" db-id="pwt20vt9052s2uetf93vz5062vw9es5t090s" timestamp="1575258772"&gt;3152&lt;/key&gt;&lt;/foreign-keys&gt;&lt;ref-type name="Book"&gt;6&lt;/ref-type&gt;&lt;contributors&gt;&lt;authors&gt;&lt;author&gt;Thompson, William L.&lt;/author&gt;&lt;/authors&gt;&lt;secondary-authors&gt;&lt;author&gt;Steiner, Frederick R. Contributor&lt;/author&gt;&lt;/secondary-authors&gt;&lt;/contributors&gt;&lt;titles&gt;&lt;title&gt;Sampling Rare or Elusive Species Concepts, Designs, and Techniques for Estimating Population Parameters&lt;/title&gt;&lt;/titles&gt;&lt;keywords&gt;&lt;keyword&gt;Rare animals -- Monitoring&lt;/keyword&gt;&lt;keyword&gt;Rare plants -- Monitoring&lt;/keyword&gt;&lt;keyword&gt;Landscape ecology -- Environmental aspects -- Planning&lt;/keyword&gt;&lt;keyword&gt;Land use&lt;/keyword&gt;&lt;keyword&gt;Ecological landscape design&lt;/keyword&gt;&lt;keyword&gt;Earth &amp;amp; Environmental Sciences&lt;/keyword&gt;&lt;keyword&gt;Ecology&lt;/keyword&gt;&lt;keyword&gt;Electronic books&lt;/keyword&gt;&lt;/keywords&gt;&lt;dates&gt;&lt;year&gt;2004&lt;/year&gt;&lt;/dates&gt;&lt;pub-location&gt;Washington DC&lt;/pub-location&gt;&lt;publisher&gt;Island Press&lt;/publisher&gt;&lt;urls&gt;&lt;/urls&gt;&lt;/record&gt;&lt;/Cite&gt;&lt;/EndNote&gt;</w:instrText>
      </w:r>
      <w:r w:rsidRPr="00A841CD">
        <w:fldChar w:fldCharType="separate"/>
      </w:r>
      <w:r w:rsidRPr="00A841CD">
        <w:t>(Thompson 2004)</w:t>
      </w:r>
      <w:r w:rsidRPr="00A841CD">
        <w:fldChar w:fldCharType="end"/>
      </w:r>
      <w:r w:rsidRPr="00A841CD">
        <w:t>.</w:t>
      </w:r>
    </w:p>
    <w:p w14:paraId="62BC20EC" w14:textId="77777777" w:rsidR="00F03A5E" w:rsidRPr="00A841CD" w:rsidRDefault="00F03A5E" w:rsidP="00F03A5E">
      <w:pPr>
        <w:pStyle w:val="Heading5"/>
        <w:numPr>
          <w:ilvl w:val="3"/>
          <w:numId w:val="4"/>
        </w:numPr>
      </w:pPr>
      <w:bookmarkStart w:id="439" w:name="_Hlk187677297"/>
      <w:bookmarkStart w:id="440" w:name="_Hlk187677285"/>
      <w:bookmarkStart w:id="441" w:name="_Hlk187677308"/>
      <w:r w:rsidRPr="00A841CD">
        <w:t>Approach, decline, delimit (ADD</w:t>
      </w:r>
      <w:bookmarkEnd w:id="439"/>
      <w:r w:rsidRPr="00A841CD">
        <w:t>)</w:t>
      </w:r>
      <w:bookmarkEnd w:id="440"/>
    </w:p>
    <w:bookmarkEnd w:id="441"/>
    <w:p w14:paraId="6647E608" w14:textId="2C5A99D4" w:rsidR="00F03A5E" w:rsidRPr="00846769" w:rsidRDefault="00F03A5E" w:rsidP="00F03A5E">
      <w:r w:rsidRPr="00A841CD">
        <w:t xml:space="preserve">Approach-decline-delimit (ADD) can estimate an incursion area of a spreading marine pest (such as bivalves) in situations where the extent of spread is difficult to measure, such as when time has lapsed since initial detection or pest density is low </w:t>
      </w:r>
      <w:r w:rsidRPr="00A841CD">
        <w:rPr>
          <w:rFonts w:cstheme="minorHAnsi"/>
        </w:rPr>
        <w:t xml:space="preserve">(van Havre &amp; Whittle 2015). </w:t>
      </w:r>
      <w:r w:rsidR="00944EBF" w:rsidRPr="00A841CD">
        <w:rPr>
          <w:rFonts w:cstheme="minorHAnsi"/>
        </w:rPr>
        <w:t xml:space="preserve">The </w:t>
      </w:r>
      <w:r w:rsidR="00944EBF" w:rsidRPr="00A841CD">
        <w:t xml:space="preserve">ADD approach </w:t>
      </w:r>
      <w:r w:rsidRPr="00A841CD">
        <w:t>delimits an incursion assuming very little prior information (</w:t>
      </w:r>
      <w:r w:rsidR="0004422F" w:rsidRPr="00A841CD">
        <w:t>e.g.</w:t>
      </w:r>
      <w:r w:rsidRPr="00A841CD">
        <w:t xml:space="preserve"> site of first detection) by measuring the decline in density of occurrence (</w:t>
      </w:r>
      <w:bookmarkStart w:id="442" w:name="_Hlk187677373"/>
      <w:r w:rsidR="00F47511" w:rsidRPr="00A841CD">
        <w:t xml:space="preserve">see </w:t>
      </w:r>
      <w:r w:rsidRPr="00A841CD">
        <w:t>Leung et al. 2010</w:t>
      </w:r>
      <w:r w:rsidR="00F47511" w:rsidRPr="00A841CD">
        <w:t xml:space="preserve"> for detail</w:t>
      </w:r>
      <w:r w:rsidR="00F47511">
        <w:t xml:space="preserve"> on the ADD application</w:t>
      </w:r>
      <w:r w:rsidRPr="00846769">
        <w:t xml:space="preserve">). </w:t>
      </w:r>
      <w:bookmarkEnd w:id="442"/>
    </w:p>
    <w:p w14:paraId="51F88806" w14:textId="5970E785" w:rsidR="00E166E6" w:rsidRPr="00846769" w:rsidRDefault="00E166E6" w:rsidP="00E166E6">
      <w:pPr>
        <w:pStyle w:val="Heading3"/>
        <w:numPr>
          <w:ilvl w:val="1"/>
          <w:numId w:val="4"/>
        </w:numPr>
      </w:pPr>
      <w:bookmarkStart w:id="443" w:name="_Toc191998667"/>
      <w:r w:rsidRPr="00846769">
        <w:lastRenderedPageBreak/>
        <w:t>Surveillance</w:t>
      </w:r>
      <w:bookmarkEnd w:id="443"/>
    </w:p>
    <w:p w14:paraId="12B67F76" w14:textId="3E899430" w:rsidR="00AC589C" w:rsidRPr="00846769" w:rsidRDefault="00AC589C" w:rsidP="00E166E6">
      <w:pPr>
        <w:keepNext/>
      </w:pPr>
      <w:r w:rsidRPr="00846769">
        <w:t xml:space="preserve">Biosecurity surveillance is an important part of Australia’s strong biosecurity system. Surveillance is the systematic investigation over time, of a population or area, to collect data and information about the presence, incidence, prevalence, or geographical extent of a marine pest. It helps to detect and respond to biosecurity threats and provides evidence to demonstrate freedom from pests and </w:t>
      </w:r>
      <w:r w:rsidRPr="00A841CD">
        <w:t>diseases (MPSC 2019). ‘Monitoring’</w:t>
      </w:r>
      <w:r>
        <w:t xml:space="preserve"> is also a term used interchangeably with surveillance. </w:t>
      </w:r>
    </w:p>
    <w:p w14:paraId="0CDD8228" w14:textId="0A3D35C1" w:rsidR="00C9134D" w:rsidRPr="00846769" w:rsidRDefault="00C9134D" w:rsidP="00C9134D">
      <w:pPr>
        <w:keepNext/>
      </w:pPr>
      <w:r w:rsidRPr="00846769">
        <w:t>Australia has a coastline extending ~60,000 km and a marine jurisdiction spanning 16 million km</w:t>
      </w:r>
      <w:r w:rsidRPr="00846769">
        <w:rPr>
          <w:vertAlign w:val="superscript"/>
        </w:rPr>
        <w:t xml:space="preserve">2 </w:t>
      </w:r>
      <w:r w:rsidRPr="00846769">
        <w:t>(</w:t>
      </w:r>
      <w:r w:rsidR="00C80491">
        <w:t>MPSC 2019</w:t>
      </w:r>
      <w:r w:rsidRPr="00846769">
        <w:t xml:space="preserve">). Marine environments are susceptible to marine pest incursions which can cause significant environmental, economic, and social impacts. Early detection of new incursions enables the greatest range of management options during a response. However, due to the </w:t>
      </w:r>
      <w:r w:rsidR="00506C31" w:rsidRPr="00846769">
        <w:t xml:space="preserve">challenging and complex nature of the marine environment, most marine pests go unnoticed until they are established, where they can have </w:t>
      </w:r>
      <w:r w:rsidR="00970E45" w:rsidRPr="00846769">
        <w:t>serious</w:t>
      </w:r>
      <w:r w:rsidR="00506C31" w:rsidRPr="00846769">
        <w:t xml:space="preserve"> impacts and become very challenging and costly to eradicate or manage (</w:t>
      </w:r>
      <w:r w:rsidR="00C80491">
        <w:t>MPSC 2019</w:t>
      </w:r>
      <w:r w:rsidR="00506C31" w:rsidRPr="00846769">
        <w:t>). Marine pests are best managed as early as possible in the invasion process</w:t>
      </w:r>
      <w:r w:rsidR="007969DF" w:rsidRPr="00846769">
        <w:t xml:space="preserve">. </w:t>
      </w:r>
      <w:r w:rsidR="00506C31" w:rsidRPr="00846769">
        <w:t xml:space="preserve">Early detection is facilitated by robust, reliable, and practical surveillance techniques tailored to detect these pests.  </w:t>
      </w:r>
    </w:p>
    <w:p w14:paraId="3D49AF0C" w14:textId="02E12583" w:rsidR="00506C31" w:rsidRPr="00846769" w:rsidRDefault="00506C31" w:rsidP="00C9134D">
      <w:pPr>
        <w:keepNext/>
      </w:pPr>
      <w:r w:rsidRPr="00846769">
        <w:t xml:space="preserve">The Marine Pest Sectoral Committee (MPSC) have developed the </w:t>
      </w:r>
      <w:hyperlink r:id="rId161" w:history="1">
        <w:r w:rsidRPr="00846769">
          <w:rPr>
            <w:rStyle w:val="Hyperlink"/>
          </w:rPr>
          <w:t>National Marine Pest Surveillance Strategy 2021-2026</w:t>
        </w:r>
      </w:hyperlink>
      <w:r w:rsidRPr="00846769">
        <w:t xml:space="preserve"> (Surveillance Strategy) to coordinate Australia’s surveillance activities for marine biosecurity. The Surveillance Strategy outlines nationally agreed priority requirements for enhancing surveillance of marine pests in Australia</w:t>
      </w:r>
      <w:r w:rsidR="00970E45" w:rsidRPr="00846769">
        <w:t xml:space="preserve">. </w:t>
      </w:r>
      <w:proofErr w:type="gramStart"/>
      <w:r w:rsidR="007C14FE" w:rsidRPr="00846769">
        <w:t>A number of</w:t>
      </w:r>
      <w:proofErr w:type="gramEnd"/>
      <w:r w:rsidR="007C14FE" w:rsidRPr="00846769">
        <w:t xml:space="preserve"> surveillance principles have been recognised and are outlined in the Surveillance Strategy, which should be followed during a surveillance program</w:t>
      </w:r>
      <w:r w:rsidR="005F61CD" w:rsidRPr="00846769">
        <w:t xml:space="preserve"> where possible</w:t>
      </w:r>
      <w:r w:rsidR="007C14FE" w:rsidRPr="00846769">
        <w:t xml:space="preserve">. </w:t>
      </w:r>
      <w:r w:rsidR="00970E45" w:rsidRPr="00846769">
        <w:t xml:space="preserve">Specific activities being undertaken in the Surveillance Strategy are detailed in the </w:t>
      </w:r>
      <w:hyperlink r:id="rId162" w:history="1">
        <w:r w:rsidR="00970E45" w:rsidRPr="00846769">
          <w:rPr>
            <w:rStyle w:val="Hyperlink"/>
          </w:rPr>
          <w:t xml:space="preserve">National Marine Pest Surveillance Work Plan. </w:t>
        </w:r>
      </w:hyperlink>
      <w:r w:rsidRPr="00846769">
        <w:t xml:space="preserve"> </w:t>
      </w:r>
    </w:p>
    <w:p w14:paraId="1BFA4CD3" w14:textId="2ACC20AD" w:rsidR="00970E45" w:rsidRPr="00846769" w:rsidRDefault="00970E45" w:rsidP="00C9134D">
      <w:pPr>
        <w:keepNext/>
      </w:pPr>
      <w:r w:rsidRPr="00846769">
        <w:t xml:space="preserve">The MPSC </w:t>
      </w:r>
      <w:r w:rsidR="00B65E0E">
        <w:t>is</w:t>
      </w:r>
      <w:r w:rsidR="00B65E0E" w:rsidRPr="00846769">
        <w:t xml:space="preserve"> </w:t>
      </w:r>
      <w:r w:rsidRPr="00846769">
        <w:t xml:space="preserve">currently developing new guidelines for marine pest surveillance. These new guidelines will update information found in the </w:t>
      </w:r>
      <w:hyperlink r:id="rId163" w:history="1">
        <w:r w:rsidRPr="00846769">
          <w:rPr>
            <w:rStyle w:val="Hyperlink"/>
          </w:rPr>
          <w:t>Australian marine pest monitoring guidelines</w:t>
        </w:r>
      </w:hyperlink>
      <w:r w:rsidRPr="00846769">
        <w:t xml:space="preserve"> and the </w:t>
      </w:r>
      <w:hyperlink r:id="rId164" w:history="1">
        <w:r w:rsidRPr="00846769">
          <w:rPr>
            <w:rStyle w:val="Hyperlink"/>
          </w:rPr>
          <w:t>Australian marine pest monitoring manual.</w:t>
        </w:r>
      </w:hyperlink>
      <w:r w:rsidRPr="00846769">
        <w:t xml:space="preserve"> </w:t>
      </w:r>
    </w:p>
    <w:p w14:paraId="6D48AAEB" w14:textId="2C122719" w:rsidR="007C14FE" w:rsidRPr="00846769" w:rsidRDefault="00970E45" w:rsidP="00C9134D">
      <w:pPr>
        <w:keepNext/>
      </w:pPr>
      <w:r w:rsidRPr="00846769">
        <w:t xml:space="preserve">This section provides a brief overview </w:t>
      </w:r>
      <w:r w:rsidR="007C14FE" w:rsidRPr="00846769">
        <w:t>on</w:t>
      </w:r>
      <w:r w:rsidRPr="00846769">
        <w:t xml:space="preserve"> considerations for designing a surveillance program to detect invasive marine bivalves</w:t>
      </w:r>
      <w:r w:rsidR="007C14FE" w:rsidRPr="00846769">
        <w:t>, and key types of surveillance</w:t>
      </w:r>
      <w:r w:rsidRPr="00846769">
        <w:t>.</w:t>
      </w:r>
    </w:p>
    <w:p w14:paraId="42D8929D" w14:textId="20E9D86D" w:rsidR="00970E45" w:rsidRPr="00846769" w:rsidRDefault="007C14FE" w:rsidP="00970E45">
      <w:pPr>
        <w:pStyle w:val="Heading4"/>
        <w:numPr>
          <w:ilvl w:val="2"/>
          <w:numId w:val="4"/>
        </w:numPr>
      </w:pPr>
      <w:r w:rsidRPr="00846769">
        <w:t xml:space="preserve">Developing </w:t>
      </w:r>
      <w:r w:rsidR="00970E45" w:rsidRPr="00846769">
        <w:t>surveillance programs</w:t>
      </w:r>
    </w:p>
    <w:p w14:paraId="17DC5649" w14:textId="05D05A87" w:rsidR="0002370C" w:rsidRPr="00846769" w:rsidRDefault="0002370C" w:rsidP="0002370C">
      <w:pPr>
        <w:rPr>
          <w:rFonts w:cstheme="minorHAnsi"/>
        </w:rPr>
      </w:pPr>
      <w:r w:rsidRPr="00846769">
        <w:rPr>
          <w:rFonts w:cstheme="minorHAnsi"/>
        </w:rPr>
        <w:t xml:space="preserve">When designing and planning a </w:t>
      </w:r>
      <w:r w:rsidR="00FC3D65" w:rsidRPr="00846769">
        <w:rPr>
          <w:rFonts w:cstheme="minorHAnsi"/>
        </w:rPr>
        <w:t>surveillance program for invasive marine bivalves</w:t>
      </w:r>
      <w:r w:rsidRPr="00846769">
        <w:rPr>
          <w:rFonts w:cstheme="minorHAnsi"/>
        </w:rPr>
        <w:t>, a manager should consider</w:t>
      </w:r>
      <w:r w:rsidR="007C14FE" w:rsidRPr="00846769">
        <w:rPr>
          <w:rFonts w:cstheme="minorHAnsi"/>
        </w:rPr>
        <w:t xml:space="preserve"> the following key phases of its development</w:t>
      </w:r>
      <w:r w:rsidRPr="00846769">
        <w:rPr>
          <w:rFonts w:cstheme="minorHAnsi"/>
        </w:rPr>
        <w:t>:</w:t>
      </w:r>
    </w:p>
    <w:p w14:paraId="7AE6FF4A" w14:textId="740E4B56" w:rsidR="0002370C" w:rsidRPr="00846769" w:rsidRDefault="00FC3D65" w:rsidP="0002370C">
      <w:pPr>
        <w:pStyle w:val="ListBullet"/>
        <w:rPr>
          <w:rFonts w:cstheme="minorHAnsi"/>
        </w:rPr>
      </w:pPr>
      <w:r w:rsidRPr="00846769">
        <w:rPr>
          <w:rFonts w:cstheme="minorHAnsi"/>
        </w:rPr>
        <w:t>Design</w:t>
      </w:r>
      <w:r w:rsidR="007C14FE" w:rsidRPr="00846769">
        <w:rPr>
          <w:rFonts w:cstheme="minorHAnsi"/>
        </w:rPr>
        <w:t xml:space="preserve"> and planning</w:t>
      </w:r>
      <w:r w:rsidRPr="00846769">
        <w:rPr>
          <w:rFonts w:cstheme="minorHAnsi"/>
        </w:rPr>
        <w:t xml:space="preserve"> – gathering relevant information, determining surveillance activities and methods required (including funding, </w:t>
      </w:r>
      <w:r w:rsidR="00B65E0E">
        <w:rPr>
          <w:rFonts w:cstheme="minorHAnsi"/>
        </w:rPr>
        <w:t>trained</w:t>
      </w:r>
      <w:r w:rsidR="00B65E0E" w:rsidRPr="00846769">
        <w:rPr>
          <w:rFonts w:cstheme="minorHAnsi"/>
        </w:rPr>
        <w:t xml:space="preserve"> </w:t>
      </w:r>
      <w:r w:rsidRPr="00846769">
        <w:rPr>
          <w:rFonts w:cstheme="minorHAnsi"/>
        </w:rPr>
        <w:t>personnel,</w:t>
      </w:r>
      <w:r w:rsidR="007C14FE" w:rsidRPr="00846769">
        <w:rPr>
          <w:rFonts w:cstheme="minorHAnsi"/>
        </w:rPr>
        <w:t xml:space="preserve"> permits,</w:t>
      </w:r>
      <w:r w:rsidRPr="00846769">
        <w:rPr>
          <w:rFonts w:cstheme="minorHAnsi"/>
        </w:rPr>
        <w:t xml:space="preserve"> </w:t>
      </w:r>
      <w:r w:rsidR="00B65E0E">
        <w:rPr>
          <w:rFonts w:cstheme="minorHAnsi"/>
        </w:rPr>
        <w:t xml:space="preserve">WHS requirements, </w:t>
      </w:r>
      <w:r w:rsidRPr="00846769">
        <w:rPr>
          <w:rFonts w:cstheme="minorHAnsi"/>
        </w:rPr>
        <w:t>and diagnostic</w:t>
      </w:r>
      <w:r w:rsidR="007C14FE" w:rsidRPr="00846769">
        <w:rPr>
          <w:rFonts w:cstheme="minorHAnsi"/>
        </w:rPr>
        <w:t xml:space="preserve"> capability</w:t>
      </w:r>
      <w:r w:rsidRPr="00846769">
        <w:rPr>
          <w:rFonts w:cstheme="minorHAnsi"/>
        </w:rPr>
        <w:t>), and designing a surveillance program that meets biosecurity objectives</w:t>
      </w:r>
    </w:p>
    <w:p w14:paraId="4E77E8AB" w14:textId="6710E52C" w:rsidR="0002370C" w:rsidRPr="00846769" w:rsidRDefault="0002370C" w:rsidP="0002370C">
      <w:pPr>
        <w:pStyle w:val="ListBullet"/>
        <w:rPr>
          <w:rFonts w:cstheme="minorHAnsi"/>
        </w:rPr>
      </w:pPr>
      <w:r w:rsidRPr="00846769">
        <w:rPr>
          <w:rFonts w:cstheme="minorHAnsi"/>
        </w:rPr>
        <w:t>Implementation</w:t>
      </w:r>
      <w:r w:rsidR="00FC3D65" w:rsidRPr="00846769">
        <w:rPr>
          <w:rFonts w:cstheme="minorHAnsi"/>
        </w:rPr>
        <w:t xml:space="preserve"> – standard operating procedures (SOPs) for sampling </w:t>
      </w:r>
      <w:r w:rsidR="00754562" w:rsidRPr="00846769">
        <w:rPr>
          <w:rFonts w:cstheme="minorHAnsi"/>
        </w:rPr>
        <w:t xml:space="preserve">and collection </w:t>
      </w:r>
      <w:r w:rsidR="00FC3D65" w:rsidRPr="00846769">
        <w:rPr>
          <w:rFonts w:cstheme="minorHAnsi"/>
        </w:rPr>
        <w:t xml:space="preserve">techniques </w:t>
      </w:r>
    </w:p>
    <w:p w14:paraId="64FC6D46" w14:textId="09F342E7" w:rsidR="0002370C" w:rsidRPr="00846769" w:rsidRDefault="0002370C" w:rsidP="0002370C">
      <w:pPr>
        <w:pStyle w:val="ListBullet"/>
        <w:rPr>
          <w:rFonts w:cstheme="minorHAnsi"/>
        </w:rPr>
      </w:pPr>
      <w:r w:rsidRPr="00846769">
        <w:rPr>
          <w:rFonts w:cstheme="minorHAnsi"/>
        </w:rPr>
        <w:t>Post-sampling procedures</w:t>
      </w:r>
      <w:r w:rsidR="00FC3D65" w:rsidRPr="00846769">
        <w:rPr>
          <w:rFonts w:cstheme="minorHAnsi"/>
        </w:rPr>
        <w:t xml:space="preserve"> – sample handling, preservation, </w:t>
      </w:r>
      <w:r w:rsidR="00754562" w:rsidRPr="00846769">
        <w:rPr>
          <w:rFonts w:cstheme="minorHAnsi"/>
        </w:rPr>
        <w:t>quality control,</w:t>
      </w:r>
      <w:r w:rsidR="00FC3D65" w:rsidRPr="00846769">
        <w:rPr>
          <w:rFonts w:cstheme="minorHAnsi"/>
        </w:rPr>
        <w:t xml:space="preserve"> </w:t>
      </w:r>
      <w:r w:rsidR="003B6D4D" w:rsidRPr="00846769">
        <w:rPr>
          <w:rFonts w:cstheme="minorHAnsi"/>
        </w:rPr>
        <w:t>analysis</w:t>
      </w:r>
      <w:r w:rsidR="00B65E0E">
        <w:rPr>
          <w:rFonts w:cstheme="minorHAnsi"/>
        </w:rPr>
        <w:t>, and decontamination/destruction/disposal</w:t>
      </w:r>
    </w:p>
    <w:p w14:paraId="0FE1A38E" w14:textId="34245FDF" w:rsidR="00EF164C" w:rsidRPr="00846769" w:rsidRDefault="0002370C" w:rsidP="00FC3D65">
      <w:pPr>
        <w:pStyle w:val="ListBullet"/>
        <w:rPr>
          <w:rFonts w:cstheme="minorHAnsi"/>
        </w:rPr>
      </w:pPr>
      <w:r w:rsidRPr="00846769">
        <w:rPr>
          <w:rFonts w:cstheme="minorHAnsi"/>
        </w:rPr>
        <w:t xml:space="preserve">Reporting </w:t>
      </w:r>
      <w:r w:rsidR="00FC3D65" w:rsidRPr="00846769">
        <w:rPr>
          <w:rFonts w:cstheme="minorHAnsi"/>
        </w:rPr>
        <w:t>– includes standard datasheets and reporting instructions to maintain consistency in results</w:t>
      </w:r>
    </w:p>
    <w:p w14:paraId="473C31E9" w14:textId="1D12C50B" w:rsidR="00FC3D65" w:rsidRPr="00846769" w:rsidRDefault="00FC3D65" w:rsidP="00FC3D65">
      <w:pPr>
        <w:pStyle w:val="ListBullet"/>
        <w:rPr>
          <w:rFonts w:cstheme="minorHAnsi"/>
        </w:rPr>
      </w:pPr>
      <w:r w:rsidRPr="00846769">
        <w:rPr>
          <w:rFonts w:cstheme="minorHAnsi"/>
        </w:rPr>
        <w:t>Evaluation and review – identify improvements to be made to surveillance program</w:t>
      </w:r>
      <w:r w:rsidR="007C14FE" w:rsidRPr="00846769">
        <w:rPr>
          <w:rFonts w:cstheme="minorHAnsi"/>
        </w:rPr>
        <w:t>.</w:t>
      </w:r>
    </w:p>
    <w:p w14:paraId="3E451EC2" w14:textId="2B1A8A0F" w:rsidR="007C14FE" w:rsidRPr="00846769" w:rsidRDefault="007C14FE" w:rsidP="007C14FE">
      <w:pPr>
        <w:pStyle w:val="ListBullet"/>
        <w:numPr>
          <w:ilvl w:val="0"/>
          <w:numId w:val="0"/>
        </w:numPr>
        <w:rPr>
          <w:rFonts w:cstheme="minorHAnsi"/>
        </w:rPr>
      </w:pPr>
      <w:r w:rsidRPr="00846769">
        <w:rPr>
          <w:rFonts w:cstheme="minorHAnsi"/>
        </w:rPr>
        <w:lastRenderedPageBreak/>
        <w:t xml:space="preserve">See Table 1 in the </w:t>
      </w:r>
      <w:hyperlink r:id="rId165" w:history="1">
        <w:r w:rsidRPr="00846769">
          <w:rPr>
            <w:rStyle w:val="Hyperlink"/>
            <w:rFonts w:cstheme="minorHAnsi"/>
          </w:rPr>
          <w:t>Australian marine pest monitoring manual</w:t>
        </w:r>
      </w:hyperlink>
      <w:r w:rsidRPr="00846769">
        <w:rPr>
          <w:rFonts w:cstheme="minorHAnsi"/>
        </w:rPr>
        <w:t xml:space="preserve"> for further detail on the overarching guidance for developing a marine pest surveillance program.  </w:t>
      </w:r>
    </w:p>
    <w:p w14:paraId="7BF1532F" w14:textId="0ADF1481" w:rsidR="00130FDC" w:rsidRPr="00846769" w:rsidRDefault="00130FDC" w:rsidP="00130FDC">
      <w:pPr>
        <w:pStyle w:val="Heading4"/>
        <w:numPr>
          <w:ilvl w:val="2"/>
          <w:numId w:val="4"/>
        </w:numPr>
      </w:pPr>
      <w:r w:rsidRPr="00846769">
        <w:t xml:space="preserve">Types of surveillance </w:t>
      </w:r>
    </w:p>
    <w:p w14:paraId="2C672D3F" w14:textId="545A4C97" w:rsidR="00970E45" w:rsidRPr="00846769" w:rsidRDefault="00EF164C" w:rsidP="00970E45">
      <w:r w:rsidRPr="00846769">
        <w:t>The main types of surveillance commonly used during marine pest emergency response</w:t>
      </w:r>
      <w:r w:rsidR="007969DF" w:rsidRPr="00846769">
        <w:t>s</w:t>
      </w:r>
      <w:r w:rsidR="00A13992" w:rsidRPr="00846769">
        <w:t xml:space="preserve"> </w:t>
      </w:r>
      <w:r w:rsidRPr="00846769">
        <w:t xml:space="preserve">are listed below. </w:t>
      </w:r>
    </w:p>
    <w:p w14:paraId="2B645F6E" w14:textId="44D128BB" w:rsidR="00130FDC" w:rsidRPr="00846769" w:rsidRDefault="00130FDC" w:rsidP="00130FDC">
      <w:pPr>
        <w:pStyle w:val="Heading5"/>
        <w:numPr>
          <w:ilvl w:val="3"/>
          <w:numId w:val="4"/>
        </w:numPr>
      </w:pPr>
      <w:r w:rsidRPr="00846769">
        <w:t>Active surveillance</w:t>
      </w:r>
    </w:p>
    <w:p w14:paraId="34B06D14" w14:textId="5824EE6D" w:rsidR="00130FDC" w:rsidRPr="00846769" w:rsidRDefault="00130FDC" w:rsidP="00130FDC">
      <w:r w:rsidRPr="00846769">
        <w:t>Active surveillance is the collection of data specifically for marine pest surveillance purposes, usually to answer certain questions (</w:t>
      </w:r>
      <w:r w:rsidR="00B65E0E">
        <w:t>e.g.</w:t>
      </w:r>
      <w:r w:rsidRPr="00846769">
        <w:t xml:space="preserve"> is this invasive marine bivalve present in this port</w:t>
      </w:r>
      <w:r w:rsidR="005C572F">
        <w:t>?</w:t>
      </w:r>
      <w:r w:rsidRPr="00846769">
        <w:t>)</w:t>
      </w:r>
      <w:r w:rsidR="005C572F">
        <w:t>.</w:t>
      </w:r>
      <w:r w:rsidRPr="00846769">
        <w:t xml:space="preserve"> Active surveillance is carried out in a f</w:t>
      </w:r>
      <w:r w:rsidR="007969DF" w:rsidRPr="00846769">
        <w:t>u</w:t>
      </w:r>
      <w:r w:rsidRPr="00846769">
        <w:t>lly structured wa</w:t>
      </w:r>
      <w:r w:rsidR="00986712" w:rsidRPr="00846769">
        <w:t>y</w:t>
      </w:r>
      <w:r w:rsidRPr="00846769">
        <w:t xml:space="preserve">, such as according to formal protocols in a specified surveillance program, usually undertaken by paid staff from government or industry agencies. </w:t>
      </w:r>
      <w:r w:rsidR="00986712" w:rsidRPr="00846769">
        <w:t xml:space="preserve"> </w:t>
      </w:r>
      <w:r w:rsidR="003629D4" w:rsidRPr="00846769">
        <w:t xml:space="preserve">Many jurisdictions are now implementing their own active and targeted surveillance programs for marine pests. </w:t>
      </w:r>
    </w:p>
    <w:p w14:paraId="2CCF3EA2" w14:textId="16147F5D" w:rsidR="00130FDC" w:rsidRPr="00846769" w:rsidRDefault="00130FDC" w:rsidP="00130FDC">
      <w:pPr>
        <w:pStyle w:val="Heading5"/>
        <w:numPr>
          <w:ilvl w:val="3"/>
          <w:numId w:val="4"/>
        </w:numPr>
      </w:pPr>
      <w:r w:rsidRPr="00846769">
        <w:t>Targeted surveillance</w:t>
      </w:r>
    </w:p>
    <w:p w14:paraId="0C3821DF" w14:textId="6CF3DB13" w:rsidR="00130FDC" w:rsidRPr="00846769" w:rsidRDefault="00986712" w:rsidP="00130FDC">
      <w:r w:rsidRPr="00846769">
        <w:t>Targeted surveillance is undertaken to target specific marine pest species</w:t>
      </w:r>
      <w:r w:rsidR="007242A6" w:rsidRPr="00846769">
        <w:t xml:space="preserve"> or taxa</w:t>
      </w:r>
      <w:r w:rsidRPr="00846769">
        <w:t xml:space="preserve"> at certain locations and times, most of which are marine pest species of concern in a jurisdiction. Targeted surveillance is usually done as part of active surveillance programs</w:t>
      </w:r>
      <w:r w:rsidR="007242A6" w:rsidRPr="00846769">
        <w:t>.</w:t>
      </w:r>
    </w:p>
    <w:p w14:paraId="5F2B75EB" w14:textId="0208BABD" w:rsidR="00986712" w:rsidRPr="00846769" w:rsidRDefault="00986712" w:rsidP="00986712">
      <w:pPr>
        <w:pStyle w:val="Heading5"/>
        <w:numPr>
          <w:ilvl w:val="3"/>
          <w:numId w:val="4"/>
        </w:numPr>
      </w:pPr>
      <w:r w:rsidRPr="00846769">
        <w:t>General surveillance</w:t>
      </w:r>
    </w:p>
    <w:p w14:paraId="3F12B4F4" w14:textId="45CFDB9E" w:rsidR="000E7F70" w:rsidRDefault="000E7F70" w:rsidP="005F61CD">
      <w:r>
        <w:t xml:space="preserve">General </w:t>
      </w:r>
      <w:r w:rsidRPr="00846769">
        <w:t xml:space="preserve">surveillance </w:t>
      </w:r>
      <w:r>
        <w:t xml:space="preserve">(also called passive surveillance) </w:t>
      </w:r>
      <w:r w:rsidRPr="00846769">
        <w:t xml:space="preserve">activities have one or more element(s) of opportunism, on a spectrum ranging from fortuitous </w:t>
      </w:r>
      <w:r w:rsidRPr="00846769">
        <w:rPr>
          <w:i/>
          <w:iCs/>
        </w:rPr>
        <w:t xml:space="preserve">ad hoc </w:t>
      </w:r>
      <w:r w:rsidRPr="00846769">
        <w:t xml:space="preserve">detections to relatively highly structured activities but excludes active surveillance. </w:t>
      </w:r>
      <w:r>
        <w:t>General</w:t>
      </w:r>
      <w:r w:rsidRPr="00846769">
        <w:t xml:space="preserve"> surveillance is observer initiated. An example is a report of a suspected invasive marine bivalve by a member of the public who may be walking along the beach for recreation. </w:t>
      </w:r>
      <w:r>
        <w:t>General</w:t>
      </w:r>
      <w:r w:rsidRPr="00846769">
        <w:t xml:space="preserve"> surveillance is recognise</w:t>
      </w:r>
      <w:r w:rsidRPr="00A841CD">
        <w:t>d as a cost-effective surveillance tool that can be facilitated by community engagement and participation (Kruger, Ticehurst, &amp; Van der Meer Simo 2022).</w:t>
      </w:r>
      <w:r w:rsidRPr="00846769">
        <w:t xml:space="preserve"> </w:t>
      </w:r>
    </w:p>
    <w:p w14:paraId="6B1F4DE3" w14:textId="5CB18943" w:rsidR="00B65E0E" w:rsidRPr="00846769" w:rsidRDefault="00B65E0E" w:rsidP="005F61CD">
      <w:hyperlink r:id="rId166" w:history="1">
        <w:r w:rsidRPr="00E370C6">
          <w:rPr>
            <w:rStyle w:val="Hyperlink"/>
            <w:rFonts w:cstheme="minorHAnsi"/>
          </w:rPr>
          <w:t>Guidelines for General Surveillance Programs</w:t>
        </w:r>
      </w:hyperlink>
      <w:r w:rsidRPr="00D867FF">
        <w:rPr>
          <w:i/>
          <w:iCs/>
          <w:u w:color="0070C0"/>
        </w:rPr>
        <w:t xml:space="preserve"> </w:t>
      </w:r>
      <w:r>
        <w:rPr>
          <w:u w:color="0070C0"/>
        </w:rPr>
        <w:t xml:space="preserve">relevant to all biosecurity sectors </w:t>
      </w:r>
      <w:r w:rsidRPr="00D867FF">
        <w:t xml:space="preserve">have been developed </w:t>
      </w:r>
      <w:r w:rsidRPr="00262F99">
        <w:t xml:space="preserve">to help program coordinators, </w:t>
      </w:r>
      <w:proofErr w:type="gramStart"/>
      <w:r w:rsidRPr="00262F99">
        <w:t>policy-makers</w:t>
      </w:r>
      <w:proofErr w:type="gramEnd"/>
      <w:r w:rsidRPr="00262F99">
        <w:t>, funders</w:t>
      </w:r>
      <w:r>
        <w:t>,</w:t>
      </w:r>
      <w:r w:rsidRPr="00262F99">
        <w:t xml:space="preserve"> and those who monitor and evaluate general surveillance programs to understand the key considerations for designing, planning</w:t>
      </w:r>
      <w:r>
        <w:t>,</w:t>
      </w:r>
      <w:r w:rsidRPr="00262F99">
        <w:t xml:space="preserve"> and implementing such programs.</w:t>
      </w:r>
      <w:r w:rsidRPr="00D867FF">
        <w:t xml:space="preserve"> </w:t>
      </w:r>
    </w:p>
    <w:p w14:paraId="48741EDA" w14:textId="3AA7C9C0" w:rsidR="007A132C" w:rsidRPr="00846769" w:rsidRDefault="007A132C" w:rsidP="007A132C">
      <w:pPr>
        <w:pStyle w:val="Heading4"/>
        <w:numPr>
          <w:ilvl w:val="2"/>
          <w:numId w:val="4"/>
        </w:numPr>
      </w:pPr>
      <w:r w:rsidRPr="00846769">
        <w:t>When and where to undertake surveillance</w:t>
      </w:r>
    </w:p>
    <w:p w14:paraId="211EE3C6" w14:textId="3B8C5C65" w:rsidR="009A781F" w:rsidRPr="00846769" w:rsidRDefault="009A781F" w:rsidP="007A132C">
      <w:pPr>
        <w:pStyle w:val="ListBullet"/>
        <w:numPr>
          <w:ilvl w:val="0"/>
          <w:numId w:val="0"/>
        </w:numPr>
      </w:pPr>
      <w:r w:rsidRPr="00846769">
        <w:t xml:space="preserve">The number of surveillance activities </w:t>
      </w:r>
      <w:r w:rsidR="00754562" w:rsidRPr="00846769">
        <w:t>undertaken vary depending</w:t>
      </w:r>
      <w:r w:rsidRPr="00846769">
        <w:t xml:space="preserve"> on the surveillance program, but usually two to four surveillance activities are undertaken each year at set locations</w:t>
      </w:r>
      <w:r w:rsidR="00044ADE" w:rsidRPr="00846769">
        <w:t xml:space="preserve"> to help capture seasonal variances</w:t>
      </w:r>
      <w:r w:rsidRPr="00846769">
        <w:t xml:space="preserve">. </w:t>
      </w:r>
      <w:r w:rsidR="007A132C" w:rsidRPr="00846769">
        <w:t>Surveillance can be done before, during, or after an emergency response to an invasive marine bivalve incursion. During an emergency response, surveillance will usually be paired with delimitation</w:t>
      </w:r>
      <w:r w:rsidRPr="00846769">
        <w:t>, and the frequency of surveillance may increase as a result</w:t>
      </w:r>
      <w:r w:rsidR="007A132C" w:rsidRPr="00846769">
        <w:t xml:space="preserve">. </w:t>
      </w:r>
    </w:p>
    <w:p w14:paraId="1595577E" w14:textId="52291D81" w:rsidR="007A132C" w:rsidRPr="00846769" w:rsidRDefault="007A132C" w:rsidP="007A132C">
      <w:pPr>
        <w:pStyle w:val="ListBullet"/>
        <w:numPr>
          <w:ilvl w:val="0"/>
          <w:numId w:val="0"/>
        </w:numPr>
      </w:pPr>
      <w:r w:rsidRPr="00846769">
        <w:t>Most active surveillance programs will assess high-risk locations such as ports, marinas</w:t>
      </w:r>
      <w:r w:rsidR="009A781F" w:rsidRPr="00846769">
        <w:t>,</w:t>
      </w:r>
      <w:r w:rsidRPr="00846769">
        <w:t xml:space="preserve"> and naval bases, or high value locations with environmental or socio-economic value. </w:t>
      </w:r>
      <w:r w:rsidR="009A781F" w:rsidRPr="00846769">
        <w:t>Targeted s</w:t>
      </w:r>
      <w:r w:rsidRPr="00846769">
        <w:t xml:space="preserve">urveillance </w:t>
      </w:r>
      <w:r w:rsidR="009A781F" w:rsidRPr="00846769">
        <w:t>can also be done by inspecting vessels (</w:t>
      </w:r>
      <w:hyperlink w:anchor="_Vessel_inspection" w:history="1">
        <w:r w:rsidR="009A781F" w:rsidRPr="00846769">
          <w:rPr>
            <w:rStyle w:val="Hyperlink"/>
          </w:rPr>
          <w:t xml:space="preserve">Section </w:t>
        </w:r>
        <w:r w:rsidR="00754562" w:rsidRPr="00846769">
          <w:rPr>
            <w:rStyle w:val="Hyperlink"/>
          </w:rPr>
          <w:t>3.2.1</w:t>
        </w:r>
      </w:hyperlink>
      <w:r w:rsidR="009A781F" w:rsidRPr="00846769">
        <w:t xml:space="preserve">) and </w:t>
      </w:r>
      <w:r w:rsidR="00B65E0E">
        <w:t>marine</w:t>
      </w:r>
      <w:r w:rsidR="00B65E0E" w:rsidRPr="00846769">
        <w:t xml:space="preserve"> </w:t>
      </w:r>
      <w:r w:rsidR="009A781F" w:rsidRPr="00846769">
        <w:t>infrastructure and habitats (</w:t>
      </w:r>
      <w:hyperlink w:anchor="_Inspection_of_submerged" w:history="1">
        <w:r w:rsidR="009A781F" w:rsidRPr="00846769">
          <w:rPr>
            <w:rStyle w:val="Hyperlink"/>
          </w:rPr>
          <w:t xml:space="preserve">Section </w:t>
        </w:r>
        <w:r w:rsidR="00754562" w:rsidRPr="00846769">
          <w:rPr>
            <w:rStyle w:val="Hyperlink"/>
          </w:rPr>
          <w:t>3.2.2</w:t>
        </w:r>
      </w:hyperlink>
      <w:r w:rsidR="009A781F" w:rsidRPr="00846769">
        <w:t>). During an emergency response, additional surveillance locations may be added, which will aid with delimitation.</w:t>
      </w:r>
    </w:p>
    <w:p w14:paraId="04621ED2" w14:textId="6D8E6C8A" w:rsidR="007A132C" w:rsidRPr="00846769" w:rsidRDefault="007A132C" w:rsidP="007A132C">
      <w:pPr>
        <w:pStyle w:val="ListBullet"/>
        <w:numPr>
          <w:ilvl w:val="0"/>
          <w:numId w:val="0"/>
        </w:numPr>
      </w:pPr>
      <w:r w:rsidRPr="00846769">
        <w:lastRenderedPageBreak/>
        <w:t xml:space="preserve">Active surveillance for any invasive marine bivalve in restricted and control areas should continue until the incursion is declared eradicated or until the emergency response is stood down. If a zoning program is implemented, then it will be necessary to have targeted active surveillance for the species outside the restricted and control areas to support declaration of zones free from the </w:t>
      </w:r>
      <w:r w:rsidR="009A781F" w:rsidRPr="00846769">
        <w:t xml:space="preserve">invasive marine bivalve </w:t>
      </w:r>
      <w:r w:rsidRPr="00846769">
        <w:t xml:space="preserve">under surveillance. </w:t>
      </w:r>
    </w:p>
    <w:p w14:paraId="4345076D" w14:textId="53E7C443" w:rsidR="007A132C" w:rsidRPr="00846769" w:rsidRDefault="007A132C" w:rsidP="007A132C">
      <w:pPr>
        <w:pStyle w:val="ListBullet"/>
        <w:numPr>
          <w:ilvl w:val="0"/>
          <w:numId w:val="0"/>
        </w:numPr>
      </w:pPr>
      <w:r w:rsidRPr="00846769">
        <w:t xml:space="preserve">If an invasive marine bivalve is successfully eradicated, ongoing targeted surveillance is still crucial as there is always a risk of re-introduction. If an invasive marine bivalve is deemed non-eradicable and the response transitions to management, monitoring and ongoing surveillance may still be undertaken for a target species because there may be interest in assessing its impacts, protecting assets, or reducing </w:t>
      </w:r>
      <w:r w:rsidR="00DE49A5">
        <w:t>the risk of further</w:t>
      </w:r>
      <w:r w:rsidRPr="00846769">
        <w:t xml:space="preserve"> spread.</w:t>
      </w:r>
    </w:p>
    <w:p w14:paraId="79F69940" w14:textId="3EB32B2A" w:rsidR="007A132C" w:rsidRPr="00846769" w:rsidRDefault="00B65E0E" w:rsidP="00044ADE">
      <w:pPr>
        <w:pStyle w:val="ListBullet"/>
        <w:numPr>
          <w:ilvl w:val="0"/>
          <w:numId w:val="0"/>
        </w:numPr>
      </w:pPr>
      <w:r>
        <w:t>G</w:t>
      </w:r>
      <w:r w:rsidR="005C572F" w:rsidRPr="00846769">
        <w:t xml:space="preserve">eneral </w:t>
      </w:r>
      <w:r w:rsidR="009A781F" w:rsidRPr="00846769">
        <w:t>surveillance activities are most beneficial when observer groups have increased awareness and education on marine pests, including pest identification and reporting mechanisms.</w:t>
      </w:r>
      <w:r w:rsidR="00044ADE" w:rsidRPr="00846769">
        <w:t xml:space="preserve"> Awareness campaigns and tailored educational materials can be developed to assist observer groups with undertaking </w:t>
      </w:r>
      <w:r>
        <w:t>general</w:t>
      </w:r>
      <w:r w:rsidRPr="00846769">
        <w:t xml:space="preserve"> </w:t>
      </w:r>
      <w:r w:rsidR="00044ADE" w:rsidRPr="00846769">
        <w:t xml:space="preserve">surveillance activities. </w:t>
      </w:r>
    </w:p>
    <w:p w14:paraId="712BE75F" w14:textId="22E27CCB" w:rsidR="00F03A5E" w:rsidRPr="00846769" w:rsidRDefault="00F03A5E" w:rsidP="00F03A5E">
      <w:pPr>
        <w:pStyle w:val="Heading3"/>
        <w:numPr>
          <w:ilvl w:val="1"/>
          <w:numId w:val="4"/>
        </w:numPr>
      </w:pPr>
      <w:bookmarkStart w:id="444" w:name="_Methods_for_delimitation,"/>
      <w:bookmarkStart w:id="445" w:name="_Toc191998668"/>
      <w:bookmarkEnd w:id="444"/>
      <w:r w:rsidRPr="00846769">
        <w:t xml:space="preserve">Methods for </w:t>
      </w:r>
      <w:r w:rsidR="00531E10">
        <w:t>surveillance and delimitation</w:t>
      </w:r>
      <w:bookmarkEnd w:id="445"/>
    </w:p>
    <w:p w14:paraId="2037C4C7" w14:textId="1E0D4B2E" w:rsidR="009C53A0" w:rsidRPr="006966B1" w:rsidRDefault="00F03A5E" w:rsidP="00F03A5E">
      <w:pPr>
        <w:rPr>
          <w:rFonts w:cstheme="minorHAnsi"/>
        </w:rPr>
      </w:pPr>
      <w:r w:rsidRPr="00846769">
        <w:t xml:space="preserve">This section provides an overview of the main methods used for the </w:t>
      </w:r>
      <w:r w:rsidR="003629D4" w:rsidRPr="00846769">
        <w:t xml:space="preserve">surveillance, </w:t>
      </w:r>
      <w:r w:rsidR="000E7F70">
        <w:t xml:space="preserve">including for delimitation, </w:t>
      </w:r>
      <w:r w:rsidRPr="00846769">
        <w:t>of invasive marine bivalves.</w:t>
      </w:r>
      <w:bookmarkStart w:id="446" w:name="_Hlk170772352"/>
      <w:r w:rsidR="00D47AFA" w:rsidRPr="00846769">
        <w:t xml:space="preserve"> </w:t>
      </w:r>
      <w:r w:rsidRPr="00846769">
        <w:rPr>
          <w:rFonts w:cstheme="minorHAnsi"/>
        </w:rPr>
        <w:t xml:space="preserve">The </w:t>
      </w:r>
      <w:hyperlink r:id="rId167" w:history="1">
        <w:r w:rsidRPr="00846769">
          <w:rPr>
            <w:rStyle w:val="Hyperlink"/>
            <w:rFonts w:cstheme="minorHAnsi"/>
          </w:rPr>
          <w:t>Australian marine pest monitoring manual and guidelines</w:t>
        </w:r>
      </w:hyperlink>
      <w:r w:rsidRPr="00846769">
        <w:rPr>
          <w:rFonts w:cstheme="minorHAnsi"/>
        </w:rPr>
        <w:t xml:space="preserve"> can be used to help determine quality assurance and control, and appropriate sampling intensity</w:t>
      </w:r>
      <w:r w:rsidR="00D47AFA" w:rsidRPr="00846769">
        <w:rPr>
          <w:rFonts w:cstheme="minorHAnsi"/>
        </w:rPr>
        <w:t>, for surveying invasive marine bivalves</w:t>
      </w:r>
      <w:r w:rsidR="00A13992" w:rsidRPr="00846769">
        <w:rPr>
          <w:rFonts w:cstheme="minorHAnsi"/>
        </w:rPr>
        <w:t xml:space="preserve"> using these methods</w:t>
      </w:r>
      <w:r w:rsidRPr="00846769">
        <w:rPr>
          <w:rFonts w:cstheme="minorHAnsi"/>
        </w:rPr>
        <w:t>.</w:t>
      </w:r>
      <w:r w:rsidR="006966B1">
        <w:rPr>
          <w:rFonts w:cstheme="minorHAnsi"/>
        </w:rPr>
        <w:t xml:space="preserve"> Surveillance methods should account for s</w:t>
      </w:r>
      <w:r w:rsidR="009C53A0" w:rsidRPr="003B6D4D">
        <w:rPr>
          <w:rFonts w:cstheme="minorHAnsi"/>
        </w:rPr>
        <w:t>easonal variation in population recruitment</w:t>
      </w:r>
      <w:r w:rsidR="006966B1">
        <w:rPr>
          <w:rFonts w:cstheme="minorHAnsi"/>
        </w:rPr>
        <w:t xml:space="preserve"> or population size</w:t>
      </w:r>
      <w:r w:rsidR="00B24D2C">
        <w:rPr>
          <w:rFonts w:cstheme="minorHAnsi"/>
        </w:rPr>
        <w:t xml:space="preserve"> which may make detection by some surveillance methods more difficult.</w:t>
      </w:r>
    </w:p>
    <w:p w14:paraId="077FE2AC" w14:textId="7F09E292" w:rsidR="00F03A5E" w:rsidRPr="00846769" w:rsidRDefault="00F03A5E" w:rsidP="00F03A5E">
      <w:pPr>
        <w:pStyle w:val="Heading4"/>
        <w:numPr>
          <w:ilvl w:val="2"/>
          <w:numId w:val="4"/>
        </w:numPr>
      </w:pPr>
      <w:bookmarkStart w:id="447" w:name="_Molecular_detection_and"/>
      <w:bookmarkEnd w:id="446"/>
      <w:bookmarkEnd w:id="447"/>
      <w:r w:rsidRPr="00846769">
        <w:t xml:space="preserve">Molecular </w:t>
      </w:r>
      <w:r w:rsidR="00A66320">
        <w:t>diagnostics and surveillanc</w:t>
      </w:r>
      <w:r w:rsidR="00B24D2C">
        <w:t>e</w:t>
      </w:r>
    </w:p>
    <w:p w14:paraId="5AEE3BF0" w14:textId="4161A939" w:rsidR="00754562" w:rsidRPr="00846769" w:rsidRDefault="00F03A5E" w:rsidP="00F03A5E">
      <w:bookmarkStart w:id="448" w:name="_Hlk170772601"/>
      <w:r w:rsidRPr="00846769">
        <w:t xml:space="preserve">Molecular </w:t>
      </w:r>
      <w:r w:rsidR="00A66320">
        <w:t xml:space="preserve">diagnostics and surveillance </w:t>
      </w:r>
      <w:r w:rsidRPr="00846769">
        <w:t xml:space="preserve">can be rapid and cost-effective tools for the surveillance </w:t>
      </w:r>
      <w:r w:rsidR="009C53A0">
        <w:t xml:space="preserve">and identification </w:t>
      </w:r>
      <w:r w:rsidRPr="00846769">
        <w:t xml:space="preserve">of invasive marine bivalves. </w:t>
      </w:r>
      <w:r w:rsidR="009C53A0">
        <w:t>Molecular surveillance techniques</w:t>
      </w:r>
      <w:r w:rsidRPr="00846769">
        <w:t xml:space="preserve"> are </w:t>
      </w:r>
      <w:r w:rsidR="009C53A0">
        <w:t xml:space="preserve">typically </w:t>
      </w:r>
      <w:r w:rsidRPr="00846769">
        <w:t>highly sensitive and can assist in detecting target species, even at low abundances. Molecular methods can also be used to confirm identification of specimens when morphological identification is difficult or unresolved</w:t>
      </w:r>
      <w:r w:rsidR="00D8446C" w:rsidRPr="00846769">
        <w:t xml:space="preserve">, </w:t>
      </w:r>
      <w:r w:rsidR="00714B15">
        <w:t xml:space="preserve">or to </w:t>
      </w:r>
      <w:r w:rsidR="00D8446C" w:rsidRPr="00846769">
        <w:t xml:space="preserve">assess population genetic structure and </w:t>
      </w:r>
      <w:r w:rsidR="00714B15">
        <w:t>investigate</w:t>
      </w:r>
      <w:r w:rsidR="009C53A0" w:rsidRPr="00846769">
        <w:t xml:space="preserve"> </w:t>
      </w:r>
      <w:r w:rsidR="00D8446C" w:rsidRPr="00846769">
        <w:t>potential source populations</w:t>
      </w:r>
      <w:r w:rsidRPr="00846769">
        <w:t xml:space="preserve">. </w:t>
      </w:r>
    </w:p>
    <w:p w14:paraId="50278F2A" w14:textId="4A1038F8" w:rsidR="00F03A5E" w:rsidRPr="00846769" w:rsidRDefault="00F03A5E" w:rsidP="00F03A5E">
      <w:r w:rsidRPr="00846769">
        <w:t xml:space="preserve">For molecular </w:t>
      </w:r>
      <w:r w:rsidR="00A66320">
        <w:t>methods</w:t>
      </w:r>
      <w:r w:rsidR="00A66320" w:rsidRPr="00846769">
        <w:t xml:space="preserve"> </w:t>
      </w:r>
      <w:r w:rsidRPr="00846769">
        <w:t xml:space="preserve">to effectively support marine pest management, </w:t>
      </w:r>
      <w:r w:rsidR="009C53A0">
        <w:t xml:space="preserve">marker/DNA probe selection, </w:t>
      </w:r>
      <w:r w:rsidRPr="00846769">
        <w:t>assay validation, sampling procedures, and</w:t>
      </w:r>
      <w:r w:rsidR="009C53A0">
        <w:t xml:space="preserve"> approaches for</w:t>
      </w:r>
      <w:r w:rsidRPr="00846769">
        <w:t xml:space="preserve"> interpretation of molecular results should be considered. A range of tools and resources exist to support molecular </w:t>
      </w:r>
      <w:r w:rsidR="00A83B7F">
        <w:t>diagnostics</w:t>
      </w:r>
      <w:r w:rsidR="003B253F">
        <w:t xml:space="preserve"> and surveillance</w:t>
      </w:r>
      <w:r w:rsidR="00A83B7F">
        <w:t xml:space="preserve"> </w:t>
      </w:r>
      <w:r w:rsidRPr="00846769">
        <w:t>and are referenced throughout this section.</w:t>
      </w:r>
    </w:p>
    <w:p w14:paraId="61121DEB" w14:textId="77777777" w:rsidR="009C53A0" w:rsidRPr="00846769" w:rsidRDefault="009C53A0" w:rsidP="009C53A0">
      <w:pPr>
        <w:pStyle w:val="Heading5"/>
        <w:numPr>
          <w:ilvl w:val="3"/>
          <w:numId w:val="4"/>
        </w:numPr>
        <w:rPr>
          <w:rStyle w:val="Heading6Char"/>
          <w:rFonts w:asciiTheme="minorHAnsi" w:hAnsiTheme="minorHAnsi"/>
          <w:b/>
          <w:color w:val="auto"/>
        </w:rPr>
      </w:pPr>
      <w:bookmarkStart w:id="449" w:name="_Species_identification_and"/>
      <w:bookmarkStart w:id="450" w:name="_Ref168584135"/>
      <w:bookmarkStart w:id="451" w:name="_Hlk170772702"/>
      <w:bookmarkEnd w:id="448"/>
      <w:bookmarkEnd w:id="449"/>
      <w:r w:rsidRPr="00846769">
        <w:rPr>
          <w:rStyle w:val="Heading6Char"/>
          <w:rFonts w:eastAsiaTheme="minorHAnsi" w:cstheme="minorBidi"/>
          <w:b/>
          <w:color w:val="auto"/>
        </w:rPr>
        <w:t>Species identification and confirmation</w:t>
      </w:r>
    </w:p>
    <w:bookmarkEnd w:id="450"/>
    <w:bookmarkEnd w:id="451"/>
    <w:p w14:paraId="7B39426D" w14:textId="2E96CEFB" w:rsidR="00F03A5E" w:rsidRPr="00846769" w:rsidRDefault="00A57723" w:rsidP="00F03A5E">
      <w:r w:rsidRPr="00846769">
        <w:rPr>
          <w:rFonts w:ascii="Calibri" w:hAnsi="Calibri"/>
        </w:rPr>
        <w:t xml:space="preserve">Invasive </w:t>
      </w:r>
      <w:r w:rsidR="00F03A5E" w:rsidRPr="00846769">
        <w:rPr>
          <w:rFonts w:ascii="Calibri" w:hAnsi="Calibri"/>
        </w:rPr>
        <w:t>marine bivalves can be physically collected for molecular analysis, with the main methods of sampling being physical removal of bivalves from underwater structures</w:t>
      </w:r>
      <w:r w:rsidR="007F61E7">
        <w:rPr>
          <w:rFonts w:ascii="Calibri" w:hAnsi="Calibri"/>
        </w:rPr>
        <w:t xml:space="preserve"> and vessels</w:t>
      </w:r>
      <w:r w:rsidR="00F03A5E" w:rsidRPr="00846769">
        <w:rPr>
          <w:rFonts w:ascii="Calibri" w:hAnsi="Calibri"/>
        </w:rPr>
        <w:t xml:space="preserve"> by divers, or removal from intertidal structures during visual searches and on-land inspections. Bivalves growing on settlement plates may also be scraped off and later preserved (</w:t>
      </w:r>
      <w:hyperlink w:anchor="_Appendix_E:_Settlement" w:history="1">
        <w:r w:rsidR="00F03A5E" w:rsidRPr="00846769">
          <w:rPr>
            <w:rStyle w:val="Hyperlink"/>
            <w:rFonts w:ascii="Calibri" w:hAnsi="Calibri"/>
          </w:rPr>
          <w:t xml:space="preserve">see Appendix </w:t>
        </w:r>
        <w:r w:rsidR="00754562" w:rsidRPr="00846769">
          <w:rPr>
            <w:rStyle w:val="Hyperlink"/>
            <w:rFonts w:ascii="Calibri" w:hAnsi="Calibri"/>
          </w:rPr>
          <w:t>E</w:t>
        </w:r>
      </w:hyperlink>
      <w:r w:rsidR="00F03A5E" w:rsidRPr="00846769">
        <w:rPr>
          <w:rFonts w:ascii="Calibri" w:hAnsi="Calibri"/>
        </w:rPr>
        <w:t xml:space="preserve">). For microscopic material, such as bivalve gametes, larvae, or shed DNA, plankton tows </w:t>
      </w:r>
      <w:r w:rsidR="00DE49A5">
        <w:rPr>
          <w:rFonts w:ascii="Calibri" w:hAnsi="Calibri"/>
        </w:rPr>
        <w:t>or</w:t>
      </w:r>
      <w:r w:rsidR="00DE49A5" w:rsidRPr="00846769">
        <w:rPr>
          <w:rFonts w:ascii="Calibri" w:hAnsi="Calibri"/>
        </w:rPr>
        <w:t xml:space="preserve"> </w:t>
      </w:r>
      <w:r w:rsidR="00F03A5E" w:rsidRPr="00846769">
        <w:rPr>
          <w:rFonts w:ascii="Calibri" w:hAnsi="Calibri"/>
        </w:rPr>
        <w:t>filtered water samples can be used (</w:t>
      </w:r>
      <w:hyperlink w:anchor="_Appendix_F:_Using" w:history="1">
        <w:r w:rsidR="00F03A5E" w:rsidRPr="00846769">
          <w:rPr>
            <w:rStyle w:val="Hyperlink"/>
            <w:rFonts w:ascii="Calibri" w:hAnsi="Calibri"/>
          </w:rPr>
          <w:t xml:space="preserve">see Appendix </w:t>
        </w:r>
        <w:r w:rsidR="00754562" w:rsidRPr="00846769">
          <w:rPr>
            <w:rStyle w:val="Hyperlink"/>
            <w:rFonts w:ascii="Calibri" w:hAnsi="Calibri"/>
          </w:rPr>
          <w:t>F</w:t>
        </w:r>
      </w:hyperlink>
      <w:r w:rsidR="00F03A5E" w:rsidRPr="00846769">
        <w:rPr>
          <w:rFonts w:ascii="Calibri" w:hAnsi="Calibri"/>
        </w:rPr>
        <w:t xml:space="preserve">). Preservation of </w:t>
      </w:r>
      <w:r w:rsidR="00287F50">
        <w:rPr>
          <w:rFonts w:ascii="Calibri" w:hAnsi="Calibri"/>
        </w:rPr>
        <w:t xml:space="preserve">bivalves is usually done with </w:t>
      </w:r>
      <w:r w:rsidR="00C53FEB">
        <w:rPr>
          <w:rFonts w:ascii="Calibri" w:hAnsi="Calibri"/>
        </w:rPr>
        <w:t xml:space="preserve">laboratory-grade </w:t>
      </w:r>
      <w:r w:rsidR="00287F50">
        <w:rPr>
          <w:rFonts w:ascii="Calibri" w:hAnsi="Calibri"/>
        </w:rPr>
        <w:t>ethanol</w:t>
      </w:r>
      <w:r w:rsidR="00C53FEB">
        <w:rPr>
          <w:rFonts w:ascii="Calibri" w:hAnsi="Calibri"/>
        </w:rPr>
        <w:t xml:space="preserve"> </w:t>
      </w:r>
      <w:r w:rsidR="00287F50">
        <w:rPr>
          <w:rFonts w:ascii="Calibri" w:hAnsi="Calibri"/>
        </w:rPr>
        <w:t>to allow for molecular testing and morphological analysis</w:t>
      </w:r>
      <w:r w:rsidR="00C53FEB">
        <w:rPr>
          <w:rFonts w:ascii="Calibri" w:hAnsi="Calibri"/>
        </w:rPr>
        <w:t>.</w:t>
      </w:r>
      <w:r w:rsidR="00F03A5E" w:rsidRPr="00846769">
        <w:rPr>
          <w:rFonts w:ascii="Calibri" w:hAnsi="Calibri"/>
        </w:rPr>
        <w:t xml:space="preserve"> </w:t>
      </w:r>
      <w:r w:rsidR="00F03A5E" w:rsidRPr="00846769">
        <w:t xml:space="preserve">Refer to the </w:t>
      </w:r>
      <w:hyperlink r:id="rId168" w:history="1">
        <w:r w:rsidR="00F03A5E" w:rsidRPr="00846769">
          <w:rPr>
            <w:rStyle w:val="Hyperlink"/>
          </w:rPr>
          <w:t>Australian marine pest monitoring manual</w:t>
        </w:r>
      </w:hyperlink>
      <w:r w:rsidR="00F03A5E" w:rsidRPr="00846769">
        <w:t xml:space="preserve"> for details on sample collection, preservation, and processing methods for invasive marine bivalves</w:t>
      </w:r>
      <w:r w:rsidR="007F61E7">
        <w:t xml:space="preserve"> for molecular analysis. </w:t>
      </w:r>
      <w:r w:rsidR="00F03A5E" w:rsidRPr="00846769">
        <w:t xml:space="preserve">  </w:t>
      </w:r>
    </w:p>
    <w:p w14:paraId="798959B6" w14:textId="5A713BA6" w:rsidR="007F61E7" w:rsidRDefault="00A57723" w:rsidP="00F03A5E">
      <w:r>
        <w:lastRenderedPageBreak/>
        <w:t xml:space="preserve">Molecular methods for </w:t>
      </w:r>
      <w:r w:rsidR="003B253F">
        <w:t>bivalve</w:t>
      </w:r>
      <w:r>
        <w:t xml:space="preserve"> </w:t>
      </w:r>
      <w:r w:rsidR="003B253F">
        <w:t xml:space="preserve">detection and </w:t>
      </w:r>
      <w:r>
        <w:t xml:space="preserve">identification </w:t>
      </w:r>
      <w:bookmarkStart w:id="452" w:name="_Hlk188616323"/>
      <w:r>
        <w:t>include species-specific assays</w:t>
      </w:r>
      <w:r w:rsidR="00714B15">
        <w:t xml:space="preserve"> or genetic sequencing approaches</w:t>
      </w:r>
      <w:r>
        <w:t xml:space="preserve">. </w:t>
      </w:r>
      <w:bookmarkEnd w:id="452"/>
      <w:r>
        <w:t>Assays to detect specific species typically use polymerase chain reaction (</w:t>
      </w:r>
      <w:r w:rsidRPr="00846769">
        <w:t>PCR</w:t>
      </w:r>
      <w:r>
        <w:t xml:space="preserve">) with primers designed to amplify DNA of only the target species, thereby returning a detection. </w:t>
      </w:r>
      <w:bookmarkStart w:id="453" w:name="_Hlk188616416"/>
      <w:r>
        <w:t>Fluorescent probe-based assays, either quantitative PCR (qPCR) or droplet digital PCR (</w:t>
      </w:r>
      <w:proofErr w:type="spellStart"/>
      <w:r>
        <w:t>ddPCR</w:t>
      </w:r>
      <w:proofErr w:type="spellEnd"/>
      <w:r>
        <w:t>)</w:t>
      </w:r>
      <w:r w:rsidR="003B253F">
        <w:t xml:space="preserve">, </w:t>
      </w:r>
      <w:r>
        <w:t xml:space="preserve">provide the greatest specificity for detection. </w:t>
      </w:r>
      <w:r w:rsidR="00714B15">
        <w:t xml:space="preserve">Some assays may </w:t>
      </w:r>
      <w:r w:rsidR="00DE49A5">
        <w:t>detect</w:t>
      </w:r>
      <w:r w:rsidR="00714B15">
        <w:t xml:space="preserve"> closely related species in a genus, including native congeners, </w:t>
      </w:r>
      <w:r w:rsidR="00DE49A5">
        <w:t xml:space="preserve">despite being designed to be species-specific. Therefore, the level of validation of an assay, including to what extent species-specificity has been established, </w:t>
      </w:r>
      <w:r w:rsidR="00714B15">
        <w:t xml:space="preserve">should be considered. </w:t>
      </w:r>
      <w:bookmarkEnd w:id="453"/>
    </w:p>
    <w:p w14:paraId="0A0E41E5" w14:textId="41401247" w:rsidR="002324AA" w:rsidRPr="00846769" w:rsidRDefault="00A57723" w:rsidP="00F03A5E">
      <w:r>
        <w:t xml:space="preserve">Where a species-specific assay is not available, or to supplement assay results, </w:t>
      </w:r>
      <w:r w:rsidR="007F61E7">
        <w:t xml:space="preserve">genetic </w:t>
      </w:r>
      <w:r>
        <w:t>sequencing approaches can be used. Sequencing</w:t>
      </w:r>
      <w:r w:rsidR="00F03A5E" w:rsidRPr="00846769">
        <w:t xml:space="preserve"> of partial genes using short-range </w:t>
      </w:r>
      <w:r w:rsidR="00754562" w:rsidRPr="00846769">
        <w:t>PCR</w:t>
      </w:r>
      <w:r w:rsidR="00F03A5E" w:rsidRPr="00846769">
        <w:t xml:space="preserve"> amplification and Sanger sequencing</w:t>
      </w:r>
      <w:r w:rsidR="007F61E7">
        <w:t>, often called ‘DNA barcoding’</w:t>
      </w:r>
      <w:r w:rsidR="00DE49A5">
        <w:t>, is usually sufficient to identify invasive species with high reliability</w:t>
      </w:r>
      <w:r w:rsidR="007F61E7">
        <w:t>.</w:t>
      </w:r>
      <w:r w:rsidR="00F03A5E" w:rsidRPr="00846769">
        <w:t xml:space="preserve"> </w:t>
      </w:r>
      <w:r>
        <w:t>It is</w:t>
      </w:r>
      <w:r w:rsidR="00F03A5E" w:rsidRPr="00846769">
        <w:t xml:space="preserve"> recommended to amplify high-copy genes, such as </w:t>
      </w:r>
      <w:r w:rsidR="00E36869" w:rsidRPr="00846769">
        <w:t xml:space="preserve">the </w:t>
      </w:r>
      <w:r w:rsidR="00F03A5E" w:rsidRPr="00846769">
        <w:t>mitochondrial cytochrome c oxidase subunit I (COI)</w:t>
      </w:r>
      <w:r w:rsidR="00E36869" w:rsidRPr="00846769">
        <w:t xml:space="preserve"> gene, </w:t>
      </w:r>
      <w:r w:rsidR="00F03A5E" w:rsidRPr="00846769">
        <w:t>or a region of the nuclear ribosomal DNA</w:t>
      </w:r>
      <w:r w:rsidR="00E36869" w:rsidRPr="00846769">
        <w:t xml:space="preserve"> (such as 1</w:t>
      </w:r>
      <w:r>
        <w:t>8</w:t>
      </w:r>
      <w:r w:rsidR="00E36869" w:rsidRPr="00846769">
        <w:t>S rRNA)</w:t>
      </w:r>
      <w:r>
        <w:t>, however, the most important consideration is that the gene region chosen provides adequate species delineation for the taxon of interest</w:t>
      </w:r>
      <w:r w:rsidR="00F03A5E" w:rsidRPr="00846769">
        <w:t xml:space="preserve">. After quality control, DNA sequences generated can be aligned with reference sequences in databases such as </w:t>
      </w:r>
      <w:hyperlink r:id="rId169" w:history="1">
        <w:r w:rsidR="00C53FEB" w:rsidRPr="00846769">
          <w:rPr>
            <w:rStyle w:val="Hyperlink"/>
          </w:rPr>
          <w:t>NCBI GenBank</w:t>
        </w:r>
      </w:hyperlink>
      <w:r w:rsidR="00C53FEB">
        <w:t xml:space="preserve"> and </w:t>
      </w:r>
      <w:hyperlink r:id="rId170" w:history="1">
        <w:r w:rsidR="00C53FEB" w:rsidRPr="00A804C4">
          <w:rPr>
            <w:rStyle w:val="Hyperlink"/>
          </w:rPr>
          <w:t>BOLD</w:t>
        </w:r>
      </w:hyperlink>
      <w:r w:rsidR="00F03A5E" w:rsidRPr="00846769">
        <w:t xml:space="preserve">, revealing the most likely identity of the sampled bivalve. </w:t>
      </w:r>
      <w:r w:rsidR="002534DB" w:rsidRPr="00846769">
        <w:t>The process of routinely sequencing samples for a consistent set of genes, and adding sequences to reference databases, is commonly referred to as ‘</w:t>
      </w:r>
      <w:r w:rsidR="002534DB" w:rsidRPr="00EE4347">
        <w:t xml:space="preserve">DNA </w:t>
      </w:r>
      <w:r w:rsidR="002534DB" w:rsidRPr="00846769">
        <w:t>barcoding’.</w:t>
      </w:r>
    </w:p>
    <w:p w14:paraId="49893141" w14:textId="5B6563C6" w:rsidR="00F03A5E" w:rsidRPr="005749EA" w:rsidRDefault="00F03A5E" w:rsidP="00F03A5E">
      <w:r w:rsidRPr="00846769">
        <w:t xml:space="preserve">While many invasive taxa have been sequenced worldwide, it should be noted many species are </w:t>
      </w:r>
      <w:r w:rsidRPr="005749EA">
        <w:t xml:space="preserve">underrepresented in databases and </w:t>
      </w:r>
      <w:r w:rsidR="00754562" w:rsidRPr="005749EA">
        <w:t>some genetic lineages of bivalves are</w:t>
      </w:r>
      <w:r w:rsidRPr="005749EA">
        <w:t xml:space="preserve"> taxonomically undescribed </w:t>
      </w:r>
      <w:r w:rsidRPr="005749EA">
        <w:rPr>
          <w:rFonts w:ascii="Calibri" w:hAnsi="Calibri"/>
        </w:rPr>
        <w:fldChar w:fldCharType="begin">
          <w:fldData xml:space="preserve">PEVuZE5vdGU+PENpdGU+PEF1dGhvcj5aaGFuPC9BdXRob3I+PFllYXI+MjAxNTwvWWVhcj48UmVj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</w:fldData>
        </w:fldChar>
      </w:r>
      <w:r w:rsidRPr="005749EA">
        <w:rPr>
          <w:rFonts w:ascii="Calibri" w:hAnsi="Calibri"/>
        </w:rPr>
        <w:instrText xml:space="preserve"> ADDIN EN.CITE </w:instrText>
      </w:r>
      <w:r w:rsidRPr="005749EA">
        <w:rPr>
          <w:rFonts w:ascii="Calibri" w:hAnsi="Calibri"/>
        </w:rPr>
        <w:fldChar w:fldCharType="begin">
          <w:fldData xml:space="preserve">PEVuZE5vdGU+PENpdGU+PEF1dGhvcj5aaGFuPC9BdXRob3I+PFllYXI+MjAxNTwvWWVhcj48UmVj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</w:fldData>
        </w:fldChar>
      </w:r>
      <w:r w:rsidRPr="005749EA">
        <w:rPr>
          <w:rFonts w:ascii="Calibri" w:hAnsi="Calibri"/>
        </w:rPr>
        <w:instrText xml:space="preserve"> ADDIN EN.CITE.DATA </w:instrText>
      </w:r>
      <w:r w:rsidRPr="005749EA">
        <w:rPr>
          <w:rFonts w:ascii="Calibri" w:hAnsi="Calibri"/>
        </w:rPr>
      </w:r>
      <w:r w:rsidRPr="005749EA">
        <w:rPr>
          <w:rFonts w:ascii="Calibri" w:hAnsi="Calibri"/>
        </w:rPr>
        <w:fldChar w:fldCharType="end"/>
      </w:r>
      <w:r w:rsidRPr="005749EA">
        <w:rPr>
          <w:rFonts w:ascii="Calibri" w:hAnsi="Calibri"/>
        </w:rPr>
      </w:r>
      <w:r w:rsidRPr="005749EA">
        <w:rPr>
          <w:rFonts w:ascii="Calibri" w:hAnsi="Calibri"/>
        </w:rPr>
        <w:fldChar w:fldCharType="separate"/>
      </w:r>
      <w:r w:rsidRPr="005749EA">
        <w:rPr>
          <w:rFonts w:ascii="Calibri" w:hAnsi="Calibri"/>
        </w:rPr>
        <w:t>(Westfall et al. 2020)</w:t>
      </w:r>
      <w:r w:rsidRPr="005749EA">
        <w:rPr>
          <w:rFonts w:ascii="Calibri" w:hAnsi="Calibri"/>
        </w:rPr>
        <w:fldChar w:fldCharType="end"/>
      </w:r>
      <w:r w:rsidRPr="005749EA">
        <w:t xml:space="preserve">. Likewise, metadata for sequences are often poorly maintained in sequence databases, which can result in misclassification – as reported for </w:t>
      </w:r>
      <w:r w:rsidRPr="005749EA">
        <w:rPr>
          <w:i/>
          <w:iCs/>
        </w:rPr>
        <w:t xml:space="preserve">Magallana </w:t>
      </w:r>
      <w:r w:rsidRPr="005749EA">
        <w:t>spp. sequences on GenBank (Sigwart, Wong &amp; Esa 2021).</w:t>
      </w:r>
      <w:r w:rsidRPr="005749EA">
        <w:rPr>
          <w:i/>
          <w:iCs/>
        </w:rPr>
        <w:t xml:space="preserve"> </w:t>
      </w:r>
      <w:r w:rsidRPr="005749EA">
        <w:t xml:space="preserve">Investigators should therefore be cautious when interpreting </w:t>
      </w:r>
      <w:r w:rsidR="008E4211" w:rsidRPr="005749EA">
        <w:t xml:space="preserve">DNA sequencing </w:t>
      </w:r>
      <w:r w:rsidRPr="005749EA">
        <w:t>result</w:t>
      </w:r>
      <w:r w:rsidR="00C53006" w:rsidRPr="005749EA">
        <w:t>s</w:t>
      </w:r>
      <w:r w:rsidRPr="005749EA">
        <w:t xml:space="preserve">. </w:t>
      </w:r>
      <w:r w:rsidR="007F61E7" w:rsidRPr="005749EA">
        <w:t>Where possible,</w:t>
      </w:r>
      <w:r w:rsidRPr="005749EA">
        <w:t xml:space="preserve"> genetic </w:t>
      </w:r>
      <w:r w:rsidR="007F61E7" w:rsidRPr="005749EA">
        <w:t xml:space="preserve">sequencing </w:t>
      </w:r>
      <w:r w:rsidRPr="005749EA">
        <w:t xml:space="preserve">results </w:t>
      </w:r>
      <w:r w:rsidR="007F61E7" w:rsidRPr="005749EA">
        <w:t xml:space="preserve">should be compared </w:t>
      </w:r>
      <w:r w:rsidRPr="005749EA">
        <w:t xml:space="preserve">with morphological findings confirmed from relevant taxonomic experts </w:t>
      </w:r>
      <w:r w:rsidR="007F61E7" w:rsidRPr="005749EA">
        <w:t xml:space="preserve">to </w:t>
      </w:r>
      <w:r w:rsidRPr="005749EA">
        <w:t>check the origin and reliability of best-matching sequences in reference databases.</w:t>
      </w:r>
    </w:p>
    <w:p w14:paraId="6EFAAC61" w14:textId="6736BFC8" w:rsidR="002324AA" w:rsidRPr="005749EA" w:rsidRDefault="002324AA" w:rsidP="00F03A5E">
      <w:bookmarkStart w:id="454" w:name="_Hlk188616869"/>
      <w:r w:rsidRPr="005749EA">
        <w:t xml:space="preserve">Genetic sequencing or species-specific assays can be performed by diagnostic laboratories (either publicly or privately owned), universities, museums, research institutions, and some consultancies. Molecular identity can be paired with </w:t>
      </w:r>
      <w:r w:rsidR="00DE49A5">
        <w:t xml:space="preserve">examination by </w:t>
      </w:r>
      <w:r w:rsidRPr="005749EA">
        <w:t xml:space="preserve">mollusc taxonomic experts who can assess species identity through bivalve shell morphology. Most </w:t>
      </w:r>
      <w:r w:rsidR="002534DB" w:rsidRPr="005749EA">
        <w:t xml:space="preserve">Australian </w:t>
      </w:r>
      <w:r w:rsidRPr="005749EA">
        <w:t xml:space="preserve">biosecurity agencies have contact information for </w:t>
      </w:r>
      <w:r w:rsidR="002534DB" w:rsidRPr="005749EA">
        <w:t>molecular</w:t>
      </w:r>
      <w:r w:rsidRPr="005749EA">
        <w:t xml:space="preserve"> and diagnostic laboratories, in addition to taxonomic expert</w:t>
      </w:r>
      <w:r w:rsidR="002534DB" w:rsidRPr="005749EA">
        <w:t>ise,</w:t>
      </w:r>
      <w:r w:rsidRPr="005749EA">
        <w:t xml:space="preserve"> to assist with confirming species identity during a marine pest incursion. </w:t>
      </w:r>
    </w:p>
    <w:bookmarkEnd w:id="454"/>
    <w:p w14:paraId="1F4CDA28" w14:textId="1615310E" w:rsidR="000A2E95" w:rsidRPr="005749EA" w:rsidRDefault="00714B15" w:rsidP="00A04E26">
      <w:pPr>
        <w:pStyle w:val="Heading5"/>
        <w:numPr>
          <w:ilvl w:val="3"/>
          <w:numId w:val="4"/>
        </w:numPr>
      </w:pPr>
      <w:r w:rsidRPr="005749EA">
        <w:rPr>
          <w:rStyle w:val="Heading6Char"/>
          <w:rFonts w:eastAsiaTheme="minorHAnsi" w:cstheme="minorBidi"/>
          <w:b/>
          <w:color w:val="auto"/>
        </w:rPr>
        <w:t xml:space="preserve">Molecular </w:t>
      </w:r>
      <w:r w:rsidR="00F03A5E" w:rsidRPr="005749EA">
        <w:rPr>
          <w:rStyle w:val="Heading6Char"/>
          <w:rFonts w:eastAsiaTheme="minorHAnsi" w:cstheme="minorBidi"/>
          <w:b/>
          <w:color w:val="auto"/>
        </w:rPr>
        <w:t>delimitation</w:t>
      </w:r>
      <w:r w:rsidRPr="005749EA">
        <w:rPr>
          <w:rStyle w:val="Heading6Char"/>
          <w:rFonts w:eastAsiaTheme="minorHAnsi" w:cstheme="minorBidi"/>
          <w:b/>
          <w:color w:val="auto"/>
        </w:rPr>
        <w:t xml:space="preserve"> and surveillance</w:t>
      </w:r>
    </w:p>
    <w:p w14:paraId="288C09D2" w14:textId="1938F7BD" w:rsidR="000A2E95" w:rsidRPr="00A04E26" w:rsidRDefault="000A2E95" w:rsidP="00A04E26">
      <w:r w:rsidRPr="005749EA">
        <w:t xml:space="preserve">Molecular methods </w:t>
      </w:r>
      <w:r w:rsidR="00AA64D7" w:rsidRPr="005749EA">
        <w:t>are used for delimitation and surveillance by</w:t>
      </w:r>
      <w:r w:rsidRPr="005749EA">
        <w:t xml:space="preserve"> </w:t>
      </w:r>
      <w:r w:rsidR="00AA64D7" w:rsidRPr="005749EA">
        <w:t>testing</w:t>
      </w:r>
      <w:r w:rsidRPr="005749EA">
        <w:t xml:space="preserve"> environmental samples (e.g. water samples</w:t>
      </w:r>
      <w:r w:rsidR="00A93159" w:rsidRPr="005749EA">
        <w:t xml:space="preserve"> or plankton samples</w:t>
      </w:r>
      <w:r w:rsidRPr="005749EA">
        <w:t xml:space="preserve">) collected </w:t>
      </w:r>
      <w:r w:rsidR="00A93159" w:rsidRPr="005749EA">
        <w:t>from a defined</w:t>
      </w:r>
      <w:r w:rsidRPr="005749EA">
        <w:t xml:space="preserve"> area to identify the spatial boundaries of an incursion. This in turn, can assist in the prioritisation of approaches for containment, eradication, and control of bivalve populations. An invasive marine bivalve may be present at low population densities and have a heterogenous distribution, which can increase the time and resources required to undertake comprehensive delimitation, however, molecular methods are well-suited to this purpose due to their high sensitivity and low cost (Bott et al. 2010; Darling &amp; Mahon 2011; Darling et al. 2017; Darling &amp; Frederick 2018; Goldberg et al. 2016; Hauser et al. 2016; </w:t>
      </w:r>
      <w:proofErr w:type="spellStart"/>
      <w:r w:rsidRPr="005749EA">
        <w:t>Trebitz</w:t>
      </w:r>
      <w:proofErr w:type="spellEnd"/>
      <w:r w:rsidRPr="005749EA">
        <w:t xml:space="preserve"> et al. 2017; </w:t>
      </w:r>
      <w:proofErr w:type="spellStart"/>
      <w:r w:rsidRPr="005749EA">
        <w:t>Zaiko</w:t>
      </w:r>
      <w:proofErr w:type="spellEnd"/>
      <w:r w:rsidRPr="005749EA">
        <w:t xml:space="preserve"> et al. 2018). </w:t>
      </w:r>
      <w:r w:rsidR="00D53CB8" w:rsidRPr="005749EA">
        <w:t>Molecular</w:t>
      </w:r>
      <w:r w:rsidR="00D53CB8" w:rsidRPr="00846769">
        <w:t xml:space="preserve"> methods are also useful </w:t>
      </w:r>
      <w:r w:rsidR="00D53CB8">
        <w:t xml:space="preserve">for surveillance </w:t>
      </w:r>
      <w:r w:rsidR="00D53CB8" w:rsidRPr="00846769">
        <w:t xml:space="preserve">because they can </w:t>
      </w:r>
      <w:r w:rsidR="00D53CB8" w:rsidRPr="00846769">
        <w:lastRenderedPageBreak/>
        <w:t xml:space="preserve">detect life stages that are cryptic or lack diagnostic morphological characteristics, such as eggs </w:t>
      </w:r>
      <w:r w:rsidR="00D53CB8" w:rsidRPr="005749EA">
        <w:t>and larvae</w:t>
      </w:r>
      <w:r w:rsidR="00DE49A5">
        <w:t xml:space="preserve"> </w:t>
      </w:r>
      <w:r w:rsidR="00D53CB8" w:rsidRPr="005749EA">
        <w:t xml:space="preserve">(Darling &amp; Frederick 2018). </w:t>
      </w:r>
    </w:p>
    <w:p w14:paraId="29266D07" w14:textId="438DE709" w:rsidR="00A93159" w:rsidRDefault="00F03A5E" w:rsidP="00A93159">
      <w:pPr>
        <w:rPr>
          <w:rFonts w:ascii="Calibri" w:hAnsi="Calibri"/>
          <w:highlight w:val="yellow"/>
        </w:rPr>
      </w:pPr>
      <w:r w:rsidRPr="00846769">
        <w:rPr>
          <w:rFonts w:ascii="Calibri" w:hAnsi="Calibri"/>
        </w:rPr>
        <w:t>In surveillance</w:t>
      </w:r>
      <w:r w:rsidR="008E4211">
        <w:rPr>
          <w:rFonts w:ascii="Calibri" w:hAnsi="Calibri"/>
        </w:rPr>
        <w:t xml:space="preserve"> and delimitation</w:t>
      </w:r>
      <w:r w:rsidRPr="00846769">
        <w:rPr>
          <w:rFonts w:ascii="Calibri" w:hAnsi="Calibri"/>
        </w:rPr>
        <w:t>, usually one species or taxon will be targeted, therefore</w:t>
      </w:r>
      <w:r w:rsidR="008E4211">
        <w:rPr>
          <w:rFonts w:ascii="Calibri" w:hAnsi="Calibri"/>
        </w:rPr>
        <w:t xml:space="preserve"> species-specific approaches such as qPCR or </w:t>
      </w:r>
      <w:proofErr w:type="spellStart"/>
      <w:r w:rsidR="008E4211">
        <w:rPr>
          <w:rFonts w:ascii="Calibri" w:hAnsi="Calibri"/>
        </w:rPr>
        <w:t>ddPCR</w:t>
      </w:r>
      <w:proofErr w:type="spellEnd"/>
      <w:r w:rsidRPr="00846769">
        <w:rPr>
          <w:rFonts w:ascii="Calibri" w:hAnsi="Calibri"/>
        </w:rPr>
        <w:t xml:space="preserve"> are recommended</w:t>
      </w:r>
      <w:r w:rsidR="008E4211">
        <w:rPr>
          <w:rFonts w:ascii="Calibri" w:hAnsi="Calibri"/>
        </w:rPr>
        <w:t xml:space="preserve"> where available</w:t>
      </w:r>
      <w:r w:rsidRPr="00846769">
        <w:rPr>
          <w:rFonts w:ascii="Calibri" w:hAnsi="Calibri"/>
        </w:rPr>
        <w:t xml:space="preserve">. </w:t>
      </w:r>
      <w:r w:rsidR="008E4211">
        <w:rPr>
          <w:rFonts w:ascii="Calibri" w:hAnsi="Calibri"/>
        </w:rPr>
        <w:t>S</w:t>
      </w:r>
      <w:r w:rsidRPr="00846769">
        <w:rPr>
          <w:rFonts w:ascii="Calibri" w:hAnsi="Calibri"/>
        </w:rPr>
        <w:t>pecies</w:t>
      </w:r>
      <w:r w:rsidR="008E4211">
        <w:rPr>
          <w:rFonts w:ascii="Calibri" w:hAnsi="Calibri"/>
        </w:rPr>
        <w:t>-specific</w:t>
      </w:r>
      <w:r w:rsidRPr="00846769">
        <w:rPr>
          <w:rFonts w:ascii="Calibri" w:hAnsi="Calibri"/>
        </w:rPr>
        <w:t xml:space="preserve"> approaches </w:t>
      </w:r>
      <w:r w:rsidR="008E4211">
        <w:rPr>
          <w:rFonts w:ascii="Calibri" w:hAnsi="Calibri"/>
        </w:rPr>
        <w:t>can</w:t>
      </w:r>
      <w:r w:rsidRPr="00846769">
        <w:rPr>
          <w:rFonts w:ascii="Calibri" w:hAnsi="Calibri"/>
        </w:rPr>
        <w:t xml:space="preserve"> determine the presence or absence of </w:t>
      </w:r>
      <w:r w:rsidR="008E4211">
        <w:rPr>
          <w:rFonts w:ascii="Calibri" w:hAnsi="Calibri"/>
        </w:rPr>
        <w:t xml:space="preserve">the target </w:t>
      </w:r>
      <w:r w:rsidRPr="00846769">
        <w:rPr>
          <w:rFonts w:ascii="Calibri" w:hAnsi="Calibri"/>
        </w:rPr>
        <w:t xml:space="preserve">species in a </w:t>
      </w:r>
      <w:r w:rsidR="008E4211">
        <w:rPr>
          <w:rFonts w:ascii="Calibri" w:hAnsi="Calibri"/>
        </w:rPr>
        <w:t xml:space="preserve">complex </w:t>
      </w:r>
      <w:r w:rsidRPr="00846769">
        <w:rPr>
          <w:rFonts w:ascii="Calibri" w:hAnsi="Calibri"/>
        </w:rPr>
        <w:t>sample</w:t>
      </w:r>
      <w:r w:rsidR="008E4211">
        <w:rPr>
          <w:rFonts w:ascii="Calibri" w:hAnsi="Calibri"/>
        </w:rPr>
        <w:t xml:space="preserve"> containing DNA from multiple species</w:t>
      </w:r>
      <w:r w:rsidRPr="00846769">
        <w:rPr>
          <w:rFonts w:ascii="Calibri" w:hAnsi="Calibri"/>
        </w:rPr>
        <w:t>,</w:t>
      </w:r>
      <w:r w:rsidR="008E4211">
        <w:rPr>
          <w:rFonts w:ascii="Calibri" w:hAnsi="Calibri"/>
        </w:rPr>
        <w:t xml:space="preserve"> with qPCR and </w:t>
      </w:r>
      <w:proofErr w:type="spellStart"/>
      <w:r w:rsidR="008E4211">
        <w:rPr>
          <w:rFonts w:ascii="Calibri" w:hAnsi="Calibri"/>
        </w:rPr>
        <w:t>ddPCR</w:t>
      </w:r>
      <w:proofErr w:type="spellEnd"/>
      <w:r w:rsidR="008E4211">
        <w:rPr>
          <w:rFonts w:ascii="Calibri" w:hAnsi="Calibri"/>
        </w:rPr>
        <w:t xml:space="preserve"> also able to provide data on relative</w:t>
      </w:r>
      <w:r w:rsidRPr="00846769">
        <w:rPr>
          <w:rFonts w:ascii="Calibri" w:hAnsi="Calibri"/>
        </w:rPr>
        <w:t xml:space="preserve"> abundance of the target </w:t>
      </w:r>
      <w:r w:rsidR="008E4211">
        <w:rPr>
          <w:rFonts w:ascii="Calibri" w:hAnsi="Calibri"/>
        </w:rPr>
        <w:t xml:space="preserve">DNA </w:t>
      </w:r>
      <w:r w:rsidRPr="00846769">
        <w:rPr>
          <w:rFonts w:ascii="Calibri" w:hAnsi="Calibri"/>
        </w:rPr>
        <w:t xml:space="preserve">species in a </w:t>
      </w:r>
      <w:r w:rsidRPr="00A93159">
        <w:rPr>
          <w:rFonts w:ascii="Calibri" w:hAnsi="Calibri"/>
        </w:rPr>
        <w:t>sampl</w:t>
      </w:r>
      <w:r w:rsidR="008E4211" w:rsidRPr="00A93159">
        <w:rPr>
          <w:rFonts w:ascii="Calibri" w:hAnsi="Calibri"/>
        </w:rPr>
        <w:t xml:space="preserve">e. </w:t>
      </w:r>
      <w:r w:rsidR="00A93159" w:rsidRPr="00A04E26">
        <w:rPr>
          <w:rFonts w:ascii="Calibri" w:hAnsi="Calibri"/>
        </w:rPr>
        <w:t xml:space="preserve">Sensitivity levels of qPCR and </w:t>
      </w:r>
      <w:proofErr w:type="spellStart"/>
      <w:r w:rsidR="00A93159" w:rsidRPr="00A04E26">
        <w:rPr>
          <w:rFonts w:ascii="Calibri" w:hAnsi="Calibri"/>
        </w:rPr>
        <w:t>ddPCR</w:t>
      </w:r>
      <w:proofErr w:type="spellEnd"/>
      <w:r w:rsidR="00A93159" w:rsidRPr="00A04E26">
        <w:rPr>
          <w:rFonts w:ascii="Calibri" w:hAnsi="Calibri"/>
        </w:rPr>
        <w:t xml:space="preserve"> tests are typically high, allowing detection even where target DNA is present at very low concentrations. However, where the target organism is rare, DNA may not be present in every sample. Sample quality and DNA quantity, PCR inhibition, false positive or negative errors, and seasonal variability in DNA presence can influence results </w:t>
      </w:r>
      <w:r w:rsidR="00A93159" w:rsidRPr="00A04E26">
        <w:t>(</w:t>
      </w:r>
      <w:r w:rsidR="00A93159" w:rsidRPr="005749EA">
        <w:t>Goldberg et al.</w:t>
      </w:r>
      <w:r w:rsidR="00A93159" w:rsidRPr="005749EA">
        <w:rPr>
          <w:i/>
          <w:iCs/>
        </w:rPr>
        <w:t xml:space="preserve"> </w:t>
      </w:r>
      <w:r w:rsidR="00A93159" w:rsidRPr="005749EA">
        <w:t>2016</w:t>
      </w:r>
      <w:r w:rsidR="00A93159" w:rsidRPr="00A04E26">
        <w:t>)</w:t>
      </w:r>
      <w:r w:rsidR="00A93159" w:rsidRPr="00A04E26">
        <w:rPr>
          <w:rFonts w:ascii="Calibri" w:hAnsi="Calibri"/>
        </w:rPr>
        <w:t>. Presence of target species DNA in a sample will</w:t>
      </w:r>
      <w:r w:rsidR="00A66320">
        <w:rPr>
          <w:rFonts w:ascii="Calibri" w:hAnsi="Calibri"/>
        </w:rPr>
        <w:t xml:space="preserve"> also</w:t>
      </w:r>
      <w:r w:rsidR="00A93159" w:rsidRPr="00A04E26">
        <w:rPr>
          <w:rFonts w:ascii="Calibri" w:hAnsi="Calibri"/>
        </w:rPr>
        <w:t xml:space="preserve"> depend on sample type (e.g. water, plankton, scrape, settlement plate) and sample volume. </w:t>
      </w:r>
    </w:p>
    <w:p w14:paraId="187CC357" w14:textId="5817756C" w:rsidR="00AA64D7" w:rsidRDefault="00413676" w:rsidP="00AA64D7">
      <w:pPr>
        <w:rPr>
          <w:rFonts w:ascii="Calibri" w:hAnsi="Calibri"/>
        </w:rPr>
      </w:pPr>
      <w:r w:rsidRPr="00846769">
        <w:rPr>
          <w:rFonts w:ascii="Calibri" w:hAnsi="Calibri"/>
        </w:rPr>
        <w:t xml:space="preserve">Validated assays should be used where possible to </w:t>
      </w:r>
      <w:r>
        <w:rPr>
          <w:rFonts w:ascii="Calibri" w:hAnsi="Calibri"/>
        </w:rPr>
        <w:t xml:space="preserve">provide confidence in molecular testing results. </w:t>
      </w:r>
      <w:r w:rsidRPr="00846769">
        <w:rPr>
          <w:rFonts w:ascii="Calibri" w:hAnsi="Calibri"/>
        </w:rPr>
        <w:t xml:space="preserve"> </w:t>
      </w:r>
      <w:r>
        <w:rPr>
          <w:rFonts w:ascii="Calibri" w:hAnsi="Calibri"/>
        </w:rPr>
        <w:t>A</w:t>
      </w:r>
      <w:r w:rsidRPr="00846769">
        <w:rPr>
          <w:rFonts w:ascii="Calibri" w:hAnsi="Calibri"/>
        </w:rPr>
        <w:t>ssay</w:t>
      </w:r>
      <w:r>
        <w:rPr>
          <w:rFonts w:ascii="Calibri" w:hAnsi="Calibri"/>
        </w:rPr>
        <w:t xml:space="preserve"> validation quantifies assay</w:t>
      </w:r>
      <w:r w:rsidRPr="00846769">
        <w:rPr>
          <w:rFonts w:ascii="Calibri" w:hAnsi="Calibri"/>
        </w:rPr>
        <w:t xml:space="preserve"> performance (sensitivity and specificity)</w:t>
      </w:r>
      <w:r>
        <w:rPr>
          <w:rFonts w:ascii="Calibri" w:hAnsi="Calibri"/>
        </w:rPr>
        <w:t>, with laboratory validation providing data on analytical performance and operational validation providing data on field</w:t>
      </w:r>
      <w:r w:rsidRPr="00846769">
        <w:rPr>
          <w:rFonts w:ascii="Calibri" w:hAnsi="Calibri"/>
        </w:rPr>
        <w:t xml:space="preserve"> </w:t>
      </w:r>
      <w:r>
        <w:rPr>
          <w:rFonts w:ascii="Calibri" w:hAnsi="Calibri"/>
        </w:rPr>
        <w:t>performance.</w:t>
      </w:r>
      <w:r w:rsidRPr="00846769">
        <w:rPr>
          <w:rFonts w:ascii="Calibri" w:hAnsi="Calibri"/>
        </w:rPr>
        <w:t xml:space="preserve"> The Department of Agriculture, Fisheries and Forestry developed </w:t>
      </w:r>
      <w:hyperlink r:id="rId171" w:history="1">
        <w:r w:rsidRPr="00846769">
          <w:rPr>
            <w:rStyle w:val="Hyperlink"/>
            <w:rFonts w:ascii="Calibri" w:hAnsi="Calibri"/>
          </w:rPr>
          <w:t>Guidelines for development and validation of assays for marine pests</w:t>
        </w:r>
      </w:hyperlink>
      <w:r w:rsidRPr="00846769">
        <w:rPr>
          <w:rFonts w:ascii="Calibri" w:hAnsi="Calibri"/>
        </w:rPr>
        <w:t xml:space="preserve"> that advise on consistent and comparable validation processes to develop assays. The CSIRO have also developed the </w:t>
      </w:r>
      <w:hyperlink r:id="rId172" w:history="1">
        <w:r w:rsidRPr="00846769">
          <w:rPr>
            <w:rStyle w:val="Hyperlink"/>
            <w:rFonts w:ascii="Calibri" w:hAnsi="Calibri"/>
          </w:rPr>
          <w:t>Environmental DNA test validation guidelines</w:t>
        </w:r>
      </w:hyperlink>
      <w:r w:rsidRPr="00846769">
        <w:rPr>
          <w:rFonts w:ascii="Calibri" w:hAnsi="Calibri"/>
        </w:rPr>
        <w:t xml:space="preserve"> and </w:t>
      </w:r>
      <w:hyperlink r:id="rId173" w:history="1">
        <w:r w:rsidRPr="00846769">
          <w:rPr>
            <w:rStyle w:val="Hyperlink"/>
            <w:rFonts w:ascii="Calibri" w:hAnsi="Calibri"/>
          </w:rPr>
          <w:t>Environmental DNA protocol development guide for biomonitoring guidelines</w:t>
        </w:r>
      </w:hyperlink>
      <w:r w:rsidRPr="00846769">
        <w:rPr>
          <w:rFonts w:ascii="Calibri" w:hAnsi="Calibri"/>
        </w:rPr>
        <w:t xml:space="preserve"> which provide quality control and minimum standard considerations for developing, validating</w:t>
      </w:r>
      <w:r>
        <w:rPr>
          <w:rFonts w:ascii="Calibri" w:hAnsi="Calibri"/>
        </w:rPr>
        <w:t xml:space="preserve">, </w:t>
      </w:r>
      <w:r w:rsidRPr="00846769">
        <w:rPr>
          <w:rFonts w:ascii="Calibri" w:hAnsi="Calibri"/>
        </w:rPr>
        <w:t>and using eDNA/</w:t>
      </w:r>
      <w:proofErr w:type="spellStart"/>
      <w:r w:rsidRPr="00846769">
        <w:rPr>
          <w:rFonts w:ascii="Calibri" w:hAnsi="Calibri"/>
        </w:rPr>
        <w:t>eRNA</w:t>
      </w:r>
      <w:proofErr w:type="spellEnd"/>
      <w:r w:rsidRPr="00846769">
        <w:rPr>
          <w:rFonts w:ascii="Calibri" w:hAnsi="Calibri"/>
        </w:rPr>
        <w:t xml:space="preserve"> assays for single- and multi-species detection. The </w:t>
      </w:r>
      <w:hyperlink r:id="rId174" w:history="1">
        <w:r w:rsidRPr="00846769">
          <w:rPr>
            <w:rStyle w:val="Hyperlink"/>
          </w:rPr>
          <w:t>Compendium of introduced marine pest molecular studies relevant to Australia</w:t>
        </w:r>
      </w:hyperlink>
      <w:r w:rsidRPr="00846769">
        <w:rPr>
          <w:rFonts w:ascii="Calibri" w:hAnsi="Calibri"/>
        </w:rPr>
        <w:t xml:space="preserve"> contain species-specific information including </w:t>
      </w:r>
      <w:r>
        <w:rPr>
          <w:rFonts w:ascii="Calibri" w:hAnsi="Calibri"/>
        </w:rPr>
        <w:t xml:space="preserve">information on </w:t>
      </w:r>
      <w:r w:rsidRPr="00846769">
        <w:rPr>
          <w:rFonts w:ascii="Calibri" w:hAnsi="Calibri"/>
        </w:rPr>
        <w:t xml:space="preserve">validated assays. </w:t>
      </w:r>
      <w:r w:rsidR="00AA64D7" w:rsidRPr="00A04E26">
        <w:rPr>
          <w:rFonts w:ascii="Calibri" w:hAnsi="Calibri"/>
        </w:rPr>
        <w:t xml:space="preserve">In addition, use of validated species-specific assays in combination with sampling methods of known efficacy enables calculation of the optimal sample number as part of surveillance program design. </w:t>
      </w:r>
      <w:r w:rsidR="00AA64D7" w:rsidRPr="00A04E26">
        <w:rPr>
          <w:rFonts w:cstheme="minorHAnsi"/>
        </w:rPr>
        <w:t>For example, the South Australian Research and Development Institute (SARDI)</w:t>
      </w:r>
      <w:r w:rsidR="00AA64D7" w:rsidRPr="00A04E26">
        <w:rPr>
          <w:rFonts w:ascii="Calibri" w:hAnsi="Calibri"/>
        </w:rPr>
        <w:t xml:space="preserve"> have developed a </w:t>
      </w:r>
      <w:hyperlink r:id="rId175" w:history="1">
        <w:r w:rsidR="00AA64D7" w:rsidRPr="00A04E26">
          <w:rPr>
            <w:rStyle w:val="Hyperlink"/>
          </w:rPr>
          <w:t>sample number calculator</w:t>
        </w:r>
      </w:hyperlink>
      <w:r w:rsidR="00AA64D7" w:rsidRPr="00A04E26">
        <w:rPr>
          <w:rFonts w:ascii="Calibri" w:hAnsi="Calibri"/>
        </w:rPr>
        <w:t xml:space="preserve"> for surveys using plankton tow samples and qPCR assays.</w:t>
      </w:r>
    </w:p>
    <w:p w14:paraId="0B0E92BA" w14:textId="21A06CF5" w:rsidR="008E4211" w:rsidRPr="005749EA" w:rsidRDefault="00AA64D7" w:rsidP="00F03A5E">
      <w:pPr>
        <w:rPr>
          <w:rFonts w:ascii="Calibri" w:hAnsi="Calibri"/>
        </w:rPr>
      </w:pPr>
      <w:r w:rsidRPr="00846769">
        <w:rPr>
          <w:rFonts w:ascii="Calibri" w:hAnsi="Calibri"/>
        </w:rPr>
        <w:t xml:space="preserve">In Australia, </w:t>
      </w:r>
      <w:r>
        <w:rPr>
          <w:rFonts w:ascii="Calibri" w:hAnsi="Calibri"/>
        </w:rPr>
        <w:t xml:space="preserve">operationally </w:t>
      </w:r>
      <w:r w:rsidRPr="00846769">
        <w:rPr>
          <w:rFonts w:ascii="Calibri" w:hAnsi="Calibri"/>
        </w:rPr>
        <w:t xml:space="preserve">validated PCR assays are currently available for some invasive </w:t>
      </w:r>
      <w:r>
        <w:rPr>
          <w:rFonts w:ascii="Calibri" w:hAnsi="Calibri"/>
        </w:rPr>
        <w:t>marine b</w:t>
      </w:r>
      <w:r w:rsidRPr="00846769">
        <w:rPr>
          <w:rFonts w:ascii="Calibri" w:hAnsi="Calibri"/>
        </w:rPr>
        <w:t xml:space="preserve">ivalve species, including </w:t>
      </w:r>
      <w:r>
        <w:rPr>
          <w:rFonts w:ascii="Calibri" w:hAnsi="Calibri"/>
          <w:i/>
          <w:iCs/>
        </w:rPr>
        <w:t xml:space="preserve">Arcuatula senhousia, Mytella strigata, </w:t>
      </w:r>
      <w:r w:rsidRPr="00846769">
        <w:rPr>
          <w:rFonts w:ascii="Calibri" w:hAnsi="Calibri"/>
          <w:i/>
          <w:iCs/>
        </w:rPr>
        <w:t xml:space="preserve">Perna </w:t>
      </w:r>
      <w:r w:rsidRPr="00846769">
        <w:rPr>
          <w:rFonts w:ascii="Calibri" w:hAnsi="Calibri"/>
        </w:rPr>
        <w:t>spp.,</w:t>
      </w:r>
      <w:r>
        <w:rPr>
          <w:rFonts w:ascii="Calibri" w:hAnsi="Calibri"/>
        </w:rPr>
        <w:t xml:space="preserve"> </w:t>
      </w:r>
      <w:r>
        <w:rPr>
          <w:rFonts w:ascii="Calibri" w:hAnsi="Calibri"/>
          <w:i/>
          <w:iCs/>
        </w:rPr>
        <w:t>Mya japonica, Varicorbula gibba,</w:t>
      </w:r>
      <w:r w:rsidRPr="00846769">
        <w:rPr>
          <w:rFonts w:ascii="Calibri" w:hAnsi="Calibri"/>
        </w:rPr>
        <w:t xml:space="preserve"> </w:t>
      </w:r>
      <w:r w:rsidRPr="644D5D34">
        <w:rPr>
          <w:rFonts w:ascii="Calibri" w:hAnsi="Calibri"/>
          <w:i/>
          <w:iCs/>
        </w:rPr>
        <w:t>M</w:t>
      </w:r>
      <w:r w:rsidR="00A66320">
        <w:rPr>
          <w:rFonts w:ascii="Calibri" w:hAnsi="Calibri"/>
          <w:i/>
          <w:iCs/>
        </w:rPr>
        <w:t>agallana</w:t>
      </w:r>
      <w:r w:rsidRPr="644D5D34">
        <w:rPr>
          <w:rFonts w:ascii="Calibri" w:hAnsi="Calibri"/>
          <w:i/>
          <w:iCs/>
        </w:rPr>
        <w:t xml:space="preserve"> gigas </w:t>
      </w:r>
      <w:r w:rsidRPr="00846769">
        <w:rPr>
          <w:rFonts w:ascii="Calibri" w:hAnsi="Calibri"/>
        </w:rPr>
        <w:t xml:space="preserve">and </w:t>
      </w:r>
      <w:r w:rsidRPr="00846769">
        <w:rPr>
          <w:rFonts w:ascii="Calibri" w:hAnsi="Calibri"/>
          <w:i/>
          <w:iCs/>
        </w:rPr>
        <w:t xml:space="preserve">Mytilopsis </w:t>
      </w:r>
      <w:r w:rsidRPr="00CD6E79">
        <w:rPr>
          <w:rFonts w:ascii="Calibri" w:hAnsi="Calibri"/>
          <w:i/>
          <w:iCs/>
        </w:rPr>
        <w:t>sallei</w:t>
      </w:r>
      <w:r w:rsidRPr="00846769">
        <w:rPr>
          <w:rFonts w:ascii="Calibri" w:hAnsi="Calibri"/>
        </w:rPr>
        <w:t xml:space="preserve">. </w:t>
      </w:r>
      <w:r>
        <w:rPr>
          <w:rFonts w:ascii="Calibri" w:hAnsi="Calibri"/>
        </w:rPr>
        <w:t xml:space="preserve">These assays have all been validated for use in </w:t>
      </w:r>
      <w:r w:rsidRPr="005749EA">
        <w:rPr>
          <w:rFonts w:ascii="Calibri" w:hAnsi="Calibri"/>
        </w:rPr>
        <w:t>Australia (Wiltshire et al. 2023</w:t>
      </w:r>
      <w:r w:rsidR="00E31076">
        <w:rPr>
          <w:rFonts w:ascii="Calibri" w:hAnsi="Calibri"/>
        </w:rPr>
        <w:t>, Wiltshire et al. i</w:t>
      </w:r>
      <w:r w:rsidRPr="005749EA">
        <w:rPr>
          <w:rFonts w:ascii="Calibri" w:hAnsi="Calibri"/>
        </w:rPr>
        <w:t>n pre</w:t>
      </w:r>
      <w:r w:rsidR="00E31076">
        <w:rPr>
          <w:rFonts w:ascii="Calibri" w:hAnsi="Calibri"/>
        </w:rPr>
        <w:t>ss</w:t>
      </w:r>
      <w:r w:rsidRPr="005749EA">
        <w:rPr>
          <w:rFonts w:ascii="Calibri" w:hAnsi="Calibri"/>
        </w:rPr>
        <w:t xml:space="preserve">). </w:t>
      </w:r>
      <w:r w:rsidRPr="005749EA">
        <w:rPr>
          <w:rFonts w:ascii="Calibri" w:hAnsi="Calibri" w:cs="Calibri"/>
        </w:rPr>
        <w:t xml:space="preserve">PCR assays </w:t>
      </w:r>
      <w:r w:rsidR="00CB11E0" w:rsidRPr="005749EA">
        <w:rPr>
          <w:rFonts w:ascii="Calibri" w:hAnsi="Calibri" w:cs="Calibri"/>
        </w:rPr>
        <w:t xml:space="preserve">used in Australia should be </w:t>
      </w:r>
      <w:r w:rsidRPr="005749EA">
        <w:rPr>
          <w:rFonts w:ascii="Calibri" w:hAnsi="Calibri" w:cs="Calibri"/>
        </w:rPr>
        <w:t xml:space="preserve">validated for Australian conditions </w:t>
      </w:r>
      <w:r w:rsidRPr="005749EA">
        <w:rPr>
          <w:rFonts w:ascii="Calibri" w:hAnsi="Calibri"/>
        </w:rPr>
        <w:t>because of the potential for cross-reaction with native species (the majority of which have not been sequenced). Molecular information</w:t>
      </w:r>
      <w:r w:rsidR="005866D6" w:rsidRPr="005749EA">
        <w:rPr>
          <w:rFonts w:ascii="Calibri" w:hAnsi="Calibri"/>
        </w:rPr>
        <w:t xml:space="preserve"> including assay validation</w:t>
      </w:r>
      <w:r w:rsidRPr="005749EA">
        <w:rPr>
          <w:rFonts w:ascii="Calibri" w:hAnsi="Calibri"/>
        </w:rPr>
        <w:t xml:space="preserve"> can be found for each taxon listed in </w:t>
      </w:r>
      <w:hyperlink w:anchor="_Appendix_A:_Species" w:history="1">
        <w:r w:rsidRPr="005749EA">
          <w:rPr>
            <w:rStyle w:val="Hyperlink"/>
            <w:rFonts w:ascii="Calibri" w:hAnsi="Calibri"/>
          </w:rPr>
          <w:t>Appendix A.</w:t>
        </w:r>
      </w:hyperlink>
    </w:p>
    <w:p w14:paraId="21F3DB3C" w14:textId="324474FB" w:rsidR="00D53CB8" w:rsidRDefault="008E4211" w:rsidP="00F03A5E">
      <w:pPr>
        <w:rPr>
          <w:rFonts w:ascii="Calibri" w:hAnsi="Calibri"/>
        </w:rPr>
      </w:pPr>
      <w:r w:rsidRPr="005749EA">
        <w:rPr>
          <w:rFonts w:ascii="Calibri" w:hAnsi="Calibri"/>
        </w:rPr>
        <w:t xml:space="preserve">Where a species-specific assay is not available, or else to characterise the species composition of a sample more broadly, high throughout sequencing (HTS), also known as </w:t>
      </w:r>
      <w:r w:rsidR="00F03A5E" w:rsidRPr="005749EA">
        <w:rPr>
          <w:rFonts w:ascii="Calibri" w:hAnsi="Calibri"/>
        </w:rPr>
        <w:t>metabarcoding or next-generation sequencing (NGS)</w:t>
      </w:r>
      <w:r w:rsidRPr="005749EA">
        <w:rPr>
          <w:rFonts w:ascii="Calibri" w:hAnsi="Calibri"/>
        </w:rPr>
        <w:t>,</w:t>
      </w:r>
      <w:r w:rsidR="00F03A5E" w:rsidRPr="005749EA">
        <w:rPr>
          <w:rFonts w:ascii="Calibri" w:hAnsi="Calibri"/>
        </w:rPr>
        <w:t xml:space="preserve"> may be used</w:t>
      </w:r>
      <w:r w:rsidRPr="005749EA">
        <w:rPr>
          <w:rFonts w:ascii="Calibri" w:hAnsi="Calibri"/>
        </w:rPr>
        <w:t>. HTS approaches aim to amplify all DNA sequences in a sample, with sequences then aligned with reference sequences</w:t>
      </w:r>
      <w:r w:rsidR="00F03A5E" w:rsidRPr="005749EA">
        <w:rPr>
          <w:rFonts w:ascii="Calibri" w:hAnsi="Calibri"/>
        </w:rPr>
        <w:t xml:space="preserve"> to identify multiple species in </w:t>
      </w:r>
      <w:r w:rsidRPr="005749EA">
        <w:rPr>
          <w:rFonts w:ascii="Calibri" w:hAnsi="Calibri"/>
        </w:rPr>
        <w:t>the</w:t>
      </w:r>
      <w:r w:rsidR="00F03A5E" w:rsidRPr="005749EA">
        <w:rPr>
          <w:rFonts w:ascii="Calibri" w:hAnsi="Calibri"/>
        </w:rPr>
        <w:t xml:space="preserve"> sample </w:t>
      </w:r>
      <w:r w:rsidRPr="005749EA">
        <w:rPr>
          <w:rFonts w:ascii="Calibri" w:hAnsi="Calibri"/>
        </w:rPr>
        <w:t>or to assess</w:t>
      </w:r>
      <w:r w:rsidR="00F03A5E" w:rsidRPr="005749EA">
        <w:rPr>
          <w:rFonts w:ascii="Calibri" w:hAnsi="Calibri"/>
        </w:rPr>
        <w:t xml:space="preserve"> species richness and biodiversity (Darling &amp; Frederick 2018). </w:t>
      </w:r>
      <w:r w:rsidRPr="005749EA">
        <w:rPr>
          <w:rFonts w:ascii="Calibri" w:hAnsi="Calibri"/>
        </w:rPr>
        <w:t>As for</w:t>
      </w:r>
      <w:r>
        <w:rPr>
          <w:rFonts w:ascii="Calibri" w:hAnsi="Calibri"/>
        </w:rPr>
        <w:t xml:space="preserve"> sequencing for specimen identification, the choice of barcode gene region (e.g. COI, 18S) and completeness and accuracy of sequence databases are important considerations for the interpretation of HTS data</w:t>
      </w:r>
      <w:r w:rsidR="00A93159">
        <w:rPr>
          <w:rFonts w:ascii="Calibri" w:hAnsi="Calibri"/>
        </w:rPr>
        <w:t xml:space="preserve">. </w:t>
      </w:r>
      <w:r w:rsidR="00A93159">
        <w:rPr>
          <w:rFonts w:ascii="Calibri" w:hAnsi="Calibri"/>
        </w:rPr>
        <w:lastRenderedPageBreak/>
        <w:t>Managers should be aware that HTS results take considerably longer than qPCR/</w:t>
      </w:r>
      <w:proofErr w:type="spellStart"/>
      <w:r w:rsidR="00A93159">
        <w:rPr>
          <w:rFonts w:ascii="Calibri" w:hAnsi="Calibri"/>
        </w:rPr>
        <w:t>ddPCR</w:t>
      </w:r>
      <w:proofErr w:type="spellEnd"/>
      <w:r w:rsidR="00A93159">
        <w:rPr>
          <w:rFonts w:ascii="Calibri" w:hAnsi="Calibri"/>
        </w:rPr>
        <w:t xml:space="preserve"> due to involving a multistep process for amplification, sequencing, and bioinformatic processing. </w:t>
      </w:r>
    </w:p>
    <w:p w14:paraId="7113F70E" w14:textId="07488453" w:rsidR="00D53CB8" w:rsidRPr="00A04E26" w:rsidRDefault="00D53CB8" w:rsidP="00F03A5E">
      <w:r w:rsidRPr="00846769">
        <w:t>In aquatic environments, detection probability is influe</w:t>
      </w:r>
      <w:r w:rsidRPr="005749EA">
        <w:t xml:space="preserve">nced by the decay rate of genetic material and passive dispersal from the source under local hydrodynamic conditions (Darling &amp; Frederick 2018; Ellis et al. 2022). </w:t>
      </w:r>
      <w:r w:rsidR="00F03A5E" w:rsidRPr="005749EA">
        <w:rPr>
          <w:rFonts w:ascii="Calibri" w:hAnsi="Calibri"/>
        </w:rPr>
        <w:t xml:space="preserve">Positive molecular detections of target DNA do not guarantee target organisms are present and viable at the location </w:t>
      </w:r>
      <w:r w:rsidR="003527F9" w:rsidRPr="005749EA">
        <w:rPr>
          <w:rFonts w:ascii="Calibri" w:hAnsi="Calibri"/>
        </w:rPr>
        <w:t>of</w:t>
      </w:r>
      <w:r w:rsidR="003527F9">
        <w:rPr>
          <w:rFonts w:ascii="Calibri" w:hAnsi="Calibri"/>
        </w:rPr>
        <w:t xml:space="preserve"> detection, because DNA may have been advected by water movement from source populations or present from a non-viable source such as ballast water, wastewater</w:t>
      </w:r>
      <w:r>
        <w:rPr>
          <w:rFonts w:ascii="Calibri" w:hAnsi="Calibri"/>
        </w:rPr>
        <w:t>,</w:t>
      </w:r>
      <w:r w:rsidR="003527F9">
        <w:rPr>
          <w:rFonts w:ascii="Calibri" w:hAnsi="Calibri"/>
        </w:rPr>
        <w:t xml:space="preserve"> or predatory excretions. Detections should be interpreted in conjunction with information on water movement patterns and potential sources of non-viable DNA.</w:t>
      </w:r>
      <w:r w:rsidR="00F03A5E" w:rsidRPr="00846769">
        <w:rPr>
          <w:rFonts w:ascii="Calibri" w:hAnsi="Calibri"/>
        </w:rPr>
        <w:t xml:space="preserve"> </w:t>
      </w:r>
      <w:r>
        <w:t xml:space="preserve">Historic environmental samples can also be tested to improve temporal surveillance resolution and assist in trace-back activities. </w:t>
      </w:r>
    </w:p>
    <w:p w14:paraId="48695810" w14:textId="2076B0E9" w:rsidR="00D768FD" w:rsidRPr="005749EA" w:rsidRDefault="00A66320" w:rsidP="00F03A5E">
      <w:pPr>
        <w:rPr>
          <w:rFonts w:ascii="Calibri" w:hAnsi="Calibri"/>
        </w:rPr>
      </w:pPr>
      <w:r w:rsidRPr="00846769">
        <w:rPr>
          <w:rFonts w:ascii="Calibri" w:hAnsi="Calibri"/>
        </w:rPr>
        <w:t>Positive detections using molecular methods should be confirmed using traditional surveillance methods where possible</w:t>
      </w:r>
      <w:r>
        <w:rPr>
          <w:rFonts w:ascii="Calibri" w:hAnsi="Calibri"/>
        </w:rPr>
        <w:t xml:space="preserve"> (e.g. settlement arrays or visual surveys), however, traditional surveillance methods may lack the necessary sensitivity to confirm occurrences of species at low abundance</w:t>
      </w:r>
      <w:r w:rsidR="008D3D8A">
        <w:rPr>
          <w:rFonts w:ascii="Calibri" w:hAnsi="Calibri"/>
        </w:rPr>
        <w:t>s</w:t>
      </w:r>
      <w:r w:rsidRPr="00846769">
        <w:rPr>
          <w:rFonts w:ascii="Calibri" w:hAnsi="Calibri"/>
        </w:rPr>
        <w:t xml:space="preserve">. </w:t>
      </w:r>
      <w:bookmarkStart w:id="455" w:name="_Hlk188618274"/>
      <w:r>
        <w:rPr>
          <w:rFonts w:ascii="Calibri" w:hAnsi="Calibri"/>
        </w:rPr>
        <w:t>P</w:t>
      </w:r>
      <w:r w:rsidRPr="00846769">
        <w:rPr>
          <w:rFonts w:ascii="Calibri" w:hAnsi="Calibri"/>
        </w:rPr>
        <w:t>ositive</w:t>
      </w:r>
      <w:r>
        <w:rPr>
          <w:rFonts w:ascii="Calibri" w:hAnsi="Calibri"/>
        </w:rPr>
        <w:t xml:space="preserve"> detections may be the result of false positives</w:t>
      </w:r>
      <w:r w:rsidRPr="00846769">
        <w:rPr>
          <w:rFonts w:ascii="Calibri" w:hAnsi="Calibri"/>
        </w:rPr>
        <w:t xml:space="preserve"> </w:t>
      </w:r>
      <w:r>
        <w:rPr>
          <w:rFonts w:ascii="Calibri" w:hAnsi="Calibri"/>
        </w:rPr>
        <w:t xml:space="preserve">which can occur due to a lack of assay specificity or to </w:t>
      </w:r>
      <w:r w:rsidRPr="00846769">
        <w:rPr>
          <w:rFonts w:ascii="Calibri" w:hAnsi="Calibri"/>
        </w:rPr>
        <w:t>sample contamination</w:t>
      </w:r>
      <w:r>
        <w:rPr>
          <w:rFonts w:ascii="Calibri" w:hAnsi="Calibri"/>
        </w:rPr>
        <w:t xml:space="preserve">. </w:t>
      </w:r>
      <w:r w:rsidRPr="003527F9">
        <w:rPr>
          <w:rFonts w:ascii="Calibri" w:hAnsi="Calibri"/>
        </w:rPr>
        <w:t xml:space="preserve">The use of validated assays minimises the risk of specificity issues, while careful sample handling and good laboratory practices should be applied to minimise contamination risks. The use of appropriate negative controls can assist in determining whether contamination has occurred. Where suitable data on sampling method and assay performance are available, occupancy modelling approaches can be used to aid interpretation of molecular surveillance </w:t>
      </w:r>
      <w:r w:rsidRPr="005749EA">
        <w:rPr>
          <w:rFonts w:ascii="Calibri" w:hAnsi="Calibri"/>
        </w:rPr>
        <w:t>results (</w:t>
      </w:r>
      <w:r w:rsidR="00BE7E96" w:rsidRPr="005749EA">
        <w:rPr>
          <w:rFonts w:ascii="Calibri" w:hAnsi="Calibri"/>
        </w:rPr>
        <w:t xml:space="preserve">Burian et al. 2021; </w:t>
      </w:r>
      <w:r w:rsidRPr="005749EA">
        <w:rPr>
          <w:rFonts w:ascii="Calibri" w:hAnsi="Calibri"/>
        </w:rPr>
        <w:t xml:space="preserve">Wiltshire 2023). </w:t>
      </w:r>
      <w:bookmarkEnd w:id="455"/>
    </w:p>
    <w:p w14:paraId="0FEF55E1" w14:textId="046D9D09" w:rsidR="00F03A5E" w:rsidRPr="005749EA" w:rsidRDefault="00C70662" w:rsidP="00F03A5E">
      <w:pPr>
        <w:pStyle w:val="Heading5"/>
        <w:numPr>
          <w:ilvl w:val="3"/>
          <w:numId w:val="4"/>
        </w:numPr>
        <w:rPr>
          <w:rStyle w:val="Heading6Char"/>
          <w:rFonts w:eastAsiaTheme="minorHAnsi" w:cstheme="minorBidi"/>
          <w:b/>
          <w:color w:val="auto"/>
        </w:rPr>
      </w:pPr>
      <w:r w:rsidRPr="005749EA">
        <w:rPr>
          <w:rStyle w:val="Heading6Char"/>
          <w:rFonts w:eastAsiaTheme="minorHAnsi" w:cstheme="minorBidi"/>
          <w:b/>
          <w:color w:val="auto"/>
        </w:rPr>
        <w:t>Molecular ecology, population genetics</w:t>
      </w:r>
      <w:r w:rsidR="00E05E07" w:rsidRPr="005749EA">
        <w:rPr>
          <w:rStyle w:val="Heading6Char"/>
          <w:rFonts w:eastAsiaTheme="minorHAnsi" w:cstheme="minorBidi"/>
          <w:b/>
          <w:color w:val="auto"/>
        </w:rPr>
        <w:t>/genomics, and source attribution</w:t>
      </w:r>
      <w:r w:rsidRPr="005749EA">
        <w:rPr>
          <w:rStyle w:val="Heading6Char"/>
          <w:rFonts w:eastAsiaTheme="minorHAnsi" w:cstheme="minorBidi"/>
          <w:b/>
          <w:color w:val="auto"/>
        </w:rPr>
        <w:t xml:space="preserve"> </w:t>
      </w:r>
    </w:p>
    <w:p w14:paraId="6BBE5008" w14:textId="0A5FBD99" w:rsidR="00F03A5E" w:rsidRPr="005749EA" w:rsidRDefault="00F03A5E" w:rsidP="00F03A5E">
      <w:pPr>
        <w:rPr>
          <w:rFonts w:ascii="Calibri" w:hAnsi="Calibri"/>
        </w:rPr>
      </w:pPr>
      <w:r w:rsidRPr="005749EA">
        <w:rPr>
          <w:rFonts w:ascii="Calibri" w:hAnsi="Calibri"/>
        </w:rPr>
        <w:t>By sequencing many individuals among sample locations, researchers can use population genetic</w:t>
      </w:r>
      <w:r w:rsidR="00C70662" w:rsidRPr="005749EA">
        <w:rPr>
          <w:rFonts w:ascii="Calibri" w:hAnsi="Calibri"/>
        </w:rPr>
        <w:t xml:space="preserve">/genomic </w:t>
      </w:r>
      <w:r w:rsidRPr="005749EA">
        <w:rPr>
          <w:rFonts w:ascii="Calibri" w:hAnsi="Calibri"/>
        </w:rPr>
        <w:t>and phylogenetic methods to investigate the</w:t>
      </w:r>
      <w:r w:rsidR="00C70662" w:rsidRPr="005749EA">
        <w:rPr>
          <w:rFonts w:ascii="Calibri" w:hAnsi="Calibri"/>
        </w:rPr>
        <w:t xml:space="preserve"> genetic</w:t>
      </w:r>
      <w:r w:rsidRPr="005749EA">
        <w:rPr>
          <w:rFonts w:ascii="Calibri" w:hAnsi="Calibri"/>
        </w:rPr>
        <w:t xml:space="preserve"> diversity of invasive marine bivalves. In turn, patterns in genetic diversity can be used to estimate relationships and the origin of incursions, leading to source population attribution. Population genetic variation can also be analysed to estimate demographic variation, including variables such as effective population sizes an</w:t>
      </w:r>
      <w:r w:rsidR="00E05E07" w:rsidRPr="005749EA">
        <w:rPr>
          <w:rFonts w:ascii="Calibri" w:hAnsi="Calibri"/>
        </w:rPr>
        <w:t xml:space="preserve">d </w:t>
      </w:r>
      <w:r w:rsidRPr="005749EA">
        <w:rPr>
          <w:rFonts w:ascii="Calibri" w:hAnsi="Calibri"/>
        </w:rPr>
        <w:t xml:space="preserve">inbreeding </w:t>
      </w:r>
      <w:r w:rsidR="00E05E07" w:rsidRPr="005749EA">
        <w:rPr>
          <w:rFonts w:ascii="Calibri" w:hAnsi="Calibri"/>
        </w:rPr>
        <w:t xml:space="preserve">which </w:t>
      </w:r>
      <w:r w:rsidRPr="005749EA">
        <w:rPr>
          <w:rFonts w:ascii="Calibri" w:hAnsi="Calibri"/>
        </w:rPr>
        <w:t>can indicate the long-term viability of sexual</w:t>
      </w:r>
      <w:r w:rsidR="00A804C4">
        <w:rPr>
          <w:rFonts w:ascii="Calibri" w:hAnsi="Calibri"/>
        </w:rPr>
        <w:t>ly reproducing</w:t>
      </w:r>
      <w:r w:rsidRPr="005749EA">
        <w:rPr>
          <w:rFonts w:ascii="Calibri" w:hAnsi="Calibri"/>
        </w:rPr>
        <w:t xml:space="preserve"> populations.</w:t>
      </w:r>
      <w:r w:rsidR="00C70662" w:rsidRPr="005749EA">
        <w:rPr>
          <w:rFonts w:ascii="Calibri" w:hAnsi="Calibri"/>
        </w:rPr>
        <w:t xml:space="preserve"> </w:t>
      </w:r>
      <w:bookmarkStart w:id="456" w:name="_Hlk188618727"/>
      <w:r w:rsidR="00C70662" w:rsidRPr="005749EA">
        <w:rPr>
          <w:rFonts w:ascii="Calibri" w:hAnsi="Calibri"/>
        </w:rPr>
        <w:t>Genomics and transcriptomics have also aided in understanding evolutionary adaptations of invasive marine species in different locations.</w:t>
      </w:r>
      <w:r w:rsidR="00E05E07" w:rsidRPr="005749EA">
        <w:rPr>
          <w:rFonts w:ascii="Calibri" w:hAnsi="Calibri"/>
        </w:rPr>
        <w:t xml:space="preserve"> </w:t>
      </w:r>
      <w:bookmarkEnd w:id="456"/>
      <w:r w:rsidR="00E05E07" w:rsidRPr="005749EA">
        <w:rPr>
          <w:rFonts w:ascii="Calibri" w:hAnsi="Calibri"/>
        </w:rPr>
        <w:t>These</w:t>
      </w:r>
      <w:r w:rsidR="00C70662" w:rsidRPr="005749EA">
        <w:rPr>
          <w:rFonts w:ascii="Calibri" w:hAnsi="Calibri"/>
        </w:rPr>
        <w:t xml:space="preserve"> </w:t>
      </w:r>
      <w:r w:rsidRPr="005749EA">
        <w:rPr>
          <w:rFonts w:ascii="Calibri" w:hAnsi="Calibri"/>
        </w:rPr>
        <w:t xml:space="preserve">approaches are more costly than simple genetic </w:t>
      </w:r>
      <w:r w:rsidR="003527F9" w:rsidRPr="005749EA">
        <w:rPr>
          <w:rFonts w:ascii="Calibri" w:hAnsi="Calibri"/>
        </w:rPr>
        <w:t xml:space="preserve">identification </w:t>
      </w:r>
      <w:r w:rsidRPr="005749EA">
        <w:rPr>
          <w:rFonts w:ascii="Calibri" w:hAnsi="Calibri"/>
        </w:rPr>
        <w:t xml:space="preserve">methods, and require considerable time and bioinformatic expertise for analysis, but they can provide valuable insights to </w:t>
      </w:r>
      <w:bookmarkStart w:id="457" w:name="_Hlk188618784"/>
      <w:r w:rsidRPr="005749EA">
        <w:rPr>
          <w:rFonts w:ascii="Calibri" w:hAnsi="Calibri"/>
        </w:rPr>
        <w:t>determine the potential origin of outbreaks, modelling invasion pathways, and assist with the management of established invasive populations</w:t>
      </w:r>
      <w:r w:rsidR="00C70662" w:rsidRPr="005749EA">
        <w:rPr>
          <w:rFonts w:ascii="Calibri" w:hAnsi="Calibri"/>
        </w:rPr>
        <w:t xml:space="preserve"> (Darling et al. 2017; Sherman et al. 2016; Viard et al. 2016)</w:t>
      </w:r>
      <w:r w:rsidRPr="005749EA">
        <w:rPr>
          <w:rFonts w:ascii="Calibri" w:hAnsi="Calibri"/>
        </w:rPr>
        <w:t xml:space="preserve">. </w:t>
      </w:r>
      <w:bookmarkEnd w:id="457"/>
    </w:p>
    <w:p w14:paraId="5493178E" w14:textId="4449F90C" w:rsidR="00F03A5E" w:rsidRPr="00846769" w:rsidRDefault="00F03A5E" w:rsidP="00F03A5E">
      <w:bookmarkStart w:id="458" w:name="_Hlk188618939"/>
      <w:r w:rsidRPr="005749EA">
        <w:t xml:space="preserve">While still expensive, costs for long- and short-read DNA sequencing have </w:t>
      </w:r>
      <w:r w:rsidR="00C53006" w:rsidRPr="005749EA">
        <w:t>decreased</w:t>
      </w:r>
      <w:r w:rsidRPr="005749EA">
        <w:t xml:space="preserve"> considerably in the last decade, and it is therefore feasible to consider using genomic sequence data for invasive marine bivalves. A reference genome (and genomic or transcriptomic data for multiple individuals) can provide valuable information to improve the surveillance and the long-term management of high-risk taxa. For example, genomic data can be used to develop new, more effective primers for species identification and detection, and reference genomes can significantly improve the resolution of metagenomic and population genomic methods. </w:t>
      </w:r>
      <w:proofErr w:type="gramStart"/>
      <w:r w:rsidRPr="005749EA">
        <w:t>Whole-genome</w:t>
      </w:r>
      <w:proofErr w:type="gramEnd"/>
      <w:r w:rsidRPr="005749EA">
        <w:t xml:space="preserve"> sequencing itself also provides the highest level of resolution for source </w:t>
      </w:r>
      <w:r w:rsidR="00CE0184" w:rsidRPr="005749EA">
        <w:t xml:space="preserve">population </w:t>
      </w:r>
      <w:r w:rsidRPr="005749EA">
        <w:t>attribution</w:t>
      </w:r>
      <w:r w:rsidR="00CE0184" w:rsidRPr="005749EA">
        <w:t xml:space="preserve"> (Viard et al. 2016)</w:t>
      </w:r>
      <w:r w:rsidRPr="005749EA">
        <w:t>.</w:t>
      </w:r>
      <w:r w:rsidRPr="00846769">
        <w:t xml:space="preserve"> </w:t>
      </w:r>
    </w:p>
    <w:bookmarkEnd w:id="458"/>
    <w:p w14:paraId="29FB8AF6" w14:textId="77777777" w:rsidR="00F03A5E" w:rsidRPr="00846769" w:rsidRDefault="00F03A5E" w:rsidP="00F03A5E">
      <w:pPr>
        <w:pStyle w:val="Heading4"/>
        <w:numPr>
          <w:ilvl w:val="2"/>
          <w:numId w:val="4"/>
        </w:numPr>
      </w:pPr>
      <w:r w:rsidRPr="00846769">
        <w:lastRenderedPageBreak/>
        <w:t>Divers and remote operated vehicles (ROVs)</w:t>
      </w:r>
    </w:p>
    <w:p w14:paraId="584D516D" w14:textId="2FCC32C6" w:rsidR="00B203B8" w:rsidRPr="00846769" w:rsidRDefault="00C53006" w:rsidP="00F03A5E">
      <w:r w:rsidRPr="00846769">
        <w:t>D</w:t>
      </w:r>
      <w:r w:rsidR="001F5379" w:rsidRPr="00846769">
        <w:t>ivers and ROVs are form</w:t>
      </w:r>
      <w:r w:rsidRPr="00846769">
        <w:t xml:space="preserve">s </w:t>
      </w:r>
      <w:r w:rsidR="001F5379" w:rsidRPr="00846769">
        <w:t>of underwater visual survey</w:t>
      </w:r>
      <w:r w:rsidRPr="00846769">
        <w:t>s</w:t>
      </w:r>
      <w:r w:rsidR="007B0E45">
        <w:t xml:space="preserve">. </w:t>
      </w:r>
      <w:r w:rsidR="001F5379" w:rsidRPr="00846769">
        <w:rPr>
          <w:rFonts w:cstheme="minorHAnsi"/>
        </w:rPr>
        <w:t xml:space="preserve">In shallow, enclosed waters, underwater surveys </w:t>
      </w:r>
      <w:r w:rsidR="00B203B8" w:rsidRPr="00846769">
        <w:rPr>
          <w:rFonts w:cstheme="minorHAnsi"/>
        </w:rPr>
        <w:t xml:space="preserve">may be </w:t>
      </w:r>
      <w:r w:rsidR="001F5379" w:rsidRPr="00846769">
        <w:rPr>
          <w:rFonts w:cstheme="minorHAnsi"/>
        </w:rPr>
        <w:t xml:space="preserve">performed by snorkellers. </w:t>
      </w:r>
      <w:r w:rsidR="00F03A5E" w:rsidRPr="00846769">
        <w:rPr>
          <w:rFonts w:cstheme="minorHAnsi"/>
        </w:rPr>
        <w:t xml:space="preserve">Divers and ROVs </w:t>
      </w:r>
      <w:r w:rsidR="00F03A5E" w:rsidRPr="00846769">
        <w:t>may be used for both surveillance activities and delivering treatments for invasive marine bivalves during instances when these methods are deemed most appropriate.</w:t>
      </w:r>
      <w:r w:rsidR="00D47AFA" w:rsidRPr="00846769">
        <w:t xml:space="preserve"> </w:t>
      </w:r>
    </w:p>
    <w:p w14:paraId="320EDA2E" w14:textId="47C4B0F8" w:rsidR="00F03A5E" w:rsidRPr="00846769" w:rsidRDefault="001F5379" w:rsidP="00F03A5E">
      <w:pPr>
        <w:rPr>
          <w:rFonts w:cstheme="minorHAnsi"/>
        </w:rPr>
      </w:pPr>
      <w:r w:rsidRPr="00846769">
        <w:t>To collect evidence</w:t>
      </w:r>
      <w:r w:rsidR="00B203B8" w:rsidRPr="00846769">
        <w:t xml:space="preserve"> of</w:t>
      </w:r>
      <w:r w:rsidRPr="00846769">
        <w:t xml:space="preserve"> invasive marine bivalves, divers and ROVs can take photographs or videos of suspect specimens. This technique is </w:t>
      </w:r>
      <w:r w:rsidR="00B203B8" w:rsidRPr="00846769">
        <w:t>cost-effective</w:t>
      </w:r>
      <w:r w:rsidRPr="00846769">
        <w:t xml:space="preserve">, but is highly limited by water visibility, which can prevent accurate species identification. </w:t>
      </w:r>
      <w:r w:rsidR="007B0E45">
        <w:t>Divers can collect</w:t>
      </w:r>
      <w:r w:rsidRPr="00846769">
        <w:t xml:space="preserve"> bivalve specimens by hand, which can then be used for later taxonomic or molecular analysis. Some models of ROV also contain motorised arms which can take physical samples. Taking physical samples is limited by accessibility and </w:t>
      </w:r>
      <w:proofErr w:type="gramStart"/>
      <w:r w:rsidRPr="00846769">
        <w:t>safety, but</w:t>
      </w:r>
      <w:proofErr w:type="gramEnd"/>
      <w:r w:rsidRPr="00846769">
        <w:t xml:space="preserve"> provides quality assurance if visual techniques are inadequate. </w:t>
      </w:r>
    </w:p>
    <w:p w14:paraId="7ED4F63E" w14:textId="367A95B1" w:rsidR="00F03A5E" w:rsidRPr="00846769" w:rsidRDefault="00F03A5E" w:rsidP="00F03A5E">
      <w:pPr>
        <w:rPr>
          <w:rFonts w:cstheme="minorHAnsi"/>
        </w:rPr>
      </w:pPr>
      <w:r w:rsidRPr="00846769">
        <w:rPr>
          <w:rFonts w:cstheme="minorHAnsi"/>
        </w:rPr>
        <w:t xml:space="preserve">Divers can be particularly effective at detecting invasive marine bivalves that tend to aggregate around complex structures </w:t>
      </w:r>
      <w:r w:rsidR="00F37B90">
        <w:rPr>
          <w:rFonts w:cstheme="minorHAnsi"/>
        </w:rPr>
        <w:t xml:space="preserve">such as jetty pylons. </w:t>
      </w:r>
      <w:r w:rsidRPr="00846769">
        <w:rPr>
          <w:rFonts w:cstheme="minorHAnsi"/>
        </w:rPr>
        <w:t xml:space="preserve">However, the ability to observe an invasive marine bivalve while diving relies heavily on water visibility, identification training, safety, and search techniques. Divers can use touch very effectively to detect some bivalves in inaccessible niches. On several occasions, mussels have been detected </w:t>
      </w:r>
      <w:r w:rsidR="00C53006" w:rsidRPr="00846769">
        <w:rPr>
          <w:rFonts w:cstheme="minorHAnsi"/>
        </w:rPr>
        <w:t xml:space="preserve">in vessel niche areas </w:t>
      </w:r>
      <w:r w:rsidRPr="00846769">
        <w:rPr>
          <w:rFonts w:cstheme="minorHAnsi"/>
        </w:rPr>
        <w:t xml:space="preserve">by divers using touch. </w:t>
      </w:r>
    </w:p>
    <w:p w14:paraId="4AF79911" w14:textId="3984BB71" w:rsidR="00F03A5E" w:rsidRPr="00846769" w:rsidRDefault="00F03A5E" w:rsidP="00F03A5E">
      <w:pPr>
        <w:rPr>
          <w:rFonts w:cstheme="minorHAnsi"/>
        </w:rPr>
      </w:pPr>
      <w:r w:rsidRPr="00846769">
        <w:rPr>
          <w:rFonts w:cstheme="minorHAnsi"/>
        </w:rPr>
        <w:t xml:space="preserve">Cost of professional divers needs to be considered by managers. If visibility is low, or if there are safety and access issues to the site, then visual surveys will be compromised. These same visibility limitations apply to ROVs. However, ROVs can be used in place of divers, particularly </w:t>
      </w:r>
      <w:r w:rsidR="00F37B90">
        <w:rPr>
          <w:rFonts w:cstheme="minorHAnsi"/>
        </w:rPr>
        <w:t xml:space="preserve">in confined spaces (e.g. areas near marinas) or </w:t>
      </w:r>
      <w:r w:rsidRPr="00846769">
        <w:rPr>
          <w:rFonts w:cstheme="minorHAnsi"/>
        </w:rPr>
        <w:t>when hazards are present (</w:t>
      </w:r>
      <w:r w:rsidRPr="00846769">
        <w:t xml:space="preserve">e.g. </w:t>
      </w:r>
      <w:r w:rsidRPr="00846769">
        <w:rPr>
          <w:rFonts w:cstheme="minorHAnsi"/>
        </w:rPr>
        <w:t>crocodiles, sharks, stinging cnidarians)</w:t>
      </w:r>
      <w:r w:rsidR="00F37B90">
        <w:rPr>
          <w:rFonts w:cstheme="minorHAnsi"/>
        </w:rPr>
        <w:t xml:space="preserve">. The use ROVs </w:t>
      </w:r>
      <w:r w:rsidRPr="00846769">
        <w:rPr>
          <w:rFonts w:cstheme="minorHAnsi"/>
        </w:rPr>
        <w:t xml:space="preserve">in </w:t>
      </w:r>
      <w:r w:rsidR="00F37B90">
        <w:rPr>
          <w:rFonts w:cstheme="minorHAnsi"/>
        </w:rPr>
        <w:t>marine pest surveillance</w:t>
      </w:r>
      <w:r w:rsidRPr="00846769">
        <w:rPr>
          <w:rFonts w:cstheme="minorHAnsi"/>
        </w:rPr>
        <w:t xml:space="preserve"> is still being optimised and few data are available on their effectiveness.</w:t>
      </w:r>
      <w:r w:rsidR="00B203B8" w:rsidRPr="00846769">
        <w:rPr>
          <w:rFonts w:cstheme="minorHAnsi"/>
        </w:rPr>
        <w:t xml:space="preserve"> ROVs can have a significant learning curve to use, especially with several makes and models on the market. </w:t>
      </w:r>
      <w:r w:rsidR="00B203B8" w:rsidRPr="005749EA">
        <w:rPr>
          <w:rFonts w:cstheme="minorHAnsi"/>
        </w:rPr>
        <w:t>In addition, they can be very heavy and challenging to deploy</w:t>
      </w:r>
      <w:r w:rsidR="00DE49A5">
        <w:rPr>
          <w:rFonts w:cstheme="minorHAnsi"/>
        </w:rPr>
        <w:t>,</w:t>
      </w:r>
      <w:r w:rsidR="00B203B8" w:rsidRPr="005749EA">
        <w:rPr>
          <w:rFonts w:cstheme="minorHAnsi"/>
        </w:rPr>
        <w:t xml:space="preserve"> and </w:t>
      </w:r>
      <w:r w:rsidR="00DE49A5">
        <w:rPr>
          <w:rFonts w:cstheme="minorHAnsi"/>
        </w:rPr>
        <w:t xml:space="preserve">prices </w:t>
      </w:r>
      <w:r w:rsidR="00B203B8" w:rsidRPr="005749EA">
        <w:rPr>
          <w:rFonts w:cstheme="minorHAnsi"/>
        </w:rPr>
        <w:t>may exceed &gt;$35,000 AUD (Ellard 2021).</w:t>
      </w:r>
      <w:r w:rsidR="00B203B8" w:rsidRPr="00846769">
        <w:rPr>
          <w:rFonts w:cstheme="minorHAnsi"/>
        </w:rPr>
        <w:t xml:space="preserve"> </w:t>
      </w:r>
    </w:p>
    <w:p w14:paraId="17B7F46D" w14:textId="165EEF7C" w:rsidR="00F03A5E" w:rsidRPr="00846769" w:rsidRDefault="00F03A5E" w:rsidP="00F03A5E">
      <w:pPr>
        <w:rPr>
          <w:rFonts w:cstheme="minorHAnsi"/>
        </w:rPr>
      </w:pPr>
      <w:bookmarkStart w:id="459" w:name="_Hlk170773319"/>
      <w:r w:rsidRPr="00846769">
        <w:rPr>
          <w:rFonts w:cstheme="minorHAnsi"/>
        </w:rPr>
        <w:t xml:space="preserve">Divers are required for the application of several treatments, as well as </w:t>
      </w:r>
      <w:r w:rsidR="00DE49A5">
        <w:rPr>
          <w:rFonts w:cstheme="minorHAnsi"/>
        </w:rPr>
        <w:t xml:space="preserve">for </w:t>
      </w:r>
      <w:r w:rsidRPr="00846769">
        <w:rPr>
          <w:rFonts w:cstheme="minorHAnsi"/>
        </w:rPr>
        <w:t>subtidal surveys, around wharf piles, vessels, floating pontoons, and other artificial structures in port and marine environments, and on intertidal and shallow subtidal reefs. Treatments deployed by divers include:</w:t>
      </w:r>
    </w:p>
    <w:p w14:paraId="0728A582" w14:textId="112E3EB0" w:rsidR="00F03A5E" w:rsidRPr="00F37B90" w:rsidRDefault="00F37B90" w:rsidP="00F03A5E">
      <w:pPr>
        <w:pStyle w:val="ListBullet"/>
        <w:rPr>
          <w:rStyle w:val="Hyperlink"/>
          <w:rFonts w:cstheme="minorHAnsi"/>
        </w:rPr>
      </w:pPr>
      <w:r>
        <w:rPr>
          <w:rFonts w:cstheme="minorHAnsi"/>
          <w:u w:color="0070C0"/>
        </w:rPr>
        <w:fldChar w:fldCharType="begin"/>
      </w:r>
      <w:r>
        <w:rPr>
          <w:rFonts w:cstheme="minorHAnsi"/>
          <w:u w:color="0070C0"/>
        </w:rPr>
        <w:instrText>HYPERLINK  \l "_Underwater_vacuum,_suction,"</w:instrText>
      </w:r>
      <w:r>
        <w:rPr>
          <w:rFonts w:cstheme="minorHAnsi"/>
          <w:u w:color="0070C0"/>
        </w:rPr>
      </w:r>
      <w:r>
        <w:rPr>
          <w:rFonts w:cstheme="minorHAnsi"/>
          <w:u w:color="0070C0"/>
        </w:rPr>
        <w:fldChar w:fldCharType="separate"/>
      </w:r>
      <w:r w:rsidR="00F03A5E" w:rsidRPr="00F37B90">
        <w:rPr>
          <w:rStyle w:val="Hyperlink"/>
          <w:rFonts w:cstheme="minorHAnsi"/>
        </w:rPr>
        <w:t>underwater vacuum, suction, and filtering systems</w:t>
      </w:r>
    </w:p>
    <w:p w14:paraId="32BCAFD8" w14:textId="7DCA04E2" w:rsidR="001E463B" w:rsidRPr="00F37B90" w:rsidRDefault="00F37B90" w:rsidP="001E463B">
      <w:pPr>
        <w:pStyle w:val="ListBullet"/>
      </w:pPr>
      <w:r>
        <w:rPr>
          <w:rFonts w:cstheme="minorHAnsi"/>
          <w:u w:color="0070C0"/>
        </w:rPr>
        <w:fldChar w:fldCharType="end"/>
      </w:r>
      <w:r w:rsidR="001E463B" w:rsidRPr="00A04E26">
        <w:rPr>
          <w:rStyle w:val="Hyperlink"/>
          <w:rFonts w:cstheme="minorHAnsi"/>
          <w:color w:val="auto"/>
          <w:u w:val="none"/>
        </w:rPr>
        <w:t>in-water cleaning and grooming machines</w:t>
      </w:r>
    </w:p>
    <w:p w14:paraId="3D6230A3" w14:textId="0C657F87" w:rsidR="00F03A5E" w:rsidRPr="00F37B90" w:rsidRDefault="00F37B90" w:rsidP="00F03A5E">
      <w:pPr>
        <w:pStyle w:val="ListBullet"/>
        <w:rPr>
          <w:rStyle w:val="Hyperlink"/>
        </w:rPr>
      </w:pPr>
      <w:r>
        <w:rPr>
          <w:rFonts w:cstheme="minorHAnsi"/>
          <w:u w:color="0070C0"/>
        </w:rPr>
        <w:fldChar w:fldCharType="begin"/>
      </w:r>
      <w:r>
        <w:rPr>
          <w:rFonts w:cstheme="minorHAnsi"/>
          <w:u w:color="0070C0"/>
        </w:rPr>
        <w:instrText>HYPERLINK  \l "_Wrapping_and_encapsulation"</w:instrText>
      </w:r>
      <w:r>
        <w:rPr>
          <w:rFonts w:cstheme="minorHAnsi"/>
          <w:u w:color="0070C0"/>
        </w:rPr>
      </w:r>
      <w:r>
        <w:rPr>
          <w:rFonts w:cstheme="minorHAnsi"/>
          <w:u w:color="0070C0"/>
        </w:rPr>
        <w:fldChar w:fldCharType="separate"/>
      </w:r>
      <w:r w:rsidR="00F03A5E" w:rsidRPr="00F37B90">
        <w:rPr>
          <w:rStyle w:val="Hyperlink"/>
          <w:rFonts w:cstheme="minorHAnsi"/>
        </w:rPr>
        <w:t>wrapping and encapsulation</w:t>
      </w:r>
    </w:p>
    <w:p w14:paraId="7AF0B0D5" w14:textId="0F10D799" w:rsidR="00F03A5E" w:rsidRPr="00F37B90" w:rsidRDefault="00F37B90" w:rsidP="00F03A5E">
      <w:pPr>
        <w:pStyle w:val="ListBullet"/>
        <w:rPr>
          <w:rStyle w:val="Hyperlink"/>
        </w:rPr>
      </w:pPr>
      <w:r>
        <w:rPr>
          <w:rFonts w:cstheme="minorHAnsi"/>
          <w:u w:color="0070C0"/>
        </w:rPr>
        <w:fldChar w:fldCharType="end"/>
      </w:r>
      <w:r>
        <w:rPr>
          <w:rFonts w:cstheme="minorHAnsi"/>
          <w:u w:color="0070C0"/>
        </w:rPr>
        <w:fldChar w:fldCharType="begin"/>
      </w:r>
      <w:r>
        <w:rPr>
          <w:rFonts w:cstheme="minorHAnsi"/>
          <w:u w:color="0070C0"/>
        </w:rPr>
        <w:instrText>HYPERLINK  \l "_Smothering"</w:instrText>
      </w:r>
      <w:r>
        <w:rPr>
          <w:rFonts w:cstheme="minorHAnsi"/>
          <w:u w:color="0070C0"/>
        </w:rPr>
      </w:r>
      <w:r>
        <w:rPr>
          <w:rFonts w:cstheme="minorHAnsi"/>
          <w:u w:color="0070C0"/>
        </w:rPr>
        <w:fldChar w:fldCharType="separate"/>
      </w:r>
      <w:r w:rsidR="00F03A5E" w:rsidRPr="00F37B90">
        <w:rPr>
          <w:rStyle w:val="Hyperlink"/>
          <w:rFonts w:cstheme="minorHAnsi"/>
        </w:rPr>
        <w:t>smothering</w:t>
      </w:r>
    </w:p>
    <w:p w14:paraId="7EBCD07D" w14:textId="78DDE9B6" w:rsidR="00F03A5E" w:rsidRPr="00F37B90" w:rsidRDefault="00F37B90" w:rsidP="00F03A5E">
      <w:pPr>
        <w:pStyle w:val="ListBullet"/>
        <w:rPr>
          <w:rStyle w:val="Hyperlink"/>
        </w:rPr>
      </w:pPr>
      <w:r>
        <w:rPr>
          <w:rFonts w:cstheme="minorHAnsi"/>
          <w:u w:color="0070C0"/>
        </w:rPr>
        <w:fldChar w:fldCharType="end"/>
      </w:r>
      <w:r>
        <w:rPr>
          <w:rFonts w:cstheme="minorHAnsi"/>
          <w:u w:color="0070C0"/>
        </w:rPr>
        <w:fldChar w:fldCharType="begin"/>
      </w:r>
      <w:r>
        <w:rPr>
          <w:rFonts w:cstheme="minorHAnsi"/>
          <w:u w:color="0070C0"/>
        </w:rPr>
        <w:instrText>HYPERLINK  \l "_Osmotic_treatment"</w:instrText>
      </w:r>
      <w:r>
        <w:rPr>
          <w:rFonts w:cstheme="minorHAnsi"/>
          <w:u w:color="0070C0"/>
        </w:rPr>
      </w:r>
      <w:r>
        <w:rPr>
          <w:rFonts w:cstheme="minorHAnsi"/>
          <w:u w:color="0070C0"/>
        </w:rPr>
        <w:fldChar w:fldCharType="separate"/>
      </w:r>
      <w:r w:rsidR="00F03A5E" w:rsidRPr="00F37B90">
        <w:rPr>
          <w:rStyle w:val="Hyperlink"/>
          <w:rFonts w:cstheme="minorHAnsi"/>
        </w:rPr>
        <w:t>osmotic treatment</w:t>
      </w:r>
      <w:r w:rsidRPr="00F37B90">
        <w:rPr>
          <w:rStyle w:val="Hyperlink"/>
          <w:rFonts w:cstheme="minorHAnsi"/>
        </w:rPr>
        <w:t>.</w:t>
      </w:r>
    </w:p>
    <w:p w14:paraId="42B29DFD" w14:textId="3417B737" w:rsidR="00F03A5E" w:rsidRDefault="00F37B90" w:rsidP="00F03A5E">
      <w:pPr>
        <w:pStyle w:val="ListBullet"/>
        <w:numPr>
          <w:ilvl w:val="0"/>
          <w:numId w:val="0"/>
        </w:numPr>
      </w:pPr>
      <w:r>
        <w:rPr>
          <w:rFonts w:cstheme="minorHAnsi"/>
          <w:u w:color="0070C0"/>
        </w:rPr>
        <w:fldChar w:fldCharType="end"/>
      </w:r>
      <w:bookmarkEnd w:id="459"/>
      <w:r w:rsidR="00F03A5E" w:rsidRPr="00846769">
        <w:t xml:space="preserve">Divers were effectively used to collect and search for </w:t>
      </w:r>
      <w:r w:rsidR="00C82788" w:rsidRPr="00846769">
        <w:rPr>
          <w:i/>
          <w:iCs/>
        </w:rPr>
        <w:t>P</w:t>
      </w:r>
      <w:r w:rsidR="00C82788">
        <w:rPr>
          <w:i/>
          <w:iCs/>
        </w:rPr>
        <w:t>.</w:t>
      </w:r>
      <w:r w:rsidR="00C82788" w:rsidRPr="00846769">
        <w:rPr>
          <w:i/>
          <w:iCs/>
        </w:rPr>
        <w:t xml:space="preserve"> </w:t>
      </w:r>
      <w:r w:rsidR="00F03A5E" w:rsidRPr="00846769">
        <w:rPr>
          <w:i/>
          <w:iCs/>
        </w:rPr>
        <w:t xml:space="preserve">canaliculus </w:t>
      </w:r>
      <w:r w:rsidR="00F03A5E" w:rsidRPr="00846769">
        <w:t>after its introduction into the Gulf of St Vincent, South Australia, in 1996. A mature population of 12 to 24 mussels were collected during a research dive, wi</w:t>
      </w:r>
      <w:r w:rsidR="00F03A5E" w:rsidRPr="005749EA">
        <w:t>th subsequent diving and dredging finding only one more mussel in areas expected to be colonised by a reproductive event from an established population (</w:t>
      </w:r>
      <w:proofErr w:type="spellStart"/>
      <w:r w:rsidR="00F03A5E" w:rsidRPr="005749EA">
        <w:t>McEnnulty</w:t>
      </w:r>
      <w:proofErr w:type="spellEnd"/>
      <w:r w:rsidR="00F03A5E" w:rsidRPr="005749EA">
        <w:t xml:space="preserve"> et al</w:t>
      </w:r>
      <w:r w:rsidR="00DD01E4" w:rsidRPr="005749EA">
        <w:t>.</w:t>
      </w:r>
      <w:r w:rsidR="00F03A5E" w:rsidRPr="005749EA">
        <w:t xml:space="preserve"> 2001). It should be noted</w:t>
      </w:r>
      <w:r w:rsidR="00F03A5E" w:rsidRPr="00846769">
        <w:t xml:space="preserve"> that the population of </w:t>
      </w:r>
      <w:r w:rsidR="00F03A5E" w:rsidRPr="00846769">
        <w:rPr>
          <w:i/>
          <w:iCs/>
        </w:rPr>
        <w:t xml:space="preserve">P. canaliculus </w:t>
      </w:r>
      <w:r w:rsidR="00F03A5E" w:rsidRPr="00846769">
        <w:t xml:space="preserve">in South Australia could have died out naturally as well as through human intervention, but </w:t>
      </w:r>
      <w:r w:rsidR="00DE49A5">
        <w:t xml:space="preserve">this example </w:t>
      </w:r>
      <w:r w:rsidR="00F03A5E" w:rsidRPr="00846769">
        <w:t xml:space="preserve">highlights that early detection and removal of small populations can occur </w:t>
      </w:r>
      <w:r w:rsidR="00DE49A5">
        <w:t>with</w:t>
      </w:r>
      <w:r w:rsidR="00F03A5E" w:rsidRPr="00846769">
        <w:t xml:space="preserve"> minimal resource expenditure.</w:t>
      </w:r>
    </w:p>
    <w:p w14:paraId="30DD6753" w14:textId="0CDC98AB" w:rsidR="00C82788" w:rsidRPr="00846769" w:rsidRDefault="00C82788" w:rsidP="00F03A5E">
      <w:pPr>
        <w:pStyle w:val="ListBullet"/>
        <w:numPr>
          <w:ilvl w:val="0"/>
          <w:numId w:val="0"/>
        </w:numPr>
      </w:pPr>
      <w:bookmarkStart w:id="460" w:name="_Hlk188444836"/>
      <w:r>
        <w:lastRenderedPageBreak/>
        <w:t xml:space="preserve">Divers are regularly engaged in treatment of marine pests on visiting vessels. Infestations of </w:t>
      </w:r>
      <w:r w:rsidRPr="00EE4347">
        <w:rPr>
          <w:i/>
        </w:rPr>
        <w:t>M</w:t>
      </w:r>
      <w:r>
        <w:rPr>
          <w:i/>
        </w:rPr>
        <w:t>.</w:t>
      </w:r>
      <w:r w:rsidR="006939FE">
        <w:rPr>
          <w:i/>
        </w:rPr>
        <w:t> </w:t>
      </w:r>
      <w:r w:rsidRPr="00EE4347">
        <w:rPr>
          <w:i/>
        </w:rPr>
        <w:t>sallei, P</w:t>
      </w:r>
      <w:r>
        <w:rPr>
          <w:i/>
        </w:rPr>
        <w:t>.</w:t>
      </w:r>
      <w:r w:rsidRPr="00EE4347">
        <w:rPr>
          <w:i/>
        </w:rPr>
        <w:t xml:space="preserve"> viridis </w:t>
      </w:r>
      <w:r w:rsidRPr="008F7F88">
        <w:t xml:space="preserve">and </w:t>
      </w:r>
      <w:r w:rsidRPr="00EE4347">
        <w:rPr>
          <w:i/>
        </w:rPr>
        <w:t>M</w:t>
      </w:r>
      <w:r>
        <w:rPr>
          <w:i/>
        </w:rPr>
        <w:t xml:space="preserve">. </w:t>
      </w:r>
      <w:r w:rsidRPr="00EE4347">
        <w:rPr>
          <w:i/>
        </w:rPr>
        <w:t>strigata</w:t>
      </w:r>
      <w:r>
        <w:t xml:space="preserve"> on vessels have been effectively managed using divers who may selectively treat </w:t>
      </w:r>
      <w:proofErr w:type="gramStart"/>
      <w:r>
        <w:t>particular areas</w:t>
      </w:r>
      <w:proofErr w:type="gramEnd"/>
      <w:r>
        <w:t xml:space="preserve"> of the vessel or remove isolated patches of infestation.</w:t>
      </w:r>
    </w:p>
    <w:bookmarkEnd w:id="460"/>
    <w:p w14:paraId="3FEB10D9" w14:textId="77777777" w:rsidR="00852324" w:rsidRPr="00846769" w:rsidRDefault="00852324" w:rsidP="00852324">
      <w:pPr>
        <w:pStyle w:val="Heading4"/>
        <w:numPr>
          <w:ilvl w:val="2"/>
          <w:numId w:val="4"/>
        </w:numPr>
      </w:pPr>
      <w:r w:rsidRPr="0072606B">
        <w:t>Settlement arrays</w:t>
      </w:r>
      <w:r w:rsidRPr="00846769">
        <w:t xml:space="preserve"> and plates</w:t>
      </w:r>
    </w:p>
    <w:p w14:paraId="6692BDD3" w14:textId="0CFC4F0A" w:rsidR="00F03A5E" w:rsidRPr="00846769" w:rsidRDefault="00F03A5E" w:rsidP="00F03A5E">
      <w:bookmarkStart w:id="461" w:name="_Hlk170773696"/>
      <w:r w:rsidRPr="00846769">
        <w:t xml:space="preserve">Settlement arrays, </w:t>
      </w:r>
      <w:r w:rsidR="00C82788">
        <w:t xml:space="preserve">typically </w:t>
      </w:r>
      <w:r w:rsidR="007B0E45">
        <w:t>comprising arrangements of</w:t>
      </w:r>
      <w:r w:rsidRPr="00846769">
        <w:t xml:space="preserve"> settlement plates</w:t>
      </w:r>
      <w:r w:rsidR="00C82788">
        <w:t xml:space="preserve"> held in different orientations</w:t>
      </w:r>
      <w:r w:rsidRPr="00846769">
        <w:t xml:space="preserve">, are commonly used to study recruitment of sessile marine organisms from planktonic life stages, such as larvae, into a benthic or sessile juvenile or adult phase. </w:t>
      </w:r>
      <w:bookmarkEnd w:id="461"/>
      <w:r w:rsidRPr="00846769">
        <w:t xml:space="preserve">Settlement arrays are unlikely to be an effective sampling method for infaunal bivalves such as </w:t>
      </w:r>
      <w:r w:rsidRPr="00846769">
        <w:rPr>
          <w:i/>
          <w:iCs/>
        </w:rPr>
        <w:t>Potamocorbula amurensis</w:t>
      </w:r>
      <w:r w:rsidRPr="00846769">
        <w:t xml:space="preserve"> and </w:t>
      </w:r>
      <w:r w:rsidRPr="00846769">
        <w:rPr>
          <w:i/>
          <w:iCs/>
        </w:rPr>
        <w:t xml:space="preserve">Mya </w:t>
      </w:r>
      <w:proofErr w:type="gramStart"/>
      <w:r w:rsidRPr="00846769">
        <w:rPr>
          <w:i/>
          <w:iCs/>
        </w:rPr>
        <w:t xml:space="preserve">arenaria, </w:t>
      </w:r>
      <w:r w:rsidRPr="00846769">
        <w:t>but</w:t>
      </w:r>
      <w:proofErr w:type="gramEnd"/>
      <w:r w:rsidRPr="00846769">
        <w:t xml:space="preserve"> are much more likely to be an effective sampling method and surveillance tool for epifaunal fouling species like mussels and oysters. Given that many epifaunal bivalves spread via biofouling, settlement arrays are a practical, low-cost method to detect fouling species.</w:t>
      </w:r>
    </w:p>
    <w:p w14:paraId="2689235E" w14:textId="77777777" w:rsidR="00F03A5E" w:rsidRPr="00846769" w:rsidRDefault="00F03A5E" w:rsidP="00F03A5E">
      <w:bookmarkStart w:id="462" w:name="_Hlk170773827"/>
      <w:r w:rsidRPr="00846769">
        <w:t>Settlement arrays have many advantages and are commonly used for marine pest surveillance as a result. Advantages of settlement arrays include:</w:t>
      </w:r>
      <w:r w:rsidRPr="00846769">
        <w:rPr>
          <w:rStyle w:val="CommentReference"/>
        </w:rPr>
        <w:t xml:space="preserve"> </w:t>
      </w:r>
    </w:p>
    <w:p w14:paraId="761E8D36" w14:textId="77777777" w:rsidR="00F03A5E" w:rsidRPr="00846769" w:rsidRDefault="00F03A5E" w:rsidP="00F03A5E">
      <w:pPr>
        <w:pStyle w:val="ListBullet"/>
      </w:pPr>
      <w:r w:rsidRPr="00846769">
        <w:t>being cost-effective to make</w:t>
      </w:r>
    </w:p>
    <w:p w14:paraId="0D1C3613" w14:textId="77777777" w:rsidR="00F03A5E" w:rsidRPr="00846769" w:rsidRDefault="00F03A5E" w:rsidP="00F03A5E">
      <w:pPr>
        <w:pStyle w:val="ListBullet"/>
      </w:pPr>
      <w:r w:rsidRPr="00846769">
        <w:t>simple to use and easy to deploy by non-specialists</w:t>
      </w:r>
    </w:p>
    <w:p w14:paraId="0E532849" w14:textId="77777777" w:rsidR="00F03A5E" w:rsidRPr="00846769" w:rsidRDefault="00F03A5E" w:rsidP="00F03A5E">
      <w:pPr>
        <w:pStyle w:val="ListBullet"/>
      </w:pPr>
      <w:r w:rsidRPr="00846769">
        <w:t>can sample species continuously over a long period of time (temporal scales)</w:t>
      </w:r>
    </w:p>
    <w:p w14:paraId="273D2088" w14:textId="77777777" w:rsidR="00F03A5E" w:rsidRPr="00846769" w:rsidRDefault="00F03A5E" w:rsidP="00F03A5E">
      <w:pPr>
        <w:pStyle w:val="ListBullet"/>
      </w:pPr>
      <w:r w:rsidRPr="00846769">
        <w:t>can be deployed in different areas and depths of the water column (spatial scales)</w:t>
      </w:r>
    </w:p>
    <w:p w14:paraId="6F15DB18" w14:textId="77777777" w:rsidR="00F03A5E" w:rsidRPr="00846769" w:rsidRDefault="00F03A5E" w:rsidP="00F03A5E">
      <w:pPr>
        <w:pStyle w:val="ListBullet"/>
      </w:pPr>
      <w:r w:rsidRPr="00846769">
        <w:t>can sample species inaccessible to divers or other sampling methods because of organism size</w:t>
      </w:r>
    </w:p>
    <w:p w14:paraId="348311D1" w14:textId="4670F83E" w:rsidR="00F03A5E" w:rsidRDefault="00F03A5E" w:rsidP="00F03A5E">
      <w:pPr>
        <w:pStyle w:val="ListBullet"/>
      </w:pPr>
      <w:r w:rsidRPr="00846769">
        <w:t>fouling organisms growing on plates can be scraped and used for both taxonomic identification and molecular diagnostics</w:t>
      </w:r>
    </w:p>
    <w:p w14:paraId="2CE72270" w14:textId="37112117" w:rsidR="000A2F6D" w:rsidRPr="00846769" w:rsidRDefault="000A2F6D" w:rsidP="000A2F6D">
      <w:pPr>
        <w:pStyle w:val="ListBullet"/>
      </w:pPr>
      <w:r>
        <w:t>give an indication of native fouling species seasonal abundance.</w:t>
      </w:r>
    </w:p>
    <w:p w14:paraId="234F608F" w14:textId="05D989E1" w:rsidR="00F03A5E" w:rsidRPr="00846769" w:rsidRDefault="00DE49A5" w:rsidP="00F03A5E">
      <w:bookmarkStart w:id="463" w:name="_Hlk170773844"/>
      <w:bookmarkEnd w:id="462"/>
      <w:r>
        <w:t xml:space="preserve">Settlement arrays may provide early detection of incursions when applied in routine </w:t>
      </w:r>
      <w:proofErr w:type="gramStart"/>
      <w:r>
        <w:t>monitoring, but</w:t>
      </w:r>
      <w:proofErr w:type="gramEnd"/>
      <w:r>
        <w:t xml:space="preserve"> are typically unsuitable for delimitation or to assess pest status following attempted eradication because arrays need to be deployed for a period of weeks to months in order to collect recruiting bivalves. </w:t>
      </w:r>
      <w:r w:rsidRPr="00846769">
        <w:t>A</w:t>
      </w:r>
      <w:r>
        <w:t>nother</w:t>
      </w:r>
      <w:r w:rsidR="00F03A5E" w:rsidRPr="00846769">
        <w:t xml:space="preserve"> disadvantage of settlement arrays is the relationship between the presence and abundance of the target species within the environment and its detection on the settlement surface is complex and difficult to quantify, which is </w:t>
      </w:r>
      <w:proofErr w:type="gramStart"/>
      <w:r w:rsidR="00F03A5E" w:rsidRPr="00846769">
        <w:t>similar to</w:t>
      </w:r>
      <w:proofErr w:type="gramEnd"/>
      <w:r w:rsidR="00F03A5E" w:rsidRPr="00846769">
        <w:t xml:space="preserve"> other methods of passive sampling. For invasive marine bivalves, this means that: </w:t>
      </w:r>
    </w:p>
    <w:p w14:paraId="2A99B40A" w14:textId="6C7A7D93" w:rsidR="00C82788" w:rsidRDefault="00C82788" w:rsidP="00C82788">
      <w:pPr>
        <w:pStyle w:val="ListBullet"/>
      </w:pPr>
      <w:r w:rsidRPr="00846769">
        <w:t xml:space="preserve">uncommon (rare) biofouling species, including those that are at an early stage of </w:t>
      </w:r>
      <w:r w:rsidR="000A2F6D">
        <w:t xml:space="preserve">a </w:t>
      </w:r>
      <w:r w:rsidRPr="00846769">
        <w:t>population</w:t>
      </w:r>
      <w:r w:rsidR="000A2F6D">
        <w:t>’</w:t>
      </w:r>
      <w:r w:rsidRPr="00846769">
        <w:t>s establishment, will be under-sampled</w:t>
      </w:r>
    </w:p>
    <w:p w14:paraId="030EB71A" w14:textId="4F982174" w:rsidR="000A2F6D" w:rsidRDefault="000A2F6D" w:rsidP="00C82788">
      <w:pPr>
        <w:pStyle w:val="ListBullet"/>
      </w:pPr>
      <w:bookmarkStart w:id="464" w:name="_Hlk188439489"/>
      <w:r>
        <w:t>other more abundant species may establish on the arrays and prevent biofouling species from settling due to competition for space</w:t>
      </w:r>
    </w:p>
    <w:bookmarkEnd w:id="464"/>
    <w:p w14:paraId="659CAF4F" w14:textId="77777777" w:rsidR="00C82788" w:rsidRPr="005749EA" w:rsidRDefault="00C82788" w:rsidP="00C82788">
      <w:pPr>
        <w:pStyle w:val="ListBullet"/>
      </w:pPr>
      <w:r w:rsidRPr="00846769">
        <w:t xml:space="preserve">absence from an array does not necessarily mean the absence of an established population because of species-specific variation </w:t>
      </w:r>
      <w:r w:rsidRPr="005749EA">
        <w:t xml:space="preserve">in settlement preferences. For example, settlement arrays deployed following the introduction of </w:t>
      </w:r>
      <w:r w:rsidRPr="005749EA">
        <w:rPr>
          <w:i/>
          <w:iCs/>
        </w:rPr>
        <w:t xml:space="preserve">Perna viridis </w:t>
      </w:r>
      <w:r w:rsidRPr="005749EA">
        <w:t xml:space="preserve">in South Carolina, USA, failed to detect any </w:t>
      </w:r>
      <w:r w:rsidRPr="005749EA">
        <w:rPr>
          <w:i/>
          <w:iCs/>
        </w:rPr>
        <w:t xml:space="preserve">P. viridis </w:t>
      </w:r>
      <w:r w:rsidRPr="005749EA">
        <w:t xml:space="preserve">despite numerous individuals found through visual searches </w:t>
      </w:r>
      <w:r w:rsidRPr="005749EA">
        <w:rPr>
          <w:noProof/>
        </w:rPr>
        <w:t>(Knott et al. 2008)</w:t>
      </w:r>
      <w:r w:rsidRPr="005749EA">
        <w:t xml:space="preserve">. </w:t>
      </w:r>
    </w:p>
    <w:p w14:paraId="349FAC84" w14:textId="4F1CA67C" w:rsidR="00F03A5E" w:rsidRPr="00846769" w:rsidRDefault="00C82788" w:rsidP="00F03A5E">
      <w:bookmarkStart w:id="465" w:name="_Hlk170773961"/>
      <w:bookmarkEnd w:id="463"/>
      <w:r w:rsidRPr="005749EA">
        <w:t xml:space="preserve">Variables which influence the recruitment of organisms onto settlement arrays </w:t>
      </w:r>
      <w:proofErr w:type="gramStart"/>
      <w:r w:rsidRPr="005749EA">
        <w:t>include</w:t>
      </w:r>
      <w:r w:rsidR="00F03A5E" w:rsidRPr="005749EA">
        <w:t>:</w:t>
      </w:r>
      <w:proofErr w:type="gramEnd"/>
      <w:r w:rsidR="00F03A5E" w:rsidRPr="005749EA">
        <w:t xml:space="preserve"> timing of deployment, duration and depth of deployment, orientation and shading</w:t>
      </w:r>
      <w:r w:rsidR="000A2F6D" w:rsidRPr="005749EA">
        <w:t xml:space="preserve"> </w:t>
      </w:r>
      <w:r w:rsidR="00F03A5E" w:rsidRPr="005749EA">
        <w:t xml:space="preserve">of the surfaces, surface </w:t>
      </w:r>
      <w:r w:rsidR="00F03A5E" w:rsidRPr="005749EA">
        <w:lastRenderedPageBreak/>
        <w:t>rugosity and material, water currents and tidal movements, predation</w:t>
      </w:r>
      <w:r w:rsidR="00C53006" w:rsidRPr="005749EA">
        <w:t>,</w:t>
      </w:r>
      <w:r w:rsidR="00F03A5E" w:rsidRPr="005749EA">
        <w:t xml:space="preserve"> and the presence of antifouling coatings (Tait et al. 2016). The number of settlement arrays or surface area of settlement substrata must be relatively high, and the settlement area must be attractive for settlement of the target bivalve (</w:t>
      </w:r>
      <w:proofErr w:type="spellStart"/>
      <w:r w:rsidR="00F03A5E" w:rsidRPr="005749EA">
        <w:t>Floerl</w:t>
      </w:r>
      <w:proofErr w:type="spellEnd"/>
      <w:r w:rsidR="00F03A5E" w:rsidRPr="005749EA">
        <w:t xml:space="preserve"> et al. 2012). </w:t>
      </w:r>
      <w:bookmarkStart w:id="466" w:name="_Hlk188439679"/>
      <w:r w:rsidR="000A2F6D" w:rsidRPr="005749EA">
        <w:t xml:space="preserve">The species’ biology and life habit will also influence settlement onto arrays, </w:t>
      </w:r>
      <w:bookmarkEnd w:id="466"/>
      <w:r w:rsidR="000A2F6D" w:rsidRPr="005749EA">
        <w:t>e.g. epifaunal bivalves will likely</w:t>
      </w:r>
      <w:r w:rsidR="000A2F6D">
        <w:t xml:space="preserve"> settle onto arrays, but infaunal bivalves will not. </w:t>
      </w:r>
    </w:p>
    <w:p w14:paraId="35249650" w14:textId="192BB76B" w:rsidR="00CC36B0" w:rsidRDefault="00F03A5E" w:rsidP="00F03A5E">
      <w:bookmarkStart w:id="467" w:name="_Hlk170774204"/>
      <w:bookmarkEnd w:id="465"/>
      <w:r w:rsidRPr="00DD01E4">
        <w:t>Various designs of settlement arrays have been used for marine pest surveillance (</w:t>
      </w:r>
      <w:proofErr w:type="spellStart"/>
      <w:r w:rsidRPr="00DD01E4">
        <w:t>Floerl</w:t>
      </w:r>
      <w:proofErr w:type="spellEnd"/>
      <w:r w:rsidRPr="00DD01E4">
        <w:t xml:space="preserve"> et al. 2012; Sutton &amp; Hewitt 20</w:t>
      </w:r>
      <w:r w:rsidR="00E8357E">
        <w:t>04</w:t>
      </w:r>
      <w:r w:rsidRPr="00DD01E4">
        <w:t>).</w:t>
      </w:r>
      <w:r w:rsidRPr="00846769">
        <w:t xml:space="preserve"> </w:t>
      </w:r>
      <w:bookmarkEnd w:id="467"/>
      <w:r w:rsidR="00CC36B0" w:rsidRPr="00846769">
        <w:t xml:space="preserve">Refer to </w:t>
      </w:r>
      <w:hyperlink w:anchor="_Appendix_E:_Deploying">
        <w:r w:rsidR="00CC36B0" w:rsidRPr="00846769">
          <w:rPr>
            <w:rStyle w:val="Hyperlink"/>
          </w:rPr>
          <w:t>Appendix E</w:t>
        </w:r>
      </w:hyperlink>
      <w:r w:rsidR="00CC36B0" w:rsidRPr="00846769">
        <w:t xml:space="preserve"> for a summary of potential settlement array designs for sampling invasive marine bivalves. </w:t>
      </w:r>
      <w:bookmarkStart w:id="468" w:name="_Hlk188441420"/>
      <w:r w:rsidR="00CC36B0" w:rsidRPr="007B0E45">
        <w:t>The box settlement array design has been extensively tested and is the result of ongoing work by WA. This type of array is now used across Northern Australia where tidal energies permit.</w:t>
      </w:r>
      <w:r w:rsidR="00CC36B0">
        <w:t xml:space="preserve"> </w:t>
      </w:r>
      <w:bookmarkEnd w:id="468"/>
    </w:p>
    <w:p w14:paraId="6CAA2116" w14:textId="380B6F16" w:rsidR="00F03A5E" w:rsidRDefault="00F03A5E" w:rsidP="00F03A5E">
      <w:bookmarkStart w:id="469" w:name="_Hlk170774218"/>
      <w:bookmarkStart w:id="470" w:name="_Hlk188441295"/>
      <w:r w:rsidRPr="00846769">
        <w:t>Generally, settlement arrays consist of a collection of plates of varying materials and surface features that act as settlement substrata for larval phases of sessile marine species (</w:t>
      </w:r>
      <w:r w:rsidR="00300312" w:rsidRPr="00846769">
        <w:fldChar w:fldCharType="begin"/>
      </w:r>
      <w:r w:rsidR="00300312" w:rsidRPr="00846769">
        <w:instrText xml:space="preserve"> REF _Ref172501593 \h </w:instrText>
      </w:r>
      <w:r w:rsidR="00300312" w:rsidRPr="00846769">
        <w:fldChar w:fldCharType="separate"/>
      </w:r>
      <w:r w:rsidR="00300312" w:rsidRPr="00846769">
        <w:t>Photo 1</w:t>
      </w:r>
      <w:r w:rsidR="00300312" w:rsidRPr="00846769">
        <w:fldChar w:fldCharType="end"/>
      </w:r>
      <w:r w:rsidRPr="00846769">
        <w:t xml:space="preserve">). </w:t>
      </w:r>
      <w:bookmarkEnd w:id="469"/>
      <w:r w:rsidR="00A13992" w:rsidRPr="00846769">
        <w:t>Arrays</w:t>
      </w:r>
      <w:r w:rsidRPr="00846769">
        <w:t xml:space="preserve"> are usually placed about 2 metres below low tide and attached to a fixed structure in the environment such as a wharf piling. </w:t>
      </w:r>
      <w:r w:rsidR="007B0E45" w:rsidRPr="00846769">
        <w:t>Where tidal amplitudes are large, a suspended array to maintain a constant depth is essential.</w:t>
      </w:r>
      <w:r w:rsidR="007B0E45">
        <w:t xml:space="preserve"> </w:t>
      </w:r>
      <w:r w:rsidRPr="00846769">
        <w:t>Settlement</w:t>
      </w:r>
      <w:r w:rsidR="00A13992" w:rsidRPr="00846769">
        <w:t xml:space="preserve"> arrays</w:t>
      </w:r>
      <w:r w:rsidRPr="00846769">
        <w:t xml:space="preserve"> are typically deployed for a minimum of three months to allow biofouling to reach a size and maturity to enable effective taxonomic identification. </w:t>
      </w:r>
      <w:r w:rsidR="007B0E45">
        <w:t xml:space="preserve">Material scraped from settlement plates can alternatively be tested using DNA-based methods such as PCR or HTS. </w:t>
      </w:r>
    </w:p>
    <w:p w14:paraId="55C440BA" w14:textId="534B2CAF" w:rsidR="00F03A5E" w:rsidRPr="00846769" w:rsidRDefault="00F03A5E" w:rsidP="00F03A5E">
      <w:bookmarkStart w:id="471" w:name="_Hlk188441474"/>
      <w:bookmarkEnd w:id="470"/>
      <w:r w:rsidRPr="00846769">
        <w:t>Different orientations of settlement plates and variations in depth and numbers of settlement arrays deployed c</w:t>
      </w:r>
      <w:r w:rsidRPr="00DD01E4">
        <w:t>an be used (Tait et al. 2016). Settlement</w:t>
      </w:r>
      <w:r w:rsidRPr="00846769">
        <w:t xml:space="preserve"> arrays can also be deployed in a staggered manner to enable continuous sampling over the reproductive period of the target bivalve while minimising overgrowth of biofouling organisms. For example, two months after deploying a settlement array, a second settlement array could be deployed. After four months of deployment the original settlement surfaces are retrieved while the second set of surfaces is retrieved two months later. This allows for two overlapping deployments each of four months</w:t>
      </w:r>
      <w:r w:rsidR="00CC36B0">
        <w:t>’</w:t>
      </w:r>
      <w:r w:rsidRPr="00846769">
        <w:t xml:space="preserve"> duration. </w:t>
      </w:r>
      <w:r w:rsidR="00CC36B0">
        <w:t xml:space="preserve"> </w:t>
      </w:r>
    </w:p>
    <w:bookmarkEnd w:id="471"/>
    <w:p w14:paraId="64F40399" w14:textId="5529DE80" w:rsidR="00F03A5E" w:rsidRPr="005749EA" w:rsidRDefault="00F03A5E" w:rsidP="00F03A5E">
      <w:r w:rsidRPr="00846769">
        <w:t xml:space="preserve">Plastics (PVC, Perspex), wood, cement/rock, metal (steel aluminium) and </w:t>
      </w:r>
      <w:r w:rsidRPr="005749EA">
        <w:t xml:space="preserve">fibreglass have successfully been fouled by invasive marine bivalves (Tait et al. 2016; </w:t>
      </w:r>
      <w:proofErr w:type="spellStart"/>
      <w:r w:rsidRPr="005749EA">
        <w:t>Vekhova</w:t>
      </w:r>
      <w:proofErr w:type="spellEnd"/>
      <w:r w:rsidRPr="005749EA">
        <w:t xml:space="preserve"> 2006). The likelihood of a bivalve to settle will differ between settlement surfaces and this needs to be considered. </w:t>
      </w:r>
      <w:r w:rsidR="00C53006" w:rsidRPr="005749EA">
        <w:t>For example, n</w:t>
      </w:r>
      <w:r w:rsidRPr="005749EA">
        <w:t xml:space="preserve">atural rope or other filamentous fibres </w:t>
      </w:r>
      <w:r w:rsidR="00C53006" w:rsidRPr="005749EA">
        <w:t xml:space="preserve">are </w:t>
      </w:r>
      <w:r w:rsidRPr="005749EA">
        <w:t xml:space="preserve">used to promote </w:t>
      </w:r>
      <w:r w:rsidRPr="005749EA">
        <w:rPr>
          <w:i/>
          <w:iCs/>
        </w:rPr>
        <w:t>P. canaliculus</w:t>
      </w:r>
      <w:r w:rsidRPr="005749EA">
        <w:t xml:space="preserve"> settlement in aquaculture settings in New Zealand. </w:t>
      </w:r>
      <w:bookmarkStart w:id="472" w:name="_Ref105954351"/>
    </w:p>
    <w:p w14:paraId="3A06556B" w14:textId="7425012C" w:rsidR="00D41BCD" w:rsidRPr="00846769" w:rsidRDefault="00D41BCD" w:rsidP="00F03A5E">
      <w:bookmarkStart w:id="473" w:name="_Hlk188442783"/>
      <w:r w:rsidRPr="005749EA">
        <w:t xml:space="preserve">Settlement arrays are </w:t>
      </w:r>
      <w:r w:rsidR="00C144CA" w:rsidRPr="005749EA">
        <w:t>the recommended surveillance method</w:t>
      </w:r>
      <w:r w:rsidRPr="005749EA">
        <w:t xml:space="preserve"> </w:t>
      </w:r>
      <w:r w:rsidR="00C144CA" w:rsidRPr="005749EA">
        <w:t>for locations with</w:t>
      </w:r>
      <w:r w:rsidRPr="005749EA">
        <w:t xml:space="preserve"> high-risk vectors, such as international or domestic vessels (McDonald et al. 2019). In Western Australia, the implementation of the State-Wide Array Surveillance Program (SWASP) </w:t>
      </w:r>
      <w:r w:rsidR="00C144CA" w:rsidRPr="005749EA">
        <w:t xml:space="preserve">which uses settlement arrays </w:t>
      </w:r>
      <w:r w:rsidRPr="005749EA">
        <w:t>combines collaboration with the Western Australian Government, port and</w:t>
      </w:r>
      <w:r w:rsidRPr="00846769">
        <w:t xml:space="preserve"> marina authorities, and industry partners, which has been beneficial to the surveillance program </w:t>
      </w:r>
      <w:r w:rsidRPr="00C80491">
        <w:t>(Kruger, Ticehurst &amp; Van der Meer Simo 2022).</w:t>
      </w:r>
      <w:r w:rsidRPr="00846769">
        <w:t xml:space="preserve"> </w:t>
      </w:r>
    </w:p>
    <w:p w14:paraId="4B9DA2BB" w14:textId="1F4750B8" w:rsidR="00300312" w:rsidRPr="00846769" w:rsidRDefault="00300312" w:rsidP="00300312">
      <w:pPr>
        <w:pStyle w:val="Caption"/>
      </w:pPr>
      <w:bookmarkStart w:id="474" w:name="_Ref172501593"/>
      <w:bookmarkStart w:id="475" w:name="_Toc191999525"/>
      <w:bookmarkStart w:id="476" w:name="_Hlk188441312"/>
      <w:bookmarkEnd w:id="472"/>
      <w:bookmarkEnd w:id="473"/>
      <w:r w:rsidRPr="00846769">
        <w:lastRenderedPageBreak/>
        <w:t xml:space="preserve">Photo </w:t>
      </w:r>
      <w:r w:rsidRPr="00846769">
        <w:fldChar w:fldCharType="begin"/>
      </w:r>
      <w:r w:rsidRPr="00846769">
        <w:instrText xml:space="preserve"> SEQ Photo \* ARABIC </w:instrText>
      </w:r>
      <w:r w:rsidRPr="00846769">
        <w:fldChar w:fldCharType="separate"/>
      </w:r>
      <w:r w:rsidRPr="00846769">
        <w:t>1</w:t>
      </w:r>
      <w:r w:rsidRPr="00846769">
        <w:fldChar w:fldCharType="end"/>
      </w:r>
      <w:bookmarkEnd w:id="474"/>
      <w:r w:rsidRPr="00846769">
        <w:t xml:space="preserve"> </w:t>
      </w:r>
      <w:bookmarkStart w:id="477" w:name="_Hlk188444057"/>
      <w:r w:rsidRPr="00846769">
        <w:t>Box settlement array design showing square plates attached to a frame (left), and settlement array covered in biofouling after immersion in water (right)</w:t>
      </w:r>
      <w:bookmarkEnd w:id="477"/>
      <w:bookmarkEnd w:id="475"/>
    </w:p>
    <w:p w14:paraId="0E98FCB7" w14:textId="77777777" w:rsidR="00C53006" w:rsidRPr="00846769" w:rsidRDefault="00C53006" w:rsidP="00C53006">
      <w:r w:rsidRPr="00846769">
        <w:rPr>
          <w:noProof/>
        </w:rPr>
        <w:drawing>
          <wp:inline distT="0" distB="0" distL="0" distR="0" wp14:anchorId="05F098C7" wp14:editId="08DC86B3">
            <wp:extent cx="5569581" cy="3638942"/>
            <wp:effectExtent l="0" t="0" r="0" b="0"/>
            <wp:docPr id="2147340801" name="Picture 1" descr="Coloured photographs showing a clean box settlement array design out of the water on the left, and a fouled box settlement array design after retrieval from the water covered in algae on the right. A worker is holding both settlement array designs on a pontoon and the ocean can be se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40801" name="Picture 1" descr="Coloured photographs showing a clean box settlement array design out of the water on the left, and a fouled box settlement array design after retrieval from the water covered in algae on the right. A worker is holding both settlement array designs on a pontoon and the ocean can be seen in the background."/>
                    <pic:cNvPicPr/>
                  </pic:nvPicPr>
                  <pic:blipFill>
                    <a:blip r:embed="rId176" cstate="email">
                      <a:extLst>
                        <a:ext uri="{28A0092B-C50C-407E-A947-70E740481C1C}">
                          <a14:useLocalDpi xmlns:a14="http://schemas.microsoft.com/office/drawing/2010/main" val="0"/>
                        </a:ext>
                      </a:extLst>
                    </a:blip>
                    <a:stretch>
                      <a:fillRect/>
                    </a:stretch>
                  </pic:blipFill>
                  <pic:spPr>
                    <a:xfrm>
                      <a:off x="0" y="0"/>
                      <a:ext cx="5569581" cy="3638942"/>
                    </a:xfrm>
                    <a:prstGeom prst="rect">
                      <a:avLst/>
                    </a:prstGeom>
                  </pic:spPr>
                </pic:pic>
              </a:graphicData>
            </a:graphic>
          </wp:inline>
        </w:drawing>
      </w:r>
    </w:p>
    <w:p w14:paraId="70452671" w14:textId="097CBB97" w:rsidR="00F03A5E" w:rsidRPr="00846769" w:rsidRDefault="00F03A5E" w:rsidP="00F03A5E">
      <w:r w:rsidRPr="00846769">
        <w:t xml:space="preserve"> </w:t>
      </w:r>
      <w:r w:rsidRPr="00846769">
        <w:rPr>
          <w:sz w:val="18"/>
          <w:szCs w:val="18"/>
        </w:rPr>
        <w:t xml:space="preserve">Source: </w:t>
      </w:r>
      <w:r w:rsidR="008B3373" w:rsidRPr="00846769">
        <w:rPr>
          <w:sz w:val="18"/>
          <w:szCs w:val="18"/>
        </w:rPr>
        <w:t>Agriculture</w:t>
      </w:r>
      <w:r w:rsidRPr="00846769">
        <w:rPr>
          <w:sz w:val="18"/>
          <w:szCs w:val="18"/>
        </w:rPr>
        <w:t xml:space="preserve"> Victoria </w:t>
      </w:r>
    </w:p>
    <w:p w14:paraId="5B926247" w14:textId="19A07578" w:rsidR="00CB19B8" w:rsidRDefault="00D768FD" w:rsidP="00A04E26">
      <w:pPr>
        <w:pStyle w:val="Heading4"/>
        <w:numPr>
          <w:ilvl w:val="2"/>
          <w:numId w:val="4"/>
        </w:numPr>
      </w:pPr>
      <w:bookmarkStart w:id="478" w:name="_Hlk188344686"/>
      <w:bookmarkEnd w:id="476"/>
      <w:r>
        <w:t>Plankton tows and water samples</w:t>
      </w:r>
    </w:p>
    <w:p w14:paraId="02B1594D" w14:textId="1B5FF1CA" w:rsidR="00CB19B8" w:rsidRPr="00CB19B8" w:rsidRDefault="00EB5A4A" w:rsidP="00CB19B8">
      <w:r>
        <w:t>Plankton or water</w:t>
      </w:r>
      <w:r w:rsidR="00CB19B8" w:rsidRPr="00CB19B8">
        <w:t xml:space="preserve"> samples can be collected using plankton nets or water containers to test for eDNA of target bivalve species. In some cases, </w:t>
      </w:r>
      <w:r>
        <w:t>plankton or water</w:t>
      </w:r>
      <w:r w:rsidR="00CB19B8" w:rsidRPr="00CB19B8">
        <w:t xml:space="preserve"> samples can also be examined under the microscope to morphologically identify larval stages. Many invasive marine bivalves will have planktonic larval stages or shed DNA into the water column (</w:t>
      </w:r>
      <w:r w:rsidR="002F7B81">
        <w:t xml:space="preserve">e.g. </w:t>
      </w:r>
      <w:r w:rsidR="00CB19B8" w:rsidRPr="00CB19B8">
        <w:t xml:space="preserve">gametes after spawning), and so water samples can be used as a surveillance method for planktonic life stages. </w:t>
      </w:r>
    </w:p>
    <w:p w14:paraId="4BFC10C3" w14:textId="3B9BF064" w:rsidR="00065DF4" w:rsidRDefault="00CB19B8" w:rsidP="0091639B">
      <w:r w:rsidRPr="00CB19B8">
        <w:t>Plankton tows, sometimes called plankton trawls, are commonly used to sample planktonic organisms or their DNA from the water column, including bivalve larvae and gametes. The samples are collected with a plankton net that is pulled through the water column either vertically, horizontally, or obliquely. The net is usually deployed from a vessel</w:t>
      </w:r>
      <w:r w:rsidR="00065DF4">
        <w:t>,</w:t>
      </w:r>
      <w:r w:rsidRPr="00CB19B8">
        <w:t xml:space="preserve"> but tows can also be performed from wharves or pontoons. </w:t>
      </w:r>
      <w:r w:rsidR="00065DF4" w:rsidRPr="00846769">
        <w:t xml:space="preserve">See </w:t>
      </w:r>
      <w:hyperlink w:anchor="_Appendix_F:_Using" w:history="1">
        <w:r w:rsidR="00065DF4" w:rsidRPr="00846769">
          <w:rPr>
            <w:rStyle w:val="Hyperlink"/>
          </w:rPr>
          <w:t>Appendix F</w:t>
        </w:r>
      </w:hyperlink>
      <w:r w:rsidR="00065DF4" w:rsidRPr="00846769">
        <w:t xml:space="preserve"> for a</w:t>
      </w:r>
      <w:r w:rsidR="00065DF4">
        <w:t>n</w:t>
      </w:r>
      <w:r w:rsidR="00065DF4" w:rsidRPr="00846769">
        <w:t xml:space="preserve"> example method of using plankton tows for detecting invasive marine bivalves.</w:t>
      </w:r>
      <w:r w:rsidR="0093605B" w:rsidRPr="0093605B">
        <w:rPr>
          <w:rStyle w:val="CommentReference"/>
        </w:rPr>
        <w:t xml:space="preserve"> </w:t>
      </w:r>
      <w:r w:rsidR="00EB5A4A" w:rsidRPr="00EB5A4A">
        <w:t xml:space="preserve"> </w:t>
      </w:r>
      <w:r w:rsidR="00EB5A4A">
        <w:t>Further</w:t>
      </w:r>
      <w:r w:rsidR="00EB5A4A" w:rsidRPr="00846769">
        <w:t xml:space="preserve"> detail on</w:t>
      </w:r>
      <w:r w:rsidR="00EB5A4A">
        <w:t xml:space="preserve"> plankton and water samples, as well as</w:t>
      </w:r>
      <w:r w:rsidR="00EB5A4A" w:rsidRPr="00846769">
        <w:t xml:space="preserve"> </w:t>
      </w:r>
      <w:r w:rsidR="00EB5A4A">
        <w:t xml:space="preserve">other </w:t>
      </w:r>
      <w:r w:rsidR="00EB5A4A" w:rsidRPr="00846769">
        <w:t>methods</w:t>
      </w:r>
      <w:r w:rsidR="00EB5A4A">
        <w:t xml:space="preserve"> for marine pest surveillance,</w:t>
      </w:r>
      <w:r w:rsidR="00EB5A4A" w:rsidRPr="00846769">
        <w:t xml:space="preserve"> are located in the </w:t>
      </w:r>
      <w:hyperlink r:id="rId177" w:history="1">
        <w:r w:rsidR="00EB5A4A" w:rsidRPr="00846769">
          <w:rPr>
            <w:rStyle w:val="Hyperlink"/>
          </w:rPr>
          <w:t>Australian marine pest monitoring manual</w:t>
        </w:r>
      </w:hyperlink>
      <w:r w:rsidR="00EB5A4A" w:rsidRPr="00846769">
        <w:t>.</w:t>
      </w:r>
    </w:p>
    <w:p w14:paraId="0FB446EF" w14:textId="0D17B1D1" w:rsidR="00BE1F16" w:rsidRPr="00A04E26" w:rsidRDefault="0091639B" w:rsidP="0091639B">
      <w:bookmarkStart w:id="479" w:name="_Hlk188353604"/>
      <w:r w:rsidRPr="00846769">
        <w:t xml:space="preserve">Plankton tows have the benefit of being able to </w:t>
      </w:r>
      <w:r w:rsidRPr="005749EA">
        <w:t xml:space="preserve">concentrate material from large volumes of water, which can improve detections of DNA at low concentrations and overcoming patchiness (Bowers et al. 2021). However, plankton nets </w:t>
      </w:r>
      <w:r w:rsidR="00852324" w:rsidRPr="005749EA">
        <w:t xml:space="preserve">may be </w:t>
      </w:r>
      <w:r w:rsidRPr="005749EA">
        <w:t xml:space="preserve">susceptible to cross-contamination, poor sterilisation, and </w:t>
      </w:r>
      <w:r w:rsidR="00A13992" w:rsidRPr="005749EA">
        <w:t xml:space="preserve">challenging </w:t>
      </w:r>
      <w:r w:rsidRPr="005749EA">
        <w:t>field logistics</w:t>
      </w:r>
      <w:r w:rsidR="00852324" w:rsidRPr="005749EA">
        <w:t xml:space="preserve"> in some environments</w:t>
      </w:r>
      <w:r w:rsidRPr="005749EA">
        <w:t>.</w:t>
      </w:r>
      <w:r w:rsidR="00BE1F16" w:rsidRPr="005749EA">
        <w:t xml:space="preserve"> </w:t>
      </w:r>
      <w:proofErr w:type="spellStart"/>
      <w:r w:rsidR="004253B5" w:rsidRPr="005749EA">
        <w:t>Giblot-Ducray</w:t>
      </w:r>
      <w:proofErr w:type="spellEnd"/>
      <w:r w:rsidR="004253B5" w:rsidRPr="005749EA">
        <w:t xml:space="preserve"> and Bott (2013) developed a plankton sampling protocol for molecular testing of marine pests, including for bivalves</w:t>
      </w:r>
      <w:r w:rsidR="004253B5" w:rsidRPr="005749EA">
        <w:rPr>
          <w:i/>
          <w:iCs/>
        </w:rPr>
        <w:t>.</w:t>
      </w:r>
      <w:r w:rsidR="004253B5" w:rsidRPr="005749EA">
        <w:rPr>
          <w:rFonts w:ascii="Calibri" w:hAnsi="Calibri"/>
        </w:rPr>
        <w:t xml:space="preserve"> </w:t>
      </w:r>
      <w:r w:rsidR="00CB19B8" w:rsidRPr="005749EA">
        <w:rPr>
          <w:rFonts w:ascii="Calibri" w:hAnsi="Calibri"/>
        </w:rPr>
        <w:t>This method was further assessed and refined by Deveney et al</w:t>
      </w:r>
      <w:r w:rsidR="00065DF4" w:rsidRPr="005749EA">
        <w:rPr>
          <w:rFonts w:ascii="Calibri" w:hAnsi="Calibri"/>
        </w:rPr>
        <w:t>.</w:t>
      </w:r>
      <w:r w:rsidR="00CB19B8" w:rsidRPr="005749EA">
        <w:rPr>
          <w:rFonts w:ascii="Calibri" w:hAnsi="Calibri"/>
        </w:rPr>
        <w:t xml:space="preserve"> (2017) and has</w:t>
      </w:r>
      <w:r w:rsidR="00CB19B8" w:rsidRPr="00CB19B8">
        <w:rPr>
          <w:rFonts w:ascii="Calibri" w:hAnsi="Calibri"/>
        </w:rPr>
        <w:t xml:space="preserve"> been subsequently applied to </w:t>
      </w:r>
      <w:r w:rsidR="00CB19B8" w:rsidRPr="00CB19B8">
        <w:rPr>
          <w:rFonts w:ascii="Calibri" w:hAnsi="Calibri"/>
        </w:rPr>
        <w:lastRenderedPageBreak/>
        <w:t xml:space="preserve">molecular surveillance </w:t>
      </w:r>
      <w:r w:rsidR="00CB19B8" w:rsidRPr="005749EA">
        <w:rPr>
          <w:rFonts w:ascii="Calibri" w:hAnsi="Calibri"/>
        </w:rPr>
        <w:t>around Australia (</w:t>
      </w:r>
      <w:r w:rsidR="00852324" w:rsidRPr="005749EA">
        <w:rPr>
          <w:rFonts w:ascii="Calibri" w:hAnsi="Calibri"/>
        </w:rPr>
        <w:t>Wiltshire et al. 2019</w:t>
      </w:r>
      <w:proofErr w:type="gramStart"/>
      <w:r w:rsidR="00852324" w:rsidRPr="005749EA">
        <w:rPr>
          <w:rFonts w:ascii="Calibri" w:hAnsi="Calibri"/>
        </w:rPr>
        <w:t>a,c</w:t>
      </w:r>
      <w:proofErr w:type="gramEnd"/>
      <w:r w:rsidR="007F4018" w:rsidRPr="005749EA">
        <w:rPr>
          <w:rFonts w:ascii="Calibri" w:hAnsi="Calibri"/>
        </w:rPr>
        <w:t xml:space="preserve">; Wiltshire et al. </w:t>
      </w:r>
      <w:r w:rsidR="00852324" w:rsidRPr="005749EA">
        <w:rPr>
          <w:rFonts w:ascii="Calibri" w:hAnsi="Calibri"/>
        </w:rPr>
        <w:t>2020</w:t>
      </w:r>
      <w:r w:rsidR="007F4018" w:rsidRPr="005749EA">
        <w:rPr>
          <w:rFonts w:ascii="Calibri" w:hAnsi="Calibri"/>
        </w:rPr>
        <w:t>; Wiltshire et al.</w:t>
      </w:r>
      <w:r w:rsidR="00852324" w:rsidRPr="005749EA">
        <w:rPr>
          <w:rFonts w:ascii="Calibri" w:hAnsi="Calibri"/>
        </w:rPr>
        <w:t xml:space="preserve"> 2022</w:t>
      </w:r>
      <w:r w:rsidR="00CB19B8" w:rsidRPr="005749EA">
        <w:rPr>
          <w:rFonts w:ascii="Calibri" w:hAnsi="Calibri"/>
        </w:rPr>
        <w:t>).</w:t>
      </w:r>
      <w:r w:rsidR="00CB19B8" w:rsidRPr="00CB19B8">
        <w:rPr>
          <w:rFonts w:ascii="Calibri" w:hAnsi="Calibri"/>
        </w:rPr>
        <w:t xml:space="preserve"> </w:t>
      </w:r>
    </w:p>
    <w:p w14:paraId="6D755C1F" w14:textId="610D5792" w:rsidR="00C618A8" w:rsidRDefault="00852324" w:rsidP="0091639B">
      <w:bookmarkStart w:id="480" w:name="_Hlk188353637"/>
      <w:bookmarkEnd w:id="479"/>
      <w:r>
        <w:t>Containers</w:t>
      </w:r>
      <w:r w:rsidR="0091639B" w:rsidRPr="00846769">
        <w:t xml:space="preserve"> can be used to collect </w:t>
      </w:r>
      <w:r w:rsidR="0091639B" w:rsidRPr="005749EA">
        <w:t>water samples</w:t>
      </w:r>
      <w:r w:rsidR="00BE1F16" w:rsidRPr="005749EA">
        <w:t xml:space="preserve">, </w:t>
      </w:r>
      <w:r w:rsidR="0091639B" w:rsidRPr="005749EA">
        <w:t xml:space="preserve">such as </w:t>
      </w:r>
      <w:proofErr w:type="spellStart"/>
      <w:r w:rsidR="0091639B" w:rsidRPr="005749EA">
        <w:t>Niskin</w:t>
      </w:r>
      <w:proofErr w:type="spellEnd"/>
      <w:r w:rsidR="0091639B" w:rsidRPr="005749EA">
        <w:t xml:space="preserve"> bottles and van Dorn “horizontal” samplers, which can collect water from discrete depths (Bowers et al. 2021; Ellis et al. 2022). </w:t>
      </w:r>
      <w:r w:rsidR="00BE1F16" w:rsidRPr="005749EA">
        <w:t>Due</w:t>
      </w:r>
      <w:r w:rsidR="00BE1F16" w:rsidRPr="00C80491">
        <w:t xml:space="preserve"> to the volume </w:t>
      </w:r>
      <w:r w:rsidR="004F4137" w:rsidRPr="00C80491">
        <w:t xml:space="preserve">and turbidity </w:t>
      </w:r>
      <w:r w:rsidR="00BE1F16" w:rsidRPr="00C80491">
        <w:t xml:space="preserve">of water collected </w:t>
      </w:r>
      <w:r w:rsidR="004F4137" w:rsidRPr="00C80491">
        <w:t>with these containers</w:t>
      </w:r>
      <w:r w:rsidR="00BE1F16" w:rsidRPr="00C80491">
        <w:t xml:space="preserve">, water samples will </w:t>
      </w:r>
      <w:r w:rsidR="004F4137" w:rsidRPr="00C80491">
        <w:t>usually need to be filtered</w:t>
      </w:r>
      <w:r w:rsidR="00BE1F16" w:rsidRPr="00C80491">
        <w:t xml:space="preserve">. </w:t>
      </w:r>
      <w:r w:rsidR="003C129E" w:rsidRPr="00C80491">
        <w:t>Consideration needs to be given to the filtration methods used, among other variables</w:t>
      </w:r>
      <w:r w:rsidR="003C129E" w:rsidRPr="00846769">
        <w:t xml:space="preserve">, which are outlined in the </w:t>
      </w:r>
      <w:hyperlink r:id="rId178" w:history="1">
        <w:r w:rsidR="003C129E" w:rsidRPr="00846769">
          <w:rPr>
            <w:rStyle w:val="Hyperlink"/>
            <w:rFonts w:ascii="Calibri" w:hAnsi="Calibri"/>
          </w:rPr>
          <w:t>Environmental DNA protocol development guide for biomonitoring guidelines</w:t>
        </w:r>
      </w:hyperlink>
      <w:r w:rsidR="003C129E" w:rsidRPr="00846769">
        <w:rPr>
          <w:rStyle w:val="Hyperlink"/>
          <w:rFonts w:ascii="Calibri" w:hAnsi="Calibri"/>
        </w:rPr>
        <w:t>.</w:t>
      </w:r>
      <w:r w:rsidR="00057A3D">
        <w:rPr>
          <w:rStyle w:val="Hyperlink"/>
          <w:rFonts w:ascii="Calibri" w:hAnsi="Calibri"/>
        </w:rPr>
        <w:t xml:space="preserve"> </w:t>
      </w:r>
      <w:r w:rsidR="00057A3D">
        <w:t xml:space="preserve">Another method for sampling eDNA from water samples is the </w:t>
      </w:r>
      <w:hyperlink r:id="rId179" w:history="1">
        <w:r w:rsidR="00057A3D" w:rsidRPr="005D6251">
          <w:rPr>
            <w:rStyle w:val="Hyperlink"/>
          </w:rPr>
          <w:t>Smith-Root eDNA water sampler</w:t>
        </w:r>
      </w:hyperlink>
      <w:r w:rsidR="00057A3D">
        <w:t xml:space="preserve"> which is used in Victoria</w:t>
      </w:r>
      <w:r w:rsidR="00A80DD3">
        <w:t>, Queensland</w:t>
      </w:r>
      <w:r w:rsidR="00057A3D">
        <w:t xml:space="preserve"> and New South Wales.</w:t>
      </w:r>
    </w:p>
    <w:p w14:paraId="083C15F5" w14:textId="058B213B" w:rsidR="008A2E99" w:rsidRPr="00846769" w:rsidRDefault="008A2E99" w:rsidP="0091639B">
      <w:bookmarkStart w:id="481" w:name="_Hlk188353659"/>
      <w:bookmarkEnd w:id="480"/>
      <w:r w:rsidRPr="00846769">
        <w:t xml:space="preserve">Samples collected with plankton nets </w:t>
      </w:r>
      <w:r w:rsidR="00065DF4">
        <w:t xml:space="preserve">and containers </w:t>
      </w:r>
      <w:r w:rsidRPr="00846769">
        <w:t>can be filtered and tested for eDNA, which is useful for microscopic organisms which may be difficult to identify morphologically, or for gametes (</w:t>
      </w:r>
      <w:r>
        <w:t>i.e.</w:t>
      </w:r>
      <w:r w:rsidRPr="00846769">
        <w:t xml:space="preserve"> eggs and sperm). </w:t>
      </w:r>
      <w:r w:rsidRPr="00846769">
        <w:rPr>
          <w:rFonts w:ascii="Calibri" w:hAnsi="Calibri"/>
        </w:rPr>
        <w:t xml:space="preserve">Sensitivity levels of PCR tests are high, allowing detection even where target DNA is present at very low concentrations in the </w:t>
      </w:r>
      <w:r w:rsidR="00065DF4">
        <w:rPr>
          <w:rFonts w:ascii="Calibri" w:hAnsi="Calibri"/>
        </w:rPr>
        <w:t xml:space="preserve">water </w:t>
      </w:r>
      <w:r w:rsidRPr="00846769">
        <w:rPr>
          <w:rFonts w:ascii="Calibri" w:hAnsi="Calibri"/>
        </w:rPr>
        <w:t>sample. However, where the target organism is rare, DNA may not be present in every sample. In addition, samples may only collect planktonic life-stages or shed DNA of a target species at certain times (</w:t>
      </w:r>
      <w:r>
        <w:rPr>
          <w:rFonts w:ascii="Calibri" w:hAnsi="Calibri"/>
        </w:rPr>
        <w:t>e.g.</w:t>
      </w:r>
      <w:r w:rsidRPr="00846769">
        <w:rPr>
          <w:rFonts w:ascii="Calibri" w:hAnsi="Calibri"/>
        </w:rPr>
        <w:t xml:space="preserve"> after spawning), and therefore</w:t>
      </w:r>
      <w:r>
        <w:rPr>
          <w:rFonts w:ascii="Calibri" w:hAnsi="Calibri"/>
        </w:rPr>
        <w:t xml:space="preserve"> timing of</w:t>
      </w:r>
      <w:r w:rsidRPr="00846769">
        <w:rPr>
          <w:rFonts w:ascii="Calibri" w:hAnsi="Calibri"/>
        </w:rPr>
        <w:t xml:space="preserve"> surveillance </w:t>
      </w:r>
      <w:r>
        <w:rPr>
          <w:rFonts w:ascii="Calibri" w:hAnsi="Calibri"/>
        </w:rPr>
        <w:t>should be considered. When surveillance is outside likely spawning periods, plankton tows may be</w:t>
      </w:r>
      <w:r w:rsidRPr="00846769">
        <w:rPr>
          <w:rFonts w:ascii="Calibri" w:hAnsi="Calibri"/>
        </w:rPr>
        <w:t xml:space="preserve"> </w:t>
      </w:r>
      <w:r>
        <w:rPr>
          <w:rFonts w:ascii="Calibri" w:hAnsi="Calibri"/>
        </w:rPr>
        <w:t>supplemented</w:t>
      </w:r>
      <w:r w:rsidRPr="00846769">
        <w:rPr>
          <w:rFonts w:ascii="Calibri" w:hAnsi="Calibri"/>
        </w:rPr>
        <w:t xml:space="preserve"> with </w:t>
      </w:r>
      <w:r>
        <w:rPr>
          <w:rFonts w:ascii="Calibri" w:hAnsi="Calibri"/>
        </w:rPr>
        <w:t>other methods</w:t>
      </w:r>
      <w:r w:rsidRPr="00846769">
        <w:rPr>
          <w:rFonts w:ascii="Calibri" w:hAnsi="Calibri"/>
        </w:rPr>
        <w:t xml:space="preserve"> to </w:t>
      </w:r>
      <w:r>
        <w:rPr>
          <w:rFonts w:ascii="Calibri" w:hAnsi="Calibri"/>
        </w:rPr>
        <w:t>improve the likelihood of</w:t>
      </w:r>
      <w:r w:rsidRPr="00846769">
        <w:rPr>
          <w:rFonts w:ascii="Calibri" w:hAnsi="Calibri"/>
        </w:rPr>
        <w:t xml:space="preserve"> detection</w:t>
      </w:r>
      <w:r w:rsidR="00F247D7">
        <w:rPr>
          <w:rFonts w:ascii="Calibri" w:hAnsi="Calibri"/>
        </w:rPr>
        <w:t>, with the specific method</w:t>
      </w:r>
      <w:r>
        <w:rPr>
          <w:rFonts w:ascii="Calibri" w:hAnsi="Calibri"/>
        </w:rPr>
        <w:t xml:space="preserve"> dependent on the bivalve species.</w:t>
      </w:r>
    </w:p>
    <w:bookmarkEnd w:id="478"/>
    <w:bookmarkEnd w:id="481"/>
    <w:p w14:paraId="253C69A9" w14:textId="23188DF4" w:rsidR="00F03A5E" w:rsidRPr="00846769" w:rsidRDefault="00F03A5E" w:rsidP="00F03A5E">
      <w:pPr>
        <w:pStyle w:val="Heading4"/>
        <w:numPr>
          <w:ilvl w:val="2"/>
          <w:numId w:val="4"/>
        </w:numPr>
      </w:pPr>
      <w:r w:rsidRPr="00846769">
        <w:t xml:space="preserve">Visual </w:t>
      </w:r>
      <w:r w:rsidR="001F5379" w:rsidRPr="00846769">
        <w:t>shore</w:t>
      </w:r>
      <w:r w:rsidR="00D47AFA" w:rsidRPr="00846769">
        <w:t xml:space="preserve"> </w:t>
      </w:r>
      <w:r w:rsidRPr="00846769">
        <w:t>searches</w:t>
      </w:r>
    </w:p>
    <w:p w14:paraId="19AE33AA" w14:textId="29FB9B72" w:rsidR="00F03A5E" w:rsidRPr="00846769" w:rsidRDefault="00F03A5E" w:rsidP="00F03A5E">
      <w:pPr>
        <w:rPr>
          <w:rFonts w:cstheme="minorHAnsi"/>
        </w:rPr>
      </w:pPr>
      <w:r w:rsidRPr="00846769">
        <w:rPr>
          <w:rFonts w:cstheme="minorHAnsi"/>
        </w:rPr>
        <w:t xml:space="preserve">Visual </w:t>
      </w:r>
      <w:r w:rsidR="001F5379" w:rsidRPr="00846769">
        <w:rPr>
          <w:rFonts w:cstheme="minorHAnsi"/>
        </w:rPr>
        <w:t>shore searches</w:t>
      </w:r>
      <w:r w:rsidRPr="00846769">
        <w:rPr>
          <w:rFonts w:cstheme="minorHAnsi"/>
        </w:rPr>
        <w:t xml:space="preserve"> </w:t>
      </w:r>
      <w:r w:rsidR="001E463B" w:rsidRPr="00846769">
        <w:rPr>
          <w:rFonts w:cstheme="minorHAnsi"/>
        </w:rPr>
        <w:t>are usually undertaken in the intertidal zone or on maritime infrastructure, such as pontoons, jetties, or wharves. Visual shore searches</w:t>
      </w:r>
      <w:r w:rsidR="001F5379" w:rsidRPr="00846769">
        <w:rPr>
          <w:rFonts w:cstheme="minorHAnsi"/>
        </w:rPr>
        <w:t xml:space="preserve"> </w:t>
      </w:r>
      <w:r w:rsidRPr="00846769">
        <w:t xml:space="preserve">may be used </w:t>
      </w:r>
      <w:r w:rsidR="001F5379" w:rsidRPr="00846769">
        <w:t>as both a</w:t>
      </w:r>
      <w:r w:rsidRPr="00846769">
        <w:t xml:space="preserve"> surveillance activit</w:t>
      </w:r>
      <w:r w:rsidR="001F5379" w:rsidRPr="00846769">
        <w:t xml:space="preserve">y </w:t>
      </w:r>
      <w:r w:rsidRPr="00846769">
        <w:t xml:space="preserve">and </w:t>
      </w:r>
      <w:r w:rsidR="001F5379" w:rsidRPr="00846769">
        <w:t>to deploy certain treatment methods (</w:t>
      </w:r>
      <w:r w:rsidR="00984DB0">
        <w:t>e</w:t>
      </w:r>
      <w:r w:rsidR="0004422F">
        <w:t>.</w:t>
      </w:r>
      <w:r w:rsidR="00984DB0">
        <w:t>g.</w:t>
      </w:r>
      <w:r w:rsidR="001F5379" w:rsidRPr="00846769">
        <w:t xml:space="preserve"> physical removal of invasive marine bivalves</w:t>
      </w:r>
      <w:r w:rsidR="001E463B" w:rsidRPr="00846769">
        <w:t xml:space="preserve"> by-hand</w:t>
      </w:r>
      <w:r w:rsidR="001F5379" w:rsidRPr="00846769">
        <w:t>)</w:t>
      </w:r>
      <w:r w:rsidRPr="00846769">
        <w:t>.</w:t>
      </w:r>
      <w:r w:rsidR="001E463B" w:rsidRPr="00846769">
        <w:t xml:space="preserve"> Visual shore searches are commonly undertaken during both active and </w:t>
      </w:r>
      <w:r w:rsidR="00984DB0">
        <w:t xml:space="preserve">general </w:t>
      </w:r>
      <w:r w:rsidR="001E463B" w:rsidRPr="00846769">
        <w:t xml:space="preserve">surveillance activities. </w:t>
      </w:r>
    </w:p>
    <w:p w14:paraId="27C0F942" w14:textId="348725C1" w:rsidR="00CA6CF2" w:rsidRPr="00846769" w:rsidRDefault="00D82ADE" w:rsidP="00CA6CF2">
      <w:r w:rsidRPr="00846769">
        <w:rPr>
          <w:rFonts w:cstheme="minorHAnsi"/>
        </w:rPr>
        <w:t>Visual shore</w:t>
      </w:r>
      <w:r w:rsidR="00CA6CF2" w:rsidRPr="00846769">
        <w:rPr>
          <w:rFonts w:cstheme="minorHAnsi"/>
        </w:rPr>
        <w:t xml:space="preserve"> searches </w:t>
      </w:r>
      <w:r w:rsidRPr="00846769">
        <w:rPr>
          <w:rFonts w:cstheme="minorHAnsi"/>
        </w:rPr>
        <w:t>are sometimes</w:t>
      </w:r>
      <w:r w:rsidR="00CA6CF2" w:rsidRPr="00846769">
        <w:rPr>
          <w:rFonts w:cstheme="minorHAnsi"/>
        </w:rPr>
        <w:t xml:space="preserve"> confined to a set time or area limit. </w:t>
      </w:r>
      <w:r w:rsidR="00CA6CF2" w:rsidRPr="00846769">
        <w:t xml:space="preserve">A standard visual shore search may involve 10-minute timed searches along a transect or be based on the number of rocks/boulders searched. Other forms of visual shore searches may be unconstrained by time or area. </w:t>
      </w:r>
      <w:r w:rsidR="00F03A5E" w:rsidRPr="00846769">
        <w:rPr>
          <w:rFonts w:cstheme="minorHAnsi"/>
        </w:rPr>
        <w:t xml:space="preserve">Once searchers are familiar with the identity of the target </w:t>
      </w:r>
      <w:r w:rsidR="001E463B" w:rsidRPr="00846769">
        <w:rPr>
          <w:rFonts w:cstheme="minorHAnsi"/>
        </w:rPr>
        <w:t>bivalve species,</w:t>
      </w:r>
      <w:r w:rsidR="00F03A5E" w:rsidRPr="00846769">
        <w:rPr>
          <w:rFonts w:cstheme="minorHAnsi"/>
        </w:rPr>
        <w:t xml:space="preserve"> then many searchers can be deployed, covering large areas. </w:t>
      </w:r>
      <w:r w:rsidR="00CA6CF2" w:rsidRPr="00846769">
        <w:t>Some invasive marine bivalves inhabit the intertidal zone or foul on easily observed structures such as buoys, pontoons, and ropes, which allows for easy visual observation by searchers (</w:t>
      </w:r>
      <w:r w:rsidR="00300312" w:rsidRPr="00846769">
        <w:rPr>
          <w:highlight w:val="yellow"/>
        </w:rPr>
        <w:fldChar w:fldCharType="begin"/>
      </w:r>
      <w:r w:rsidR="00300312" w:rsidRPr="00846769">
        <w:instrText xml:space="preserve"> REF _Ref172501636 \h </w:instrText>
      </w:r>
      <w:r w:rsidR="00300312" w:rsidRPr="00846769">
        <w:rPr>
          <w:highlight w:val="yellow"/>
        </w:rPr>
      </w:r>
      <w:r w:rsidR="00300312" w:rsidRPr="00846769">
        <w:rPr>
          <w:highlight w:val="yellow"/>
        </w:rPr>
        <w:fldChar w:fldCharType="separate"/>
      </w:r>
      <w:r w:rsidR="00300312" w:rsidRPr="00846769">
        <w:t>Photo 2</w:t>
      </w:r>
      <w:r w:rsidR="00300312" w:rsidRPr="00846769">
        <w:rPr>
          <w:highlight w:val="yellow"/>
        </w:rPr>
        <w:fldChar w:fldCharType="end"/>
      </w:r>
      <w:r w:rsidR="00CA6CF2" w:rsidRPr="00846769">
        <w:t xml:space="preserve">). </w:t>
      </w:r>
      <w:r w:rsidR="00057A3D">
        <w:rPr>
          <w:rFonts w:cstheme="minorHAnsi"/>
        </w:rPr>
        <w:t>Like</w:t>
      </w:r>
      <w:r w:rsidR="00CA6CF2" w:rsidRPr="00846769">
        <w:rPr>
          <w:rFonts w:cstheme="minorHAnsi"/>
        </w:rPr>
        <w:t xml:space="preserve"> divers, searchers can take photographs or physically collect invasive marine bivalves for identification. </w:t>
      </w:r>
    </w:p>
    <w:p w14:paraId="154A44C6" w14:textId="188C656F" w:rsidR="00300312" w:rsidRPr="00846769" w:rsidRDefault="00300312" w:rsidP="00300312">
      <w:pPr>
        <w:pStyle w:val="Caption"/>
      </w:pPr>
      <w:bookmarkStart w:id="482" w:name="_Ref172501636"/>
      <w:bookmarkStart w:id="483" w:name="_Toc191999526"/>
      <w:r w:rsidRPr="00846769">
        <w:lastRenderedPageBreak/>
        <w:t xml:space="preserve">Photo </w:t>
      </w:r>
      <w:r w:rsidRPr="00846769">
        <w:fldChar w:fldCharType="begin"/>
      </w:r>
      <w:r w:rsidRPr="00846769">
        <w:instrText xml:space="preserve"> SEQ Photo \* ARABIC </w:instrText>
      </w:r>
      <w:r w:rsidRPr="00846769">
        <w:fldChar w:fldCharType="separate"/>
      </w:r>
      <w:r w:rsidRPr="00846769">
        <w:t>2</w:t>
      </w:r>
      <w:r w:rsidRPr="00846769">
        <w:fldChar w:fldCharType="end"/>
      </w:r>
      <w:bookmarkEnd w:id="482"/>
      <w:r w:rsidRPr="00846769">
        <w:t xml:space="preserve"> Visual shore search showing </w:t>
      </w:r>
      <w:r w:rsidRPr="00846769">
        <w:rPr>
          <w:i/>
          <w:iCs/>
        </w:rPr>
        <w:t xml:space="preserve">Magallana bilineata </w:t>
      </w:r>
      <w:r w:rsidRPr="00846769">
        <w:t>shells</w:t>
      </w:r>
      <w:r w:rsidRPr="00846769">
        <w:rPr>
          <w:i/>
          <w:iCs/>
        </w:rPr>
        <w:t xml:space="preserve"> </w:t>
      </w:r>
      <w:r w:rsidRPr="00846769">
        <w:t>on beach rocks in Cooktown, QLD</w:t>
      </w:r>
      <w:bookmarkEnd w:id="483"/>
    </w:p>
    <w:p w14:paraId="5FB2984B" w14:textId="45A08F4B" w:rsidR="00CA6CF2" w:rsidRPr="00846769" w:rsidRDefault="00CA6CF2" w:rsidP="00CA6CF2">
      <w:pPr>
        <w:spacing w:before="100" w:beforeAutospacing="1" w:after="100" w:afterAutospacing="1" w:line="240" w:lineRule="auto"/>
        <w:rPr>
          <w:rFonts w:ascii="Times New Roman" w:eastAsia="Times New Roman" w:hAnsi="Times New Roman" w:cs="Times New Roman"/>
          <w:sz w:val="24"/>
          <w:szCs w:val="24"/>
          <w:lang w:eastAsia="en-AU"/>
        </w:rPr>
      </w:pPr>
      <w:r w:rsidRPr="00846769">
        <w:rPr>
          <w:rFonts w:ascii="Times New Roman" w:eastAsia="Times New Roman" w:hAnsi="Times New Roman" w:cs="Times New Roman"/>
          <w:noProof/>
          <w:sz w:val="24"/>
          <w:szCs w:val="24"/>
          <w:lang w:eastAsia="en-AU"/>
        </w:rPr>
        <w:drawing>
          <wp:inline distT="0" distB="0" distL="0" distR="0" wp14:anchorId="6E831B68" wp14:editId="5CE99A97">
            <wp:extent cx="3632200" cy="4057283"/>
            <wp:effectExtent l="0" t="0" r="6350" b="635"/>
            <wp:docPr id="1006497595" name="Picture 1" descr="A coloured photograph of a rock on a beach shore with black scar oysters growing on the r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97595" name="Picture 1" descr="A coloured photograph of a rock on a beach shore with black scar oysters growing on the rock. "/>
                    <pic:cNvPicPr>
                      <a:picLocks noChangeAspect="1" noChangeArrowheads="1"/>
                    </pic:cNvPicPr>
                  </pic:nvPicPr>
                  <pic:blipFill rotWithShape="1">
                    <a:blip r:embed="rId180" cstate="email">
                      <a:extLst>
                        <a:ext uri="{28A0092B-C50C-407E-A947-70E740481C1C}">
                          <a14:useLocalDpi xmlns:a14="http://schemas.microsoft.com/office/drawing/2010/main" val="0"/>
                        </a:ext>
                      </a:extLst>
                    </a:blip>
                    <a:srcRect/>
                    <a:stretch/>
                  </pic:blipFill>
                  <pic:spPr bwMode="auto">
                    <a:xfrm>
                      <a:off x="0" y="0"/>
                      <a:ext cx="3643106" cy="4069465"/>
                    </a:xfrm>
                    <a:prstGeom prst="rect">
                      <a:avLst/>
                    </a:prstGeom>
                    <a:noFill/>
                    <a:ln>
                      <a:noFill/>
                    </a:ln>
                    <a:extLst>
                      <a:ext uri="{53640926-AAD7-44D8-BBD7-CCE9431645EC}">
                        <a14:shadowObscured xmlns:a14="http://schemas.microsoft.com/office/drawing/2010/main"/>
                      </a:ext>
                    </a:extLst>
                  </pic:spPr>
                </pic:pic>
              </a:graphicData>
            </a:graphic>
          </wp:inline>
        </w:drawing>
      </w:r>
    </w:p>
    <w:p w14:paraId="2C4288BE" w14:textId="32D58806" w:rsidR="00CA6CF2" w:rsidRPr="00846769" w:rsidRDefault="00CA6CF2" w:rsidP="00D82ADE">
      <w:pPr>
        <w:rPr>
          <w:sz w:val="20"/>
          <w:szCs w:val="20"/>
        </w:rPr>
      </w:pPr>
      <w:r w:rsidRPr="00846769">
        <w:rPr>
          <w:sz w:val="20"/>
          <w:szCs w:val="20"/>
        </w:rPr>
        <w:t xml:space="preserve">Source: </w:t>
      </w:r>
      <w:r w:rsidR="00D82ADE" w:rsidRPr="00846769">
        <w:rPr>
          <w:sz w:val="20"/>
          <w:szCs w:val="20"/>
        </w:rPr>
        <w:t>Evan Rees, Northern Australia Quarantine Strategy (NAQS</w:t>
      </w:r>
      <w:r w:rsidR="00F425BD" w:rsidRPr="00846769">
        <w:rPr>
          <w:sz w:val="20"/>
          <w:szCs w:val="20"/>
        </w:rPr>
        <w:t>)</w:t>
      </w:r>
    </w:p>
    <w:p w14:paraId="78F4A697" w14:textId="3FC01F93" w:rsidR="00F03A5E" w:rsidRPr="00846769" w:rsidRDefault="00CA6CF2" w:rsidP="00CA6CF2">
      <w:pPr>
        <w:rPr>
          <w:rFonts w:cstheme="minorHAnsi"/>
        </w:rPr>
      </w:pPr>
      <w:r w:rsidRPr="00846769">
        <w:rPr>
          <w:rFonts w:cstheme="minorHAnsi"/>
        </w:rPr>
        <w:t xml:space="preserve">Visual shore searches are limited by weather conditions and site accessibility. </w:t>
      </w:r>
      <w:r w:rsidR="00F03A5E" w:rsidRPr="00846769">
        <w:rPr>
          <w:rFonts w:cstheme="minorHAnsi"/>
        </w:rPr>
        <w:t>Complex or inaccessible habitats such as mangroves</w:t>
      </w:r>
      <w:r w:rsidR="008D11DB" w:rsidRPr="00846769">
        <w:rPr>
          <w:rFonts w:cstheme="minorHAnsi"/>
        </w:rPr>
        <w:t xml:space="preserve"> and steep cliffs, areas</w:t>
      </w:r>
      <w:r w:rsidR="00F03A5E" w:rsidRPr="00846769">
        <w:rPr>
          <w:rFonts w:cstheme="minorHAnsi"/>
        </w:rPr>
        <w:t xml:space="preserve"> with high boat traffic or swell</w:t>
      </w:r>
      <w:r w:rsidR="008D11DB" w:rsidRPr="00846769">
        <w:rPr>
          <w:rFonts w:cstheme="minorHAnsi"/>
        </w:rPr>
        <w:t>, or dangerous marine animals (</w:t>
      </w:r>
      <w:r w:rsidR="0004422F">
        <w:rPr>
          <w:rFonts w:cstheme="minorHAnsi"/>
        </w:rPr>
        <w:t>e.g.</w:t>
      </w:r>
      <w:r w:rsidR="00057A3D">
        <w:rPr>
          <w:rFonts w:cstheme="minorHAnsi"/>
        </w:rPr>
        <w:t xml:space="preserve"> </w:t>
      </w:r>
      <w:r w:rsidR="008D11DB" w:rsidRPr="00846769">
        <w:rPr>
          <w:rFonts w:cstheme="minorHAnsi"/>
        </w:rPr>
        <w:t xml:space="preserve">crocodiles) </w:t>
      </w:r>
      <w:r w:rsidR="00F03A5E" w:rsidRPr="00846769">
        <w:rPr>
          <w:rFonts w:cstheme="minorHAnsi"/>
        </w:rPr>
        <w:t xml:space="preserve">can impede </w:t>
      </w:r>
      <w:r w:rsidRPr="00846769">
        <w:rPr>
          <w:rFonts w:cstheme="minorHAnsi"/>
        </w:rPr>
        <w:t xml:space="preserve">visual </w:t>
      </w:r>
      <w:r w:rsidR="00F03A5E" w:rsidRPr="00846769">
        <w:rPr>
          <w:rFonts w:cstheme="minorHAnsi"/>
        </w:rPr>
        <w:t>shore searches.</w:t>
      </w:r>
      <w:r w:rsidRPr="00846769">
        <w:rPr>
          <w:rFonts w:cstheme="minorHAnsi"/>
        </w:rPr>
        <w:t xml:space="preserve"> Access to maritime infrastructure like certain marinas or commercial wharves can be dependent on having the appropriate permissions, permits, and PPE to undertake the search. </w:t>
      </w:r>
      <w:r w:rsidR="00057A3D">
        <w:rPr>
          <w:rFonts w:cstheme="minorHAnsi"/>
        </w:rPr>
        <w:t xml:space="preserve">Coordination to take advantage of the lowest tides in the year may assist in targeting a wider range of intertidal habitats. </w:t>
      </w:r>
      <w:r w:rsidR="008D11DB" w:rsidRPr="00846769">
        <w:rPr>
          <w:rFonts w:cstheme="minorHAnsi"/>
        </w:rPr>
        <w:t>Often visual shore searches are used to augment other sampling regimes</w:t>
      </w:r>
      <w:r w:rsidR="005C4EC2" w:rsidRPr="00846769">
        <w:rPr>
          <w:rFonts w:cstheme="minorHAnsi"/>
        </w:rPr>
        <w:t>, like settlement arrays and eDNA water sampling</w:t>
      </w:r>
      <w:r w:rsidR="008D11DB" w:rsidRPr="00846769">
        <w:rPr>
          <w:rFonts w:cstheme="minorHAnsi"/>
        </w:rPr>
        <w:t xml:space="preserve">. </w:t>
      </w:r>
    </w:p>
    <w:p w14:paraId="608E1267" w14:textId="5E80CB44" w:rsidR="00F03A5E" w:rsidRPr="00846769" w:rsidRDefault="00F03A5E" w:rsidP="00A04E26">
      <w:pPr>
        <w:pStyle w:val="Heading2"/>
        <w:numPr>
          <w:ilvl w:val="0"/>
          <w:numId w:val="2"/>
        </w:numPr>
        <w:ind w:left="709" w:hanging="709"/>
      </w:pPr>
      <w:bookmarkStart w:id="484" w:name="_Containment,_control,_and"/>
      <w:bookmarkStart w:id="485" w:name="_Toc191998669"/>
      <w:bookmarkEnd w:id="484"/>
      <w:r w:rsidRPr="00846769">
        <w:lastRenderedPageBreak/>
        <w:t>Containment</w:t>
      </w:r>
      <w:r w:rsidR="009C126B" w:rsidRPr="00846769">
        <w:t xml:space="preserve">, </w:t>
      </w:r>
      <w:r w:rsidR="001C0275" w:rsidRPr="00846769">
        <w:t>control, and eradication</w:t>
      </w:r>
      <w:bookmarkEnd w:id="485"/>
    </w:p>
    <w:p w14:paraId="58A5EBD3" w14:textId="1480D793" w:rsidR="00184FEF" w:rsidRPr="00846769" w:rsidRDefault="00FA51ED" w:rsidP="00184FEF">
      <w:pPr>
        <w:rPr>
          <w:rFonts w:cstheme="minorHAnsi"/>
        </w:rPr>
      </w:pPr>
      <w:r w:rsidRPr="00846769">
        <w:t>Containment</w:t>
      </w:r>
      <w:r w:rsidR="00184FEF" w:rsidRPr="00846769">
        <w:t>, control, and eradication may be attempted</w:t>
      </w:r>
      <w:r w:rsidRPr="00846769">
        <w:t xml:space="preserve"> after the confirmed detection of an invasive marine bivalve</w:t>
      </w:r>
      <w:r w:rsidR="00184FEF" w:rsidRPr="00846769">
        <w:t>.</w:t>
      </w:r>
      <w:r w:rsidR="00EE4F0D" w:rsidRPr="00846769">
        <w:t xml:space="preserve"> Containment is a component of control which aims to restrict an incursion of a marine pest to a limited geographical range. Eradication aims to eliminate a marine pest from the infested area. </w:t>
      </w:r>
      <w:r w:rsidR="00EE4F0D" w:rsidRPr="00846769">
        <w:rPr>
          <w:rFonts w:cstheme="minorHAnsi"/>
        </w:rPr>
        <w:t>The feasibility of containment or eradication of an invasive marine bivalve will depend on the nature and location of the incursion, the response objective, and the management option(s) adopted.</w:t>
      </w:r>
    </w:p>
    <w:p w14:paraId="4F0EF833" w14:textId="77777777" w:rsidR="00F76AA5" w:rsidRPr="00846769" w:rsidRDefault="00F76AA5" w:rsidP="00F76AA5">
      <w:pPr>
        <w:rPr>
          <w:rFonts w:cstheme="minorHAnsi"/>
        </w:rPr>
      </w:pPr>
      <w:r w:rsidRPr="00846769">
        <w:rPr>
          <w:rFonts w:cstheme="minorHAnsi"/>
        </w:rPr>
        <w:t>Management options usually include:</w:t>
      </w:r>
    </w:p>
    <w:p w14:paraId="0C54AB0D" w14:textId="5AEDD589" w:rsidR="00F76AA5" w:rsidRPr="00846769" w:rsidRDefault="00F76AA5" w:rsidP="00F76AA5">
      <w:pPr>
        <w:pStyle w:val="ListBullet"/>
      </w:pPr>
      <w:r w:rsidRPr="00846769">
        <w:t>containment and control of the invasive marine bivalve to the infested areas and prevention of further spread; incurs ongoing costs and efforts, or,</w:t>
      </w:r>
    </w:p>
    <w:p w14:paraId="7F2BD172" w14:textId="058B839B" w:rsidR="00F76AA5" w:rsidRPr="00846769" w:rsidRDefault="00F76AA5" w:rsidP="00184FEF">
      <w:pPr>
        <w:pStyle w:val="ListBullet"/>
      </w:pPr>
      <w:r w:rsidRPr="00846769">
        <w:t>eradication of the invasive marine bivalve from an infested area; incurs highest initial control measure and cost.</w:t>
      </w:r>
    </w:p>
    <w:p w14:paraId="7054E07B" w14:textId="615CF7A3" w:rsidR="00184FEF" w:rsidRPr="00846769" w:rsidRDefault="003C7E9D" w:rsidP="00184FEF">
      <w:pPr>
        <w:rPr>
          <w:rFonts w:cstheme="minorHAnsi"/>
        </w:rPr>
      </w:pPr>
      <w:r w:rsidRPr="00846769">
        <w:rPr>
          <w:rFonts w:cstheme="minorHAnsi"/>
        </w:rPr>
        <w:t>For the purpose of this manual, the</w:t>
      </w:r>
      <w:r w:rsidR="00184FEF" w:rsidRPr="00846769">
        <w:rPr>
          <w:rFonts w:cstheme="minorHAnsi"/>
        </w:rPr>
        <w:t xml:space="preserve"> terms ‘containment’, ‘control’ and ‘eradication’</w:t>
      </w:r>
      <w:r w:rsidRPr="00846769">
        <w:rPr>
          <w:rFonts w:cstheme="minorHAnsi"/>
        </w:rPr>
        <w:t xml:space="preserve"> have been adapted from </w:t>
      </w:r>
      <w:r w:rsidR="00184FEF" w:rsidRPr="00846769">
        <w:rPr>
          <w:rFonts w:cstheme="minorHAnsi"/>
        </w:rPr>
        <w:t xml:space="preserve">the </w:t>
      </w:r>
      <w:hyperlink r:id="rId181" w:history="1">
        <w:r w:rsidR="00184FEF" w:rsidRPr="00846769">
          <w:rPr>
            <w:rStyle w:val="Hyperlink"/>
            <w:rFonts w:cstheme="minorHAnsi"/>
          </w:rPr>
          <w:t>National Biosecurity Committee</w:t>
        </w:r>
      </w:hyperlink>
      <w:r w:rsidR="00184FEF" w:rsidRPr="00846769">
        <w:rPr>
          <w:rFonts w:cstheme="minorHAnsi"/>
        </w:rPr>
        <w:t xml:space="preserve"> </w:t>
      </w:r>
      <w:r w:rsidRPr="00846769">
        <w:rPr>
          <w:rFonts w:cstheme="minorHAnsi"/>
        </w:rPr>
        <w:t>and are outlined below:</w:t>
      </w:r>
    </w:p>
    <w:p w14:paraId="0334BEEE" w14:textId="06EC07AD" w:rsidR="00184FEF" w:rsidRPr="00846769" w:rsidRDefault="00184FEF" w:rsidP="00184FEF">
      <w:pPr>
        <w:pStyle w:val="ListBullet"/>
      </w:pPr>
      <w:r w:rsidRPr="00846769">
        <w:rPr>
          <w:b/>
          <w:bCs/>
        </w:rPr>
        <w:t xml:space="preserve">Containment </w:t>
      </w:r>
      <w:r w:rsidRPr="00846769">
        <w:t>–</w:t>
      </w:r>
      <w:r w:rsidRPr="00846769">
        <w:rPr>
          <w:b/>
          <w:bCs/>
        </w:rPr>
        <w:t xml:space="preserve"> </w:t>
      </w:r>
      <w:r w:rsidRPr="00846769">
        <w:t xml:space="preserve">The application of measures in and around an infested area to </w:t>
      </w:r>
      <w:r w:rsidR="00064A9C" w:rsidRPr="00846769">
        <w:t>restrict</w:t>
      </w:r>
      <w:r w:rsidRPr="00846769">
        <w:t xml:space="preserve"> the spread of an invasive pest</w:t>
      </w:r>
      <w:r w:rsidR="00064A9C" w:rsidRPr="00846769">
        <w:t xml:space="preserve"> to a defined region</w:t>
      </w:r>
      <w:r w:rsidRPr="00846769">
        <w:t>. This may include reduction of the density or area of the infestation where appropriate</w:t>
      </w:r>
      <w:r w:rsidR="00115247" w:rsidRPr="00846769">
        <w:t xml:space="preserve"> or managing vectors</w:t>
      </w:r>
      <w:r w:rsidRPr="00846769">
        <w:t xml:space="preserve">. A containment program may include eradication of satellite infestations. </w:t>
      </w:r>
    </w:p>
    <w:p w14:paraId="5B1AA608" w14:textId="45BB2C9D" w:rsidR="00184FEF" w:rsidRPr="00846769" w:rsidRDefault="00184FEF" w:rsidP="00184FEF">
      <w:pPr>
        <w:pStyle w:val="ListBullet"/>
      </w:pPr>
      <w:r w:rsidRPr="00846769">
        <w:rPr>
          <w:b/>
          <w:bCs/>
        </w:rPr>
        <w:t xml:space="preserve">Control </w:t>
      </w:r>
      <w:r w:rsidRPr="00846769">
        <w:t xml:space="preserve">– </w:t>
      </w:r>
      <w:r w:rsidR="003C7E9D" w:rsidRPr="00846769">
        <w:t xml:space="preserve">In relation to organisms, control </w:t>
      </w:r>
      <w:r w:rsidRPr="00846769">
        <w:t>action</w:t>
      </w:r>
      <w:r w:rsidR="003C7E9D" w:rsidRPr="00846769">
        <w:t>s are those which</w:t>
      </w:r>
      <w:r w:rsidR="00086872" w:rsidRPr="00846769">
        <w:t xml:space="preserve"> aim to</w:t>
      </w:r>
      <w:r w:rsidRPr="00846769">
        <w:t xml:space="preserve"> reduce the number of pest organisms, prevent an increase in pest numbers and spread, reduce organism activity to limit their impact, or modify the behaviour or characteristics of </w:t>
      </w:r>
      <w:r w:rsidR="00086872" w:rsidRPr="00846769">
        <w:t>the pest population</w:t>
      </w:r>
      <w:r w:rsidRPr="00846769">
        <w:t xml:space="preserve">. Control may involve partial eradication or other actions which limit population size and/or reproductive potential. This term is sometimes used interchangeably with ‘management.’  </w:t>
      </w:r>
    </w:p>
    <w:p w14:paraId="6A49EF22" w14:textId="077B90DC" w:rsidR="00184FEF" w:rsidRPr="00846769" w:rsidRDefault="00184FEF" w:rsidP="00115247">
      <w:pPr>
        <w:pStyle w:val="ListBullet"/>
      </w:pPr>
      <w:r w:rsidRPr="00846769">
        <w:rPr>
          <w:b/>
          <w:bCs/>
        </w:rPr>
        <w:t xml:space="preserve">Eradication </w:t>
      </w:r>
      <w:r w:rsidRPr="00846769">
        <w:t>–</w:t>
      </w:r>
      <w:r w:rsidRPr="00846769">
        <w:rPr>
          <w:b/>
          <w:bCs/>
        </w:rPr>
        <w:t xml:space="preserve"> </w:t>
      </w:r>
      <w:r w:rsidRPr="00846769">
        <w:t xml:space="preserve">Under the </w:t>
      </w:r>
      <w:hyperlink r:id="rId182" w:history="1">
        <w:r w:rsidRPr="000D0799">
          <w:rPr>
            <w:rStyle w:val="Hyperlink"/>
          </w:rPr>
          <w:t>NEBRA</w:t>
        </w:r>
      </w:hyperlink>
      <w:r w:rsidRPr="00846769">
        <w:t>, eradication in relation to pests means eliminating the pest from an area. Eradication is indicated by the pest no longer being detectable.</w:t>
      </w:r>
    </w:p>
    <w:p w14:paraId="273768A4" w14:textId="4CC3F4E2" w:rsidR="00115247" w:rsidRPr="00846769" w:rsidRDefault="00115247" w:rsidP="00115247">
      <w:pPr>
        <w:pStyle w:val="ListBullet"/>
        <w:numPr>
          <w:ilvl w:val="0"/>
          <w:numId w:val="0"/>
        </w:numPr>
      </w:pPr>
      <w:bookmarkStart w:id="486" w:name="_Hlk188621139"/>
      <w:r w:rsidRPr="00846769">
        <w:t xml:space="preserve">For methods suitable for containment, control, and eradication of invasive marine bivalves, see </w:t>
      </w:r>
      <w:hyperlink w:anchor="_Methods_for_containment," w:history="1">
        <w:r w:rsidRPr="00846769">
          <w:rPr>
            <w:rStyle w:val="Hyperlink"/>
          </w:rPr>
          <w:t xml:space="preserve">Section </w:t>
        </w:r>
        <w:r w:rsidR="007925B7" w:rsidRPr="00846769">
          <w:rPr>
            <w:rStyle w:val="Hyperlink"/>
          </w:rPr>
          <w:t>5.3.</w:t>
        </w:r>
      </w:hyperlink>
    </w:p>
    <w:p w14:paraId="5E262580" w14:textId="1CFDDE75" w:rsidR="002B76B9" w:rsidRPr="00846769" w:rsidRDefault="002B76B9" w:rsidP="002B76B9">
      <w:pPr>
        <w:pStyle w:val="Heading3"/>
        <w:numPr>
          <w:ilvl w:val="1"/>
          <w:numId w:val="4"/>
        </w:numPr>
        <w:ind w:left="360" w:hanging="360"/>
      </w:pPr>
      <w:bookmarkStart w:id="487" w:name="_Toc105511178"/>
      <w:bookmarkStart w:id="488" w:name="_Toc155777677"/>
      <w:bookmarkStart w:id="489" w:name="_Toc160023396"/>
      <w:bookmarkStart w:id="490" w:name="_Toc191998670"/>
      <w:bookmarkEnd w:id="486"/>
      <w:r w:rsidRPr="00846769">
        <w:t>Containment</w:t>
      </w:r>
      <w:bookmarkEnd w:id="487"/>
      <w:bookmarkEnd w:id="488"/>
      <w:bookmarkEnd w:id="489"/>
      <w:r w:rsidR="00115247" w:rsidRPr="00846769">
        <w:t xml:space="preserve"> and control</w:t>
      </w:r>
      <w:bookmarkEnd w:id="490"/>
    </w:p>
    <w:p w14:paraId="78798E64" w14:textId="488828A9" w:rsidR="002B76B9" w:rsidRPr="00846769" w:rsidRDefault="002B76B9" w:rsidP="002B76B9">
      <w:r w:rsidRPr="00846769">
        <w:t>Containment aims to prevent secondary spread and assists to maintain the possibility of eradication</w:t>
      </w:r>
      <w:r w:rsidR="00115247" w:rsidRPr="00846769">
        <w:t xml:space="preserve"> of an invasive marine bivalve</w:t>
      </w:r>
      <w:r w:rsidRPr="00846769">
        <w:t>.</w:t>
      </w:r>
      <w:r w:rsidR="00115247" w:rsidRPr="00846769">
        <w:t xml:space="preserve"> During an emergency response, containment should be attempted as soon as possible after the incursion has been detected.</w:t>
      </w:r>
      <w:r w:rsidRPr="00846769">
        <w:t xml:space="preserve"> If a decision is made to implement containment and control, then the incident manager will (in consultation with stakeholders) recommend that interim containment measures be implemented to minimise the risk of bivalve translocation from the infested waterway. This may include movement controls o</w:t>
      </w:r>
      <w:r w:rsidR="00115247" w:rsidRPr="00846769">
        <w:t>f</w:t>
      </w:r>
      <w:r w:rsidRPr="00846769">
        <w:t xml:space="preserve"> potential vectors</w:t>
      </w:r>
      <w:r w:rsidR="00842501" w:rsidRPr="00846769">
        <w:t xml:space="preserve">, </w:t>
      </w:r>
      <w:r w:rsidRPr="00846769">
        <w:t>public information campaigns, policies and practices for vessel</w:t>
      </w:r>
      <w:r w:rsidR="002A772E" w:rsidRPr="00846769">
        <w:t xml:space="preserve"> </w:t>
      </w:r>
      <w:r w:rsidRPr="00846769">
        <w:t>equipment sanitation and surveillance, and control of secondary infestations outside the infested waterway</w:t>
      </w:r>
      <w:r w:rsidR="00842501" w:rsidRPr="00846769">
        <w:t xml:space="preserve"> (</w:t>
      </w:r>
      <w:r w:rsidR="000D0799" w:rsidRPr="00A04E26">
        <w:t xml:space="preserve">see </w:t>
      </w:r>
      <w:hyperlink w:anchor="_Management_of_infested" w:history="1">
        <w:r w:rsidR="000D0799" w:rsidRPr="000D0799">
          <w:rPr>
            <w:rStyle w:val="Hyperlink"/>
          </w:rPr>
          <w:t>Section 3.3</w:t>
        </w:r>
      </w:hyperlink>
      <w:r w:rsidR="00842501" w:rsidRPr="00846769">
        <w:t>)</w:t>
      </w:r>
      <w:r w:rsidRPr="00846769">
        <w:t>.</w:t>
      </w:r>
      <w:r w:rsidR="00115247" w:rsidRPr="00846769">
        <w:t xml:space="preserve"> </w:t>
      </w:r>
      <w:r w:rsidR="00115247" w:rsidRPr="00846769">
        <w:lastRenderedPageBreak/>
        <w:t xml:space="preserve">Containment may also include control methods </w:t>
      </w:r>
      <w:r w:rsidR="00842501" w:rsidRPr="00846769">
        <w:t>to help reduce population density or area infested by the invasive marine bivalve (</w:t>
      </w:r>
      <w:hyperlink w:anchor="_Methods_for_containment," w:history="1">
        <w:r w:rsidR="00842501" w:rsidRPr="00846769">
          <w:rPr>
            <w:rStyle w:val="Hyperlink"/>
          </w:rPr>
          <w:t xml:space="preserve">see Section </w:t>
        </w:r>
        <w:r w:rsidR="007925B7" w:rsidRPr="00846769">
          <w:rPr>
            <w:rStyle w:val="Hyperlink"/>
          </w:rPr>
          <w:t>5.3</w:t>
        </w:r>
        <w:r w:rsidR="00842501" w:rsidRPr="00846769">
          <w:rPr>
            <w:rStyle w:val="Hyperlink"/>
          </w:rPr>
          <w:t>.</w:t>
        </w:r>
      </w:hyperlink>
      <w:r w:rsidR="00842501" w:rsidRPr="00846769">
        <w:t xml:space="preserve"> for control methods).</w:t>
      </w:r>
    </w:p>
    <w:bookmarkStart w:id="491" w:name="_Hlk170742788"/>
    <w:p w14:paraId="1229FA94" w14:textId="45869984" w:rsidR="002B76B9" w:rsidRPr="00846769" w:rsidRDefault="00CC0563" w:rsidP="002B76B9">
      <w:pPr>
        <w:rPr>
          <w:rStyle w:val="Emphasis"/>
        </w:rPr>
      </w:pPr>
      <w:r w:rsidRPr="00846769">
        <w:fldChar w:fldCharType="begin"/>
      </w:r>
      <w:r w:rsidRPr="00846769">
        <w:instrText>HYPERLINK "https://www.marinepests.gov.au/what-we-do/emergency/national-control-plans"</w:instrText>
      </w:r>
      <w:r w:rsidRPr="00846769">
        <w:fldChar w:fldCharType="separate"/>
      </w:r>
      <w:r w:rsidR="002B76B9" w:rsidRPr="00846769">
        <w:rPr>
          <w:rStyle w:val="Hyperlink"/>
        </w:rPr>
        <w:t>National Control Plans (NCP)</w:t>
      </w:r>
      <w:r w:rsidRPr="00846769">
        <w:rPr>
          <w:rStyle w:val="Hyperlink"/>
        </w:rPr>
        <w:fldChar w:fldCharType="end"/>
      </w:r>
      <w:r w:rsidR="002B76B9" w:rsidRPr="00846769">
        <w:t xml:space="preserve"> have been developed for several marine pests that are already established in Australia </w:t>
      </w:r>
      <w:r w:rsidR="00842501" w:rsidRPr="00846769">
        <w:t>which</w:t>
      </w:r>
      <w:r w:rsidR="002B76B9" w:rsidRPr="00846769">
        <w:t xml:space="preserve"> </w:t>
      </w:r>
      <w:r w:rsidR="00842501" w:rsidRPr="00846769">
        <w:t>may have</w:t>
      </w:r>
      <w:r w:rsidR="002B76B9" w:rsidRPr="00846769">
        <w:t xml:space="preserve"> </w:t>
      </w:r>
      <w:r w:rsidR="00842501" w:rsidRPr="00846769">
        <w:t>the potential to spread further or cause negative impacts</w:t>
      </w:r>
      <w:r w:rsidR="002B76B9" w:rsidRPr="00846769">
        <w:t>. The purpose of the NCP</w:t>
      </w:r>
      <w:r w:rsidR="0005702D" w:rsidRPr="00846769">
        <w:t>s</w:t>
      </w:r>
      <w:r w:rsidR="002B76B9" w:rsidRPr="00846769">
        <w:t xml:space="preserve"> </w:t>
      </w:r>
      <w:r w:rsidR="0005702D" w:rsidRPr="00846769">
        <w:t>is</w:t>
      </w:r>
      <w:r w:rsidR="002B76B9" w:rsidRPr="00846769">
        <w:t xml:space="preserve"> to deliver an agreed national response to reduce impacts and minimise spread of agreed pests of concern. </w:t>
      </w:r>
      <w:bookmarkEnd w:id="491"/>
      <w:r w:rsidR="002B76B9" w:rsidRPr="00846769">
        <w:t>A</w:t>
      </w:r>
      <w:r w:rsidR="0005702D" w:rsidRPr="00846769">
        <w:t>n</w:t>
      </w:r>
      <w:r w:rsidR="002B76B9" w:rsidRPr="00846769">
        <w:t xml:space="preserve"> NCP exists for</w:t>
      </w:r>
      <w:r w:rsidR="0005702D" w:rsidRPr="00846769">
        <w:t xml:space="preserve"> invasive marine bivalves</w:t>
      </w:r>
      <w:r w:rsidR="002B76B9" w:rsidRPr="00846769">
        <w:t xml:space="preserve"> </w:t>
      </w:r>
      <w:r w:rsidR="002B76B9" w:rsidRPr="00846769">
        <w:rPr>
          <w:i/>
          <w:iCs/>
        </w:rPr>
        <w:t xml:space="preserve">Varicorbula gibba </w:t>
      </w:r>
      <w:r w:rsidR="002B76B9" w:rsidRPr="00846769">
        <w:t xml:space="preserve">and </w:t>
      </w:r>
      <w:r w:rsidR="002B76B9" w:rsidRPr="00846769">
        <w:rPr>
          <w:i/>
          <w:iCs/>
        </w:rPr>
        <w:t>Arcuatula senhousia.</w:t>
      </w:r>
      <w:r w:rsidR="002B76B9" w:rsidRPr="00846769">
        <w:t xml:space="preserve"> The</w:t>
      </w:r>
      <w:r w:rsidR="0005702D" w:rsidRPr="00846769">
        <w:t>se N</w:t>
      </w:r>
      <w:r w:rsidR="00F247D7">
        <w:t>CP</w:t>
      </w:r>
      <w:r w:rsidR="0005702D" w:rsidRPr="00846769">
        <w:t>s cover</w:t>
      </w:r>
      <w:r w:rsidR="002B76B9" w:rsidRPr="00846769">
        <w:t>:</w:t>
      </w:r>
    </w:p>
    <w:p w14:paraId="6F7EB663" w14:textId="77777777" w:rsidR="002B76B9" w:rsidRPr="00846769" w:rsidRDefault="002B76B9" w:rsidP="002B76B9">
      <w:pPr>
        <w:pStyle w:val="ListBullet"/>
      </w:pPr>
      <w:r w:rsidRPr="00846769">
        <w:t>practical management actions and cost-effective approaches to control or reduce the impact of the marine pest</w:t>
      </w:r>
    </w:p>
    <w:p w14:paraId="6B27DDC3" w14:textId="59B4308A" w:rsidR="002B76B9" w:rsidRPr="00846769" w:rsidRDefault="002B76B9" w:rsidP="002B76B9">
      <w:pPr>
        <w:pStyle w:val="ListBullet"/>
      </w:pPr>
      <w:r w:rsidRPr="00846769">
        <w:t xml:space="preserve">recommendations for future research and development, including </w:t>
      </w:r>
      <w:r w:rsidR="004B6EAC" w:rsidRPr="00846769">
        <w:t>a benefit-cost</w:t>
      </w:r>
      <w:r w:rsidRPr="00846769">
        <w:t xml:space="preserve"> analysis and planning tools</w:t>
      </w:r>
    </w:p>
    <w:p w14:paraId="73736DF5" w14:textId="77777777" w:rsidR="002B76B9" w:rsidRPr="00846769" w:rsidRDefault="002B76B9" w:rsidP="002B76B9">
      <w:pPr>
        <w:pStyle w:val="ListBullet"/>
      </w:pPr>
      <w:r w:rsidRPr="00846769">
        <w:t>recommendations for additional public information and education strategies</w:t>
      </w:r>
    </w:p>
    <w:p w14:paraId="3AAB7B7A" w14:textId="5FF46BDD" w:rsidR="002B76B9" w:rsidRPr="00846769" w:rsidRDefault="002B76B9" w:rsidP="42AFA89D">
      <w:pPr>
        <w:pStyle w:val="ListBullet"/>
      </w:pPr>
      <w:r w:rsidRPr="00846769">
        <w:t>an implementation strategy.</w:t>
      </w:r>
    </w:p>
    <w:p w14:paraId="6DF4EA24" w14:textId="77777777" w:rsidR="0095789F" w:rsidRPr="00846769" w:rsidRDefault="0095789F" w:rsidP="0095789F">
      <w:pPr>
        <w:pStyle w:val="Heading3"/>
        <w:numPr>
          <w:ilvl w:val="1"/>
          <w:numId w:val="4"/>
        </w:numPr>
      </w:pPr>
      <w:bookmarkStart w:id="492" w:name="_Containment_and_control"/>
      <w:bookmarkStart w:id="493" w:name="_Toc178176845"/>
      <w:bookmarkStart w:id="494" w:name="_Toc191998671"/>
      <w:bookmarkEnd w:id="492"/>
      <w:r w:rsidRPr="00846769">
        <w:t>Eradication</w:t>
      </w:r>
      <w:bookmarkEnd w:id="493"/>
      <w:bookmarkEnd w:id="494"/>
    </w:p>
    <w:p w14:paraId="75853908" w14:textId="26D6DCC7" w:rsidR="00E31338" w:rsidRPr="00846769" w:rsidRDefault="006F030D" w:rsidP="006F030D">
      <w:bookmarkStart w:id="495" w:name="_Hlk170743958"/>
      <w:r w:rsidRPr="00846769">
        <w:t xml:space="preserve">Eradication of any invasive marine bivalve requires complete elimination of the species from the infested area. </w:t>
      </w:r>
      <w:r w:rsidR="00E31338" w:rsidRPr="00846769">
        <w:t>Eradication programs will be more successful if initiated early and if the programs are well designed and resourced</w:t>
      </w:r>
      <w:r w:rsidR="002F6ACF">
        <w:t xml:space="preserve">. </w:t>
      </w:r>
      <w:r w:rsidR="00F94A84" w:rsidRPr="00846769">
        <w:t>In addition, e</w:t>
      </w:r>
      <w:r w:rsidR="00E31338" w:rsidRPr="00846769">
        <w:t xml:space="preserve">radication is more likely to be successful or feasible if initial investigations determine that the species is not widespread, can be contained, is not difficult to detect, or is present or potentially present in closed/semi-closed environments. </w:t>
      </w:r>
      <w:bookmarkStart w:id="496" w:name="_Hlk188624764"/>
      <w:r w:rsidR="002F6ACF">
        <w:t xml:space="preserve">An eradication program is more likely to be successful if it has broad public support and reduced risk of being compromised (e.g. negative media releases). </w:t>
      </w:r>
      <w:bookmarkEnd w:id="496"/>
      <w:r w:rsidR="00E31338" w:rsidRPr="00846769">
        <w:t>There are no examples of a program that has successfully eradicated an invasive marine bivalve from a widespread population</w:t>
      </w:r>
      <w:r w:rsidR="009968F1" w:rsidRPr="00846769">
        <w:t>, however localised eradications of small populations have been achieved</w:t>
      </w:r>
      <w:r w:rsidR="00E31338" w:rsidRPr="00846769">
        <w:t>.</w:t>
      </w:r>
    </w:p>
    <w:p w14:paraId="7C15785C" w14:textId="743D3829" w:rsidR="00E31338" w:rsidRPr="00846769" w:rsidRDefault="00E31338" w:rsidP="00E31338">
      <w:r w:rsidRPr="00846769">
        <w:t xml:space="preserve">Eradication is the preferred </w:t>
      </w:r>
      <w:r w:rsidR="00F94A84" w:rsidRPr="00846769">
        <w:t xml:space="preserve">response </w:t>
      </w:r>
      <w:r w:rsidRPr="00846769">
        <w:t>option when:</w:t>
      </w:r>
    </w:p>
    <w:p w14:paraId="5EB74BF8" w14:textId="66AFD369" w:rsidR="00E31338" w:rsidRPr="00846769" w:rsidRDefault="00E31338" w:rsidP="00E31338">
      <w:pPr>
        <w:pStyle w:val="ListBullet"/>
      </w:pPr>
      <w:r w:rsidRPr="00846769">
        <w:t>the bivalve can be determined to be technically feasible to eradicate</w:t>
      </w:r>
    </w:p>
    <w:p w14:paraId="38EA4E53" w14:textId="580D5238" w:rsidR="00E31338" w:rsidRPr="00846769" w:rsidRDefault="00E31338" w:rsidP="00E31338">
      <w:pPr>
        <w:pStyle w:val="ListBullet"/>
      </w:pPr>
      <w:r w:rsidRPr="00846769">
        <w:t>discounted benefit</w:t>
      </w:r>
      <w:r w:rsidRPr="00846769">
        <w:noBreakHyphen/>
        <w:t>cost analysis favours eradication over management</w:t>
      </w:r>
    </w:p>
    <w:p w14:paraId="358775AC" w14:textId="716B1BB7" w:rsidR="00E31338" w:rsidRPr="00846769" w:rsidRDefault="00E31338" w:rsidP="00E31338">
      <w:pPr>
        <w:pStyle w:val="ListBullet"/>
      </w:pPr>
      <w:r w:rsidRPr="00846769">
        <w:t>the socio-political environment supports using eradication methods.</w:t>
      </w:r>
    </w:p>
    <w:p w14:paraId="2EAA5887" w14:textId="19528B83" w:rsidR="00E31338" w:rsidRPr="00846769" w:rsidRDefault="00E31338" w:rsidP="00E31338">
      <w:r w:rsidRPr="00846769">
        <w:rPr>
          <w:lang w:eastAsia="ja-JP"/>
        </w:rPr>
        <w:t xml:space="preserve">The </w:t>
      </w:r>
      <w:hyperlink r:id="rId183" w:history="1">
        <w:r w:rsidRPr="00846769">
          <w:rPr>
            <w:rStyle w:val="Hyperlink"/>
            <w:lang w:eastAsia="ja-JP"/>
          </w:rPr>
          <w:t>National Environmental Biosecurity Response Agreement 2.0</w:t>
        </w:r>
      </w:hyperlink>
      <w:r w:rsidRPr="00846769">
        <w:rPr>
          <w:lang w:eastAsia="ja-JP"/>
        </w:rPr>
        <w:t xml:space="preserve"> (NEBRA) establishes national arrangements for responses to nationally significant biosecurity incidents when there are predominately environmental or public benefit. The NEBRA provides a mechanism to share responsibilities and costs for a response when eradication is considered feasible, the pest </w:t>
      </w:r>
      <w:proofErr w:type="gramStart"/>
      <w:r w:rsidRPr="00846769">
        <w:rPr>
          <w:lang w:eastAsia="ja-JP"/>
        </w:rPr>
        <w:t>is considered to be</w:t>
      </w:r>
      <w:proofErr w:type="gramEnd"/>
      <w:r w:rsidRPr="00846769">
        <w:rPr>
          <w:lang w:eastAsia="ja-JP"/>
        </w:rPr>
        <w:t xml:space="preserve"> of national significance, and the response </w:t>
      </w:r>
      <w:r w:rsidR="00C82788">
        <w:rPr>
          <w:lang w:eastAsia="ja-JP"/>
        </w:rPr>
        <w:t xml:space="preserve">is </w:t>
      </w:r>
      <w:r w:rsidRPr="00846769">
        <w:rPr>
          <w:lang w:eastAsia="ja-JP"/>
        </w:rPr>
        <w:t>calculated to be cost-effective</w:t>
      </w:r>
      <w:r w:rsidRPr="00846769">
        <w:t>.</w:t>
      </w:r>
    </w:p>
    <w:p w14:paraId="171C2AF7" w14:textId="57BC48EC" w:rsidR="00E31338" w:rsidRPr="00846769" w:rsidRDefault="00F94A84" w:rsidP="00E31338">
      <w:pPr>
        <w:rPr>
          <w:rFonts w:cstheme="minorHAnsi"/>
        </w:rPr>
      </w:pPr>
      <w:r w:rsidRPr="00846769">
        <w:t>A known example</w:t>
      </w:r>
      <w:r w:rsidR="007B63BB" w:rsidRPr="00846769">
        <w:t xml:space="preserve"> of a successful eradication of an invasive marine bivalve is from Australia where </w:t>
      </w:r>
      <w:r w:rsidR="007B63BB" w:rsidRPr="005749EA">
        <w:t xml:space="preserve">the black-striped false mussel, </w:t>
      </w:r>
      <w:r w:rsidR="007B63BB" w:rsidRPr="005749EA">
        <w:rPr>
          <w:i/>
          <w:iCs/>
        </w:rPr>
        <w:t xml:space="preserve">Mytilopsis sallei, </w:t>
      </w:r>
      <w:r w:rsidR="007B63BB" w:rsidRPr="005749EA">
        <w:t>was eradicated</w:t>
      </w:r>
      <w:r w:rsidR="007B63BB" w:rsidRPr="005749EA">
        <w:rPr>
          <w:i/>
          <w:iCs/>
        </w:rPr>
        <w:t xml:space="preserve"> </w:t>
      </w:r>
      <w:r w:rsidR="007B63BB" w:rsidRPr="005749EA">
        <w:t>from three marinas in Darwin in 1999 (Willan et al. 2000).</w:t>
      </w:r>
      <w:r w:rsidRPr="005749EA">
        <w:t xml:space="preserve"> </w:t>
      </w:r>
      <w:r w:rsidR="007B63BB" w:rsidRPr="005749EA">
        <w:t xml:space="preserve">Other small, localised incursions of marine bivalves have also been successfully eradicated. For instance, the population suppression and eradication of </w:t>
      </w:r>
      <w:r w:rsidR="00C82788" w:rsidRPr="005749EA">
        <w:rPr>
          <w:i/>
          <w:iCs/>
        </w:rPr>
        <w:t xml:space="preserve">P. </w:t>
      </w:r>
      <w:r w:rsidR="007B63BB" w:rsidRPr="005749EA">
        <w:rPr>
          <w:i/>
          <w:iCs/>
        </w:rPr>
        <w:t xml:space="preserve">perna </w:t>
      </w:r>
      <w:r w:rsidR="007B63BB" w:rsidRPr="005749EA">
        <w:t>from New Zealand (Hopkins et al. 201</w:t>
      </w:r>
      <w:r w:rsidR="00D61F2D" w:rsidRPr="005749EA">
        <w:t>1</w:t>
      </w:r>
      <w:r w:rsidR="007B63BB" w:rsidRPr="005749EA">
        <w:t xml:space="preserve">) and the early detection and removal of a small population of </w:t>
      </w:r>
      <w:r w:rsidR="007B63BB" w:rsidRPr="005749EA">
        <w:rPr>
          <w:i/>
          <w:iCs/>
        </w:rPr>
        <w:t>P.</w:t>
      </w:r>
      <w:r w:rsidR="00070E64">
        <w:rPr>
          <w:i/>
          <w:iCs/>
        </w:rPr>
        <w:t> </w:t>
      </w:r>
      <w:r w:rsidR="007B63BB" w:rsidRPr="005749EA">
        <w:rPr>
          <w:i/>
          <w:iCs/>
        </w:rPr>
        <w:t xml:space="preserve">canaliculus </w:t>
      </w:r>
      <w:r w:rsidR="007B63BB" w:rsidRPr="005749EA">
        <w:t>in South Australia</w:t>
      </w:r>
      <w:r w:rsidR="002F6ACF" w:rsidRPr="005749EA">
        <w:t>.</w:t>
      </w:r>
      <w:r w:rsidRPr="005749EA">
        <w:t xml:space="preserve"> </w:t>
      </w:r>
      <w:r w:rsidR="00A87E2A" w:rsidRPr="005749EA">
        <w:t xml:space="preserve">Detection and removal of </w:t>
      </w:r>
      <w:r w:rsidR="00A87E2A" w:rsidRPr="005749EA">
        <w:rPr>
          <w:i/>
          <w:iCs/>
        </w:rPr>
        <w:t xml:space="preserve">P. perna </w:t>
      </w:r>
      <w:r w:rsidR="00A87E2A" w:rsidRPr="005749EA">
        <w:t xml:space="preserve">and </w:t>
      </w:r>
      <w:r w:rsidR="00A87E2A" w:rsidRPr="005749EA">
        <w:rPr>
          <w:i/>
          <w:iCs/>
        </w:rPr>
        <w:t>P. canaliculus</w:t>
      </w:r>
      <w:r w:rsidR="00A87E2A" w:rsidRPr="005749EA">
        <w:t xml:space="preserve"> are examples </w:t>
      </w:r>
      <w:r w:rsidR="00A87E2A" w:rsidRPr="005749EA">
        <w:lastRenderedPageBreak/>
        <w:t xml:space="preserve">of how early detection can result in eradication at a minimal resource expenditure, whereas the eradication of </w:t>
      </w:r>
      <w:r w:rsidR="00A87E2A" w:rsidRPr="005749EA">
        <w:rPr>
          <w:i/>
          <w:iCs/>
        </w:rPr>
        <w:t xml:space="preserve">M. sallei </w:t>
      </w:r>
      <w:r w:rsidR="00A87E2A" w:rsidRPr="005749EA">
        <w:t>was assisted by being contained to a semi-closed environment. While it</w:t>
      </w:r>
      <w:r w:rsidRPr="005749EA">
        <w:t xml:space="preserve"> is possible these</w:t>
      </w:r>
      <w:r w:rsidR="00A87E2A" w:rsidRPr="005749EA">
        <w:t xml:space="preserve"> bivalve</w:t>
      </w:r>
      <w:r w:rsidRPr="005749EA">
        <w:t xml:space="preserve"> populations could have died out naturally</w:t>
      </w:r>
      <w:r w:rsidR="00A87E2A" w:rsidRPr="005749EA">
        <w:t>, perhaps due to changes in salinity</w:t>
      </w:r>
      <w:r w:rsidRPr="005749EA">
        <w:t xml:space="preserve"> </w:t>
      </w:r>
      <w:r w:rsidR="00A87E2A" w:rsidRPr="005749EA">
        <w:t>as argued by Wells (2019), it is crucial</w:t>
      </w:r>
      <w:r w:rsidR="00A87E2A">
        <w:t xml:space="preserve"> that managers act on bivalve incursions as early as possible during a biosecurity response, as there is no guarantee an incursion will die out naturally. </w:t>
      </w:r>
      <w:r w:rsidR="00E31338" w:rsidRPr="00846769">
        <w:rPr>
          <w:rFonts w:cstheme="minorHAnsi"/>
        </w:rPr>
        <w:t xml:space="preserve">The biology and reproductive strategy of an invasive marine bivalve will influence the effectiveness of an eradication program. Due to spread by tides and currents, eradication may not be possible in open coastal waters where there is high movement of water. </w:t>
      </w:r>
    </w:p>
    <w:p w14:paraId="5812FBF2" w14:textId="79F3C010" w:rsidR="00E31338" w:rsidRPr="00846769" w:rsidRDefault="00E31338" w:rsidP="00E31338">
      <w:pPr>
        <w:rPr>
          <w:rFonts w:cstheme="minorHAnsi"/>
        </w:rPr>
      </w:pPr>
      <w:r w:rsidRPr="00846769">
        <w:rPr>
          <w:rFonts w:cstheme="minorHAnsi"/>
        </w:rPr>
        <w:t>Eradication is most likely to be feasible when:</w:t>
      </w:r>
    </w:p>
    <w:bookmarkEnd w:id="495"/>
    <w:p w14:paraId="58625740" w14:textId="77777777" w:rsidR="00AA47EC" w:rsidRPr="00846769" w:rsidRDefault="00AA47EC" w:rsidP="00AA47EC">
      <w:pPr>
        <w:pStyle w:val="ListBullet"/>
      </w:pPr>
      <w:r w:rsidRPr="00846769">
        <w:t>the infestation is detected early and controlled before spawning can occur</w:t>
      </w:r>
    </w:p>
    <w:p w14:paraId="4FBA148E" w14:textId="39A992F2" w:rsidR="00AA47EC" w:rsidRPr="00846769" w:rsidRDefault="00AA47EC" w:rsidP="00AA47EC">
      <w:pPr>
        <w:pStyle w:val="ListBullet"/>
      </w:pPr>
      <w:r w:rsidRPr="00846769">
        <w:t>the area inhabited is small, that is, &lt;1,000 m</w:t>
      </w:r>
      <w:r w:rsidRPr="00846769">
        <w:rPr>
          <w:vertAlign w:val="superscript"/>
        </w:rPr>
        <w:t>2</w:t>
      </w:r>
    </w:p>
    <w:p w14:paraId="30B3716A" w14:textId="77777777" w:rsidR="00AA47EC" w:rsidRPr="00846769" w:rsidRDefault="00AA47EC" w:rsidP="00AA47EC">
      <w:pPr>
        <w:pStyle w:val="ListBullet"/>
      </w:pPr>
      <w:r w:rsidRPr="00846769">
        <w:t>the infestation occurs within an area of minimal flushing or exchange of water</w:t>
      </w:r>
    </w:p>
    <w:p w14:paraId="6F12C393" w14:textId="77777777" w:rsidR="00AA47EC" w:rsidRPr="005749EA" w:rsidRDefault="00AA47EC" w:rsidP="00AA47EC">
      <w:pPr>
        <w:pStyle w:val="ListBullet"/>
      </w:pPr>
      <w:r w:rsidRPr="00846769">
        <w:t>the available habitat occu</w:t>
      </w:r>
      <w:r w:rsidRPr="005749EA">
        <w:t>rs in relative shallow water, such as &lt;15 m</w:t>
      </w:r>
    </w:p>
    <w:p w14:paraId="79655E99" w14:textId="056521C7" w:rsidR="006F030D" w:rsidRPr="005749EA" w:rsidRDefault="00AA47EC" w:rsidP="00084257">
      <w:pPr>
        <w:pStyle w:val="ListBullet"/>
        <w:ind w:hanging="425"/>
      </w:pPr>
      <w:r w:rsidRPr="005749EA">
        <w:t>the population is relatively aggregated and has not yet reached reproductive maturity (Crombie et al. 200</w:t>
      </w:r>
      <w:r w:rsidR="00C80491" w:rsidRPr="005749EA">
        <w:t>7</w:t>
      </w:r>
      <w:r w:rsidRPr="005749EA">
        <w:t>).</w:t>
      </w:r>
    </w:p>
    <w:p w14:paraId="15F06BDA" w14:textId="6D467C1E" w:rsidR="00AA47EC" w:rsidRPr="00846769" w:rsidRDefault="00AA47EC" w:rsidP="00AA47EC">
      <w:pPr>
        <w:pStyle w:val="ListBullet"/>
        <w:numPr>
          <w:ilvl w:val="0"/>
          <w:numId w:val="0"/>
        </w:numPr>
        <w:ind w:left="1"/>
      </w:pPr>
      <w:r w:rsidRPr="00846769">
        <w:t xml:space="preserve">Tracking the success of eradication to ensure effectiveness of response management can inform the next steps of the response. Expert modelling can give a measure of progress during an eradication program. For example, an </w:t>
      </w:r>
      <w:r w:rsidR="00061C17">
        <w:t>‘</w:t>
      </w:r>
      <w:proofErr w:type="spellStart"/>
      <w:r w:rsidR="0095789F" w:rsidRPr="00846769">
        <w:t>eradograph</w:t>
      </w:r>
      <w:proofErr w:type="spellEnd"/>
      <w:r w:rsidR="00061C17">
        <w:t>’</w:t>
      </w:r>
      <w:r w:rsidR="0095789F" w:rsidRPr="00846769">
        <w:t xml:space="preserve"> </w:t>
      </w:r>
      <w:r w:rsidRPr="00846769">
        <w:t xml:space="preserve">uses the specific characteristics of the marine pest and the </w:t>
      </w:r>
      <w:r w:rsidR="00E31338" w:rsidRPr="00846769">
        <w:t>i</w:t>
      </w:r>
      <w:r w:rsidRPr="00846769">
        <w:t xml:space="preserve">ncident </w:t>
      </w:r>
      <w:r w:rsidR="00E31338" w:rsidRPr="00846769">
        <w:t>m</w:t>
      </w:r>
      <w:r w:rsidRPr="00846769">
        <w:t xml:space="preserve">anagers’ eradication objective to generate the temporal trajectories of delimitation. It can imply the reallocation between search and control activities or to discontinue, maintain, or increase an eradication program. However, any applications or suggestion of changes in an eradication program must be evaluated </w:t>
      </w:r>
      <w:r w:rsidR="00057A3D">
        <w:t>using</w:t>
      </w:r>
      <w:r w:rsidR="00057A3D" w:rsidRPr="00846769">
        <w:t xml:space="preserve"> </w:t>
      </w:r>
      <w:r w:rsidRPr="00846769">
        <w:t>a benefit-</w:t>
      </w:r>
      <w:r w:rsidRPr="005749EA">
        <w:t>cost analysis (Burgman et al. 2013).</w:t>
      </w:r>
      <w:r w:rsidRPr="00846769">
        <w:t xml:space="preserve"> </w:t>
      </w:r>
    </w:p>
    <w:p w14:paraId="3DB1C995" w14:textId="77777777" w:rsidR="00057A3D" w:rsidRDefault="00AA47EC" w:rsidP="00AA47EC">
      <w:pPr>
        <w:pStyle w:val="ListBullet"/>
        <w:numPr>
          <w:ilvl w:val="0"/>
          <w:numId w:val="0"/>
        </w:numPr>
      </w:pPr>
      <w:r w:rsidRPr="00846769">
        <w:t>In planning an emergency eradication response, it is important to obtain good descriptions of the nature of the incursion, including the environment in which the pest is located and the distribution and abundance of the pest. As much as possible, these descriptions should be spatially explicit (that is, geo</w:t>
      </w:r>
      <w:r w:rsidRPr="00846769">
        <w:noBreakHyphen/>
        <w:t>referenced) to guide application of treatment methods.</w:t>
      </w:r>
    </w:p>
    <w:p w14:paraId="436651E7" w14:textId="44148ACD" w:rsidR="00AA47EC" w:rsidRPr="00846769" w:rsidRDefault="00057A3D" w:rsidP="00AA47EC">
      <w:pPr>
        <w:pStyle w:val="ListBullet"/>
        <w:numPr>
          <w:ilvl w:val="0"/>
          <w:numId w:val="0"/>
        </w:numPr>
      </w:pPr>
      <w:r>
        <w:t xml:space="preserve">Seasonal conditions and sexual maturity of the initial invading population can determine if there is sufficient time to eradicate a population before mature individuals are able to spawn. </w:t>
      </w:r>
      <w:r w:rsidR="00F247D7">
        <w:t xml:space="preserve">Because </w:t>
      </w:r>
      <w:r w:rsidR="00C82788">
        <w:t>spawning may be trigged by relatively sudden changes in temperature</w:t>
      </w:r>
      <w:r w:rsidR="00A87E2A">
        <w:t>, salinity</w:t>
      </w:r>
      <w:r w:rsidR="00061C17">
        <w:t>,</w:t>
      </w:r>
      <w:r w:rsidR="00A87E2A">
        <w:t xml:space="preserve"> or stress</w:t>
      </w:r>
      <w:r w:rsidR="00C82788">
        <w:t>, or by seasonal factors</w:t>
      </w:r>
      <w:r>
        <w:t>, there may be a short period when eradication may have a reasonable chance of success before spread occurs. This is particularly true for invasive species on visiting vessels which may not be in spawning condition when arriving or may be immature, meaning that visit duration is important in determining a course of action.</w:t>
      </w:r>
    </w:p>
    <w:p w14:paraId="396288F6" w14:textId="6F4AB62F" w:rsidR="00AA47EC" w:rsidRPr="00846769" w:rsidRDefault="007A4CBE" w:rsidP="007A4CBE">
      <w:r w:rsidRPr="00846769">
        <w:rPr>
          <w:highlight w:val="yellow"/>
        </w:rPr>
        <w:fldChar w:fldCharType="begin"/>
      </w:r>
      <w:r w:rsidRPr="00846769">
        <w:instrText xml:space="preserve"> REF _Ref171901331 \h </w:instrText>
      </w:r>
      <w:r w:rsidRPr="00846769">
        <w:rPr>
          <w:highlight w:val="yellow"/>
        </w:rPr>
      </w:r>
      <w:r w:rsidRPr="00846769">
        <w:rPr>
          <w:highlight w:val="yellow"/>
        </w:rPr>
        <w:fldChar w:fldCharType="separate"/>
      </w:r>
      <w:r w:rsidRPr="00846769">
        <w:t>Table 4</w:t>
      </w:r>
      <w:r w:rsidRPr="00846769">
        <w:rPr>
          <w:highlight w:val="yellow"/>
        </w:rPr>
        <w:fldChar w:fldCharType="end"/>
      </w:r>
      <w:r w:rsidR="00AA47EC" w:rsidRPr="00846769">
        <w:t xml:space="preserve"> summarises the variables that may be used to describe the nature of an invasive marine bivalve incursion and help define likelihood of eradication.</w:t>
      </w:r>
    </w:p>
    <w:p w14:paraId="5F2ACB7D" w14:textId="0162C63D" w:rsidR="007A4CBE" w:rsidRPr="00846769" w:rsidRDefault="007A4CBE" w:rsidP="007A4CBE">
      <w:pPr>
        <w:pStyle w:val="Caption"/>
      </w:pPr>
      <w:bookmarkStart w:id="497" w:name="_Ref171901331"/>
      <w:bookmarkStart w:id="498" w:name="_Toc191999499"/>
      <w:r w:rsidRPr="00846769">
        <w:t xml:space="preserve">Table </w:t>
      </w:r>
      <w:r w:rsidR="00232FA0" w:rsidRPr="00846769">
        <w:fldChar w:fldCharType="begin"/>
      </w:r>
      <w:r w:rsidR="00232FA0" w:rsidRPr="00846769">
        <w:instrText xml:space="preserve"> SEQ Table \* ARABIC </w:instrText>
      </w:r>
      <w:r w:rsidR="00232FA0" w:rsidRPr="00846769">
        <w:fldChar w:fldCharType="separate"/>
      </w:r>
      <w:r w:rsidR="005E4F41">
        <w:rPr>
          <w:noProof/>
        </w:rPr>
        <w:t>4</w:t>
      </w:r>
      <w:r w:rsidR="00232FA0" w:rsidRPr="00846769">
        <w:fldChar w:fldCharType="end"/>
      </w:r>
      <w:bookmarkEnd w:id="497"/>
      <w:r w:rsidRPr="00846769">
        <w:t xml:space="preserve"> Variables to describe the nature of the invasive marine bivalve incursion</w:t>
      </w:r>
      <w:bookmarkEnd w:id="498"/>
    </w:p>
    <w:tbl>
      <w:tblPr>
        <w:tblW w:w="5000" w:type="pct"/>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4513"/>
        <w:gridCol w:w="4513"/>
      </w:tblGrid>
      <w:tr w:rsidR="00AA47EC" w:rsidRPr="00846769" w14:paraId="1A83A2A2" w14:textId="77777777" w:rsidTr="00A04E26">
        <w:trPr>
          <w:tblHeader/>
        </w:trPr>
        <w:tc>
          <w:tcPr>
            <w:tcW w:w="2500" w:type="pct"/>
            <w:shd w:val="clear" w:color="auto" w:fill="FFFFFF" w:themeFill="background1"/>
          </w:tcPr>
          <w:p w14:paraId="2AAF28E3" w14:textId="11E478A7" w:rsidR="00AA47EC" w:rsidRPr="00846769" w:rsidRDefault="00AA47EC" w:rsidP="006966B1">
            <w:pPr>
              <w:pStyle w:val="TableText"/>
              <w:rPr>
                <w:b/>
                <w:bCs/>
              </w:rPr>
            </w:pPr>
            <w:bookmarkStart w:id="499" w:name="Table_4"/>
            <w:bookmarkEnd w:id="499"/>
            <w:r w:rsidRPr="00846769">
              <w:rPr>
                <w:b/>
                <w:bCs/>
              </w:rPr>
              <w:t>Variable</w:t>
            </w:r>
          </w:p>
        </w:tc>
        <w:tc>
          <w:tcPr>
            <w:tcW w:w="2500" w:type="pct"/>
            <w:shd w:val="clear" w:color="auto" w:fill="FFFFFF" w:themeFill="background1"/>
          </w:tcPr>
          <w:p w14:paraId="1CC05B84" w14:textId="513F7A7F" w:rsidR="00AA47EC" w:rsidRPr="00846769" w:rsidRDefault="00AA47EC" w:rsidP="006966B1">
            <w:pPr>
              <w:pStyle w:val="TableText"/>
              <w:rPr>
                <w:b/>
                <w:bCs/>
              </w:rPr>
            </w:pPr>
            <w:r w:rsidRPr="00846769">
              <w:rPr>
                <w:b/>
                <w:bCs/>
              </w:rPr>
              <w:t>Distribution level</w:t>
            </w:r>
          </w:p>
        </w:tc>
      </w:tr>
      <w:tr w:rsidR="00AA47EC" w:rsidRPr="00846769" w14:paraId="36DC59A3" w14:textId="77777777" w:rsidTr="00A04E26">
        <w:tc>
          <w:tcPr>
            <w:tcW w:w="2500" w:type="pct"/>
            <w:shd w:val="clear" w:color="auto" w:fill="FFFFFF" w:themeFill="background1"/>
          </w:tcPr>
          <w:p w14:paraId="670B0C2B" w14:textId="77777777" w:rsidR="00AA47EC" w:rsidRPr="00846769" w:rsidRDefault="00AA47EC" w:rsidP="006966B1">
            <w:pPr>
              <w:pStyle w:val="TableText"/>
            </w:pPr>
            <w:r w:rsidRPr="00846769">
              <w:t>Area currently infested</w:t>
            </w:r>
          </w:p>
        </w:tc>
        <w:tc>
          <w:tcPr>
            <w:tcW w:w="2500" w:type="pct"/>
            <w:shd w:val="clear" w:color="auto" w:fill="FFFFFF" w:themeFill="background1"/>
          </w:tcPr>
          <w:p w14:paraId="2DDEA8CF" w14:textId="77777777" w:rsidR="00AA47EC" w:rsidRPr="00846769" w:rsidRDefault="00AA47EC" w:rsidP="006966B1">
            <w:pPr>
              <w:pStyle w:val="TableText"/>
            </w:pPr>
            <w:r w:rsidRPr="00846769">
              <w:t>Very small (&lt;100 m²)</w:t>
            </w:r>
          </w:p>
          <w:p w14:paraId="51FEE936" w14:textId="77777777" w:rsidR="00AA47EC" w:rsidRPr="00846769" w:rsidRDefault="00AA47EC" w:rsidP="006966B1">
            <w:pPr>
              <w:pStyle w:val="TableText"/>
            </w:pPr>
            <w:r w:rsidRPr="00846769">
              <w:t>Small (100–1 000 m²)</w:t>
            </w:r>
          </w:p>
          <w:p w14:paraId="3B45988E" w14:textId="77777777" w:rsidR="00AA47EC" w:rsidRPr="00846769" w:rsidRDefault="00AA47EC" w:rsidP="006966B1">
            <w:pPr>
              <w:pStyle w:val="TableText"/>
            </w:pPr>
            <w:r w:rsidRPr="00846769">
              <w:lastRenderedPageBreak/>
              <w:t>Medium (1 000–10 000 m²)</w:t>
            </w:r>
          </w:p>
          <w:p w14:paraId="77FA548D" w14:textId="77777777" w:rsidR="00AA47EC" w:rsidRPr="00846769" w:rsidRDefault="00AA47EC" w:rsidP="006966B1">
            <w:pPr>
              <w:pStyle w:val="TableText"/>
            </w:pPr>
            <w:r w:rsidRPr="00846769">
              <w:t>Large (1–10 ha)</w:t>
            </w:r>
          </w:p>
          <w:p w14:paraId="598AA4AD" w14:textId="77777777" w:rsidR="00AA47EC" w:rsidRPr="00846769" w:rsidRDefault="00AA47EC" w:rsidP="006966B1">
            <w:pPr>
              <w:pStyle w:val="TableText"/>
            </w:pPr>
            <w:r w:rsidRPr="00846769">
              <w:t>Very large (&gt;10 ha)</w:t>
            </w:r>
          </w:p>
        </w:tc>
      </w:tr>
      <w:tr w:rsidR="00AA47EC" w:rsidRPr="00846769" w14:paraId="57FD8140" w14:textId="77777777" w:rsidTr="00A04E26">
        <w:tc>
          <w:tcPr>
            <w:tcW w:w="2500" w:type="pct"/>
            <w:shd w:val="clear" w:color="auto" w:fill="FFFFFF" w:themeFill="background1"/>
          </w:tcPr>
          <w:p w14:paraId="3E67A56C" w14:textId="77777777" w:rsidR="00AA47EC" w:rsidRPr="00846769" w:rsidRDefault="00AA47EC" w:rsidP="006966B1">
            <w:pPr>
              <w:pStyle w:val="TableText"/>
            </w:pPr>
            <w:r w:rsidRPr="00846769">
              <w:lastRenderedPageBreak/>
              <w:t>Abundance</w:t>
            </w:r>
          </w:p>
        </w:tc>
        <w:tc>
          <w:tcPr>
            <w:tcW w:w="2500" w:type="pct"/>
            <w:shd w:val="clear" w:color="auto" w:fill="FFFFFF" w:themeFill="background1"/>
          </w:tcPr>
          <w:p w14:paraId="2941E698" w14:textId="77777777" w:rsidR="00AA47EC" w:rsidRPr="00846769" w:rsidRDefault="00AA47EC" w:rsidP="006966B1">
            <w:pPr>
              <w:pStyle w:val="TableText"/>
            </w:pPr>
            <w:r w:rsidRPr="00846769">
              <w:t>Low</w:t>
            </w:r>
          </w:p>
          <w:p w14:paraId="60381E33" w14:textId="77777777" w:rsidR="00AA47EC" w:rsidRPr="00846769" w:rsidRDefault="00AA47EC" w:rsidP="006966B1">
            <w:pPr>
              <w:pStyle w:val="TableText"/>
            </w:pPr>
            <w:r w:rsidRPr="00846769">
              <w:t>Moderate</w:t>
            </w:r>
          </w:p>
          <w:p w14:paraId="63EB6138" w14:textId="77777777" w:rsidR="00AA47EC" w:rsidRPr="00846769" w:rsidRDefault="00AA47EC" w:rsidP="006966B1">
            <w:pPr>
              <w:pStyle w:val="TableText"/>
            </w:pPr>
            <w:r w:rsidRPr="00846769">
              <w:t>High</w:t>
            </w:r>
          </w:p>
        </w:tc>
      </w:tr>
      <w:tr w:rsidR="00AA47EC" w:rsidRPr="00846769" w14:paraId="0ACAAEF1" w14:textId="77777777" w:rsidTr="00A04E26">
        <w:tc>
          <w:tcPr>
            <w:tcW w:w="2500" w:type="pct"/>
            <w:shd w:val="clear" w:color="auto" w:fill="FFFFFF" w:themeFill="background1"/>
          </w:tcPr>
          <w:p w14:paraId="33546146" w14:textId="77777777" w:rsidR="00AA47EC" w:rsidRPr="00846769" w:rsidRDefault="00AA47EC" w:rsidP="006966B1">
            <w:pPr>
              <w:pStyle w:val="TableText"/>
            </w:pPr>
            <w:r w:rsidRPr="00846769">
              <w:t>Pattern</w:t>
            </w:r>
          </w:p>
        </w:tc>
        <w:tc>
          <w:tcPr>
            <w:tcW w:w="2500" w:type="pct"/>
            <w:shd w:val="clear" w:color="auto" w:fill="FFFFFF" w:themeFill="background1"/>
          </w:tcPr>
          <w:p w14:paraId="472478EB" w14:textId="77777777" w:rsidR="00AA47EC" w:rsidRPr="00846769" w:rsidRDefault="00AA47EC" w:rsidP="006966B1">
            <w:pPr>
              <w:pStyle w:val="TableText"/>
            </w:pPr>
            <w:r w:rsidRPr="00846769">
              <w:t>Continuous</w:t>
            </w:r>
          </w:p>
          <w:p w14:paraId="5D3FBBF1" w14:textId="77777777" w:rsidR="00AA47EC" w:rsidRPr="00846769" w:rsidRDefault="00AA47EC" w:rsidP="006966B1">
            <w:pPr>
              <w:pStyle w:val="TableText"/>
            </w:pPr>
            <w:r w:rsidRPr="00846769">
              <w:t>Fewer than 5 patches</w:t>
            </w:r>
          </w:p>
          <w:p w14:paraId="7119EDF4" w14:textId="77777777" w:rsidR="00AA47EC" w:rsidRPr="00846769" w:rsidRDefault="00AA47EC" w:rsidP="006966B1">
            <w:pPr>
              <w:pStyle w:val="TableText"/>
            </w:pPr>
            <w:r w:rsidRPr="00846769">
              <w:t>5 or more patches</w:t>
            </w:r>
          </w:p>
        </w:tc>
      </w:tr>
      <w:tr w:rsidR="00AA47EC" w:rsidRPr="00846769" w14:paraId="3A506EFB" w14:textId="77777777" w:rsidTr="00A04E26">
        <w:tc>
          <w:tcPr>
            <w:tcW w:w="2500" w:type="pct"/>
            <w:shd w:val="clear" w:color="auto" w:fill="FFFFFF" w:themeFill="background1"/>
          </w:tcPr>
          <w:p w14:paraId="1CA60C6D" w14:textId="77777777" w:rsidR="00AA47EC" w:rsidRPr="00846769" w:rsidRDefault="00AA47EC" w:rsidP="006966B1">
            <w:pPr>
              <w:pStyle w:val="TableText"/>
            </w:pPr>
            <w:r w:rsidRPr="00846769">
              <w:t>Use of suitable habitat</w:t>
            </w:r>
          </w:p>
        </w:tc>
        <w:tc>
          <w:tcPr>
            <w:tcW w:w="2500" w:type="pct"/>
            <w:shd w:val="clear" w:color="auto" w:fill="FFFFFF" w:themeFill="background1"/>
          </w:tcPr>
          <w:p w14:paraId="29375FE8" w14:textId="77777777" w:rsidR="00AA47EC" w:rsidRPr="00846769" w:rsidRDefault="00AA47EC" w:rsidP="006966B1">
            <w:pPr>
              <w:pStyle w:val="TableText"/>
            </w:pPr>
            <w:r w:rsidRPr="00846769">
              <w:t>Low (&lt;10%)</w:t>
            </w:r>
          </w:p>
          <w:p w14:paraId="4C67047F" w14:textId="77777777" w:rsidR="00AA47EC" w:rsidRPr="00846769" w:rsidRDefault="00AA47EC" w:rsidP="006966B1">
            <w:pPr>
              <w:pStyle w:val="TableText"/>
            </w:pPr>
            <w:r w:rsidRPr="00846769">
              <w:t>Moderate (10–50%)</w:t>
            </w:r>
          </w:p>
          <w:p w14:paraId="27246556" w14:textId="77777777" w:rsidR="00AA47EC" w:rsidRPr="00846769" w:rsidRDefault="00AA47EC" w:rsidP="006966B1">
            <w:pPr>
              <w:pStyle w:val="TableText"/>
            </w:pPr>
            <w:r w:rsidRPr="00846769">
              <w:t>High (&gt;50%)</w:t>
            </w:r>
          </w:p>
        </w:tc>
      </w:tr>
      <w:tr w:rsidR="00AA47EC" w:rsidRPr="00846769" w14:paraId="76BA6D52" w14:textId="77777777" w:rsidTr="00A04E26">
        <w:tc>
          <w:tcPr>
            <w:tcW w:w="2500" w:type="pct"/>
            <w:shd w:val="clear" w:color="auto" w:fill="FFFFFF" w:themeFill="background1"/>
          </w:tcPr>
          <w:p w14:paraId="3ABE6BC0" w14:textId="77777777" w:rsidR="00AA47EC" w:rsidRPr="00846769" w:rsidRDefault="00AA47EC" w:rsidP="006966B1">
            <w:pPr>
              <w:pStyle w:val="TableText"/>
            </w:pPr>
            <w:r w:rsidRPr="00846769">
              <w:t>Maturity of organisms found</w:t>
            </w:r>
          </w:p>
        </w:tc>
        <w:tc>
          <w:tcPr>
            <w:tcW w:w="2500" w:type="pct"/>
            <w:shd w:val="clear" w:color="auto" w:fill="FFFFFF" w:themeFill="background1"/>
          </w:tcPr>
          <w:p w14:paraId="3638730D" w14:textId="77777777" w:rsidR="00AA47EC" w:rsidRPr="00846769" w:rsidRDefault="00AA47EC" w:rsidP="006966B1">
            <w:pPr>
              <w:pStyle w:val="TableText"/>
            </w:pPr>
            <w:r w:rsidRPr="00846769">
              <w:t>Juveniles</w:t>
            </w:r>
          </w:p>
          <w:p w14:paraId="2EA28C72" w14:textId="77777777" w:rsidR="00AA47EC" w:rsidRPr="00846769" w:rsidRDefault="00AA47EC" w:rsidP="006966B1">
            <w:pPr>
              <w:pStyle w:val="TableText"/>
            </w:pPr>
            <w:r w:rsidRPr="00846769">
              <w:t>Sub-adults</w:t>
            </w:r>
          </w:p>
          <w:p w14:paraId="5CEF95C4" w14:textId="77777777" w:rsidR="00AA47EC" w:rsidRPr="00846769" w:rsidRDefault="00AA47EC" w:rsidP="006966B1">
            <w:pPr>
              <w:pStyle w:val="TableText"/>
            </w:pPr>
            <w:r w:rsidRPr="00846769">
              <w:t>Adults</w:t>
            </w:r>
          </w:p>
          <w:p w14:paraId="2CF2B946" w14:textId="5BEF8B5D" w:rsidR="007224A0" w:rsidRPr="00846769" w:rsidRDefault="007224A0" w:rsidP="006966B1">
            <w:pPr>
              <w:pStyle w:val="TableText"/>
            </w:pPr>
            <w:r w:rsidRPr="00846769">
              <w:t>Adults (sexually mature)</w:t>
            </w:r>
          </w:p>
        </w:tc>
      </w:tr>
      <w:tr w:rsidR="00AA47EC" w:rsidRPr="00846769" w14:paraId="594ADCCD" w14:textId="77777777" w:rsidTr="00A04E26">
        <w:tc>
          <w:tcPr>
            <w:tcW w:w="2500" w:type="pct"/>
            <w:shd w:val="clear" w:color="auto" w:fill="FFFFFF" w:themeFill="background1"/>
          </w:tcPr>
          <w:p w14:paraId="6900DA26" w14:textId="77777777" w:rsidR="00AA47EC" w:rsidRPr="00846769" w:rsidRDefault="00AA47EC" w:rsidP="006966B1">
            <w:pPr>
              <w:pStyle w:val="TableText"/>
            </w:pPr>
            <w:r w:rsidRPr="00846769">
              <w:t>Maximum depth of infestation</w:t>
            </w:r>
          </w:p>
        </w:tc>
        <w:tc>
          <w:tcPr>
            <w:tcW w:w="2500" w:type="pct"/>
            <w:shd w:val="clear" w:color="auto" w:fill="FFFFFF" w:themeFill="background1"/>
          </w:tcPr>
          <w:p w14:paraId="60BDCB47" w14:textId="77777777" w:rsidR="00AA47EC" w:rsidRPr="00846769" w:rsidRDefault="00AA47EC" w:rsidP="006966B1">
            <w:pPr>
              <w:pStyle w:val="TableText"/>
            </w:pPr>
            <w:r w:rsidRPr="00846769">
              <w:t>Shallow (&lt;2 m)</w:t>
            </w:r>
          </w:p>
          <w:p w14:paraId="6C2C5D13" w14:textId="77777777" w:rsidR="00AA47EC" w:rsidRPr="00846769" w:rsidRDefault="00AA47EC" w:rsidP="006966B1">
            <w:pPr>
              <w:pStyle w:val="TableText"/>
            </w:pPr>
            <w:r w:rsidRPr="00846769">
              <w:t>Moderate (2–15 m)</w:t>
            </w:r>
          </w:p>
          <w:p w14:paraId="7CFB8C86" w14:textId="77777777" w:rsidR="00AA47EC" w:rsidRPr="00846769" w:rsidRDefault="00AA47EC" w:rsidP="006966B1">
            <w:pPr>
              <w:pStyle w:val="TableText"/>
            </w:pPr>
            <w:r w:rsidRPr="00846769">
              <w:t>Deep (&gt;15 m)</w:t>
            </w:r>
          </w:p>
        </w:tc>
      </w:tr>
      <w:tr w:rsidR="00AA47EC" w:rsidRPr="00846769" w14:paraId="67D49A8B" w14:textId="77777777" w:rsidTr="00A04E26">
        <w:tc>
          <w:tcPr>
            <w:tcW w:w="2500" w:type="pct"/>
            <w:shd w:val="clear" w:color="auto" w:fill="FFFFFF" w:themeFill="background1"/>
          </w:tcPr>
          <w:p w14:paraId="28058282" w14:textId="77777777" w:rsidR="00AA47EC" w:rsidRPr="00846769" w:rsidRDefault="00AA47EC" w:rsidP="006966B1">
            <w:pPr>
              <w:pStyle w:val="TableText"/>
            </w:pPr>
            <w:r w:rsidRPr="00846769">
              <w:t>Maximum depth of available habitat</w:t>
            </w:r>
          </w:p>
        </w:tc>
        <w:tc>
          <w:tcPr>
            <w:tcW w:w="2500" w:type="pct"/>
            <w:shd w:val="clear" w:color="auto" w:fill="FFFFFF" w:themeFill="background1"/>
          </w:tcPr>
          <w:p w14:paraId="766C8D7D" w14:textId="77777777" w:rsidR="00AA47EC" w:rsidRPr="00846769" w:rsidRDefault="00AA47EC" w:rsidP="006966B1">
            <w:pPr>
              <w:pStyle w:val="TableText"/>
            </w:pPr>
            <w:r w:rsidRPr="00846769">
              <w:t>Shallow (&lt;2 m)</w:t>
            </w:r>
          </w:p>
          <w:p w14:paraId="3D7CF390" w14:textId="77777777" w:rsidR="00AA47EC" w:rsidRPr="00846769" w:rsidRDefault="00AA47EC" w:rsidP="006966B1">
            <w:pPr>
              <w:pStyle w:val="TableText"/>
            </w:pPr>
            <w:r w:rsidRPr="00846769">
              <w:t>Moderate (2–15 m)</w:t>
            </w:r>
          </w:p>
          <w:p w14:paraId="7D98BE97" w14:textId="77777777" w:rsidR="00AA47EC" w:rsidRPr="00846769" w:rsidRDefault="00AA47EC" w:rsidP="006966B1">
            <w:pPr>
              <w:pStyle w:val="TableText"/>
            </w:pPr>
            <w:r w:rsidRPr="00846769">
              <w:t>Deep (&gt;15 m)</w:t>
            </w:r>
          </w:p>
        </w:tc>
      </w:tr>
      <w:tr w:rsidR="00AA47EC" w:rsidRPr="00846769" w14:paraId="4865FC84" w14:textId="77777777" w:rsidTr="00A04E26">
        <w:tc>
          <w:tcPr>
            <w:tcW w:w="2500" w:type="pct"/>
            <w:shd w:val="clear" w:color="auto" w:fill="FFFFFF" w:themeFill="background1"/>
          </w:tcPr>
          <w:p w14:paraId="6239B1B7" w14:textId="77777777" w:rsidR="00AA47EC" w:rsidRPr="00846769" w:rsidRDefault="00AA47EC" w:rsidP="006966B1">
            <w:pPr>
              <w:pStyle w:val="TableText"/>
            </w:pPr>
            <w:r w:rsidRPr="00846769">
              <w:t>Turbidity</w:t>
            </w:r>
          </w:p>
        </w:tc>
        <w:tc>
          <w:tcPr>
            <w:tcW w:w="2500" w:type="pct"/>
            <w:shd w:val="clear" w:color="auto" w:fill="FFFFFF" w:themeFill="background1"/>
          </w:tcPr>
          <w:p w14:paraId="5A63B6E9" w14:textId="77777777" w:rsidR="00AA47EC" w:rsidRPr="00846769" w:rsidRDefault="00AA47EC" w:rsidP="006966B1">
            <w:pPr>
              <w:pStyle w:val="TableText"/>
            </w:pPr>
            <w:r w:rsidRPr="00846769">
              <w:t>Clear (visibility &gt;5 m)</w:t>
            </w:r>
          </w:p>
          <w:p w14:paraId="3E6CE508" w14:textId="77777777" w:rsidR="00AA47EC" w:rsidRPr="00846769" w:rsidRDefault="00AA47EC" w:rsidP="006966B1">
            <w:pPr>
              <w:pStyle w:val="TableText"/>
            </w:pPr>
            <w:r w:rsidRPr="00846769">
              <w:t>Moderate (visibility 1–5 m)</w:t>
            </w:r>
          </w:p>
          <w:p w14:paraId="729B3C52" w14:textId="77777777" w:rsidR="00AA47EC" w:rsidRPr="00846769" w:rsidRDefault="00AA47EC" w:rsidP="006966B1">
            <w:pPr>
              <w:pStyle w:val="TableText"/>
            </w:pPr>
            <w:r w:rsidRPr="00846769">
              <w:t>High (visibility &lt;1 m)</w:t>
            </w:r>
          </w:p>
        </w:tc>
      </w:tr>
      <w:tr w:rsidR="00AA47EC" w:rsidRPr="00846769" w14:paraId="2B7BB434" w14:textId="77777777" w:rsidTr="00A04E26">
        <w:tc>
          <w:tcPr>
            <w:tcW w:w="2500" w:type="pct"/>
            <w:shd w:val="clear" w:color="auto" w:fill="FFFFFF" w:themeFill="background1"/>
          </w:tcPr>
          <w:p w14:paraId="0B952EFF" w14:textId="77777777" w:rsidR="00AA47EC" w:rsidRPr="00846769" w:rsidRDefault="00AA47EC" w:rsidP="006966B1">
            <w:pPr>
              <w:pStyle w:val="TableText"/>
            </w:pPr>
            <w:r w:rsidRPr="00846769">
              <w:t>Water exchange in incursion area</w:t>
            </w:r>
          </w:p>
        </w:tc>
        <w:tc>
          <w:tcPr>
            <w:tcW w:w="2500" w:type="pct"/>
            <w:shd w:val="clear" w:color="auto" w:fill="FFFFFF" w:themeFill="background1"/>
          </w:tcPr>
          <w:p w14:paraId="75389459" w14:textId="77777777" w:rsidR="00AA47EC" w:rsidRPr="00846769" w:rsidRDefault="00AA47EC" w:rsidP="006966B1">
            <w:pPr>
              <w:pStyle w:val="TableText"/>
            </w:pPr>
            <w:r w:rsidRPr="00846769">
              <w:t xml:space="preserve">Minimal </w:t>
            </w:r>
          </w:p>
          <w:p w14:paraId="169FFE84" w14:textId="77777777" w:rsidR="00AA47EC" w:rsidRPr="00846769" w:rsidRDefault="00AA47EC" w:rsidP="006966B1">
            <w:pPr>
              <w:pStyle w:val="TableText"/>
            </w:pPr>
            <w:r w:rsidRPr="00846769">
              <w:t xml:space="preserve">Low </w:t>
            </w:r>
          </w:p>
          <w:p w14:paraId="12F3BBE3" w14:textId="77777777" w:rsidR="00AA47EC" w:rsidRPr="00846769" w:rsidRDefault="00AA47EC" w:rsidP="006966B1">
            <w:pPr>
              <w:pStyle w:val="TableText"/>
            </w:pPr>
            <w:r w:rsidRPr="00846769">
              <w:t xml:space="preserve">High </w:t>
            </w:r>
          </w:p>
        </w:tc>
      </w:tr>
    </w:tbl>
    <w:p w14:paraId="46856F39" w14:textId="04D7E3B0" w:rsidR="00AA47EC" w:rsidRPr="00846769" w:rsidRDefault="00AA47EC" w:rsidP="00AA47EC">
      <w:pPr>
        <w:pStyle w:val="FigureTableNoteSource"/>
      </w:pPr>
      <w:r w:rsidRPr="00846769">
        <w:t xml:space="preserve">Source: </w:t>
      </w:r>
      <w:r w:rsidR="007A4CBE" w:rsidRPr="00846769">
        <w:t xml:space="preserve">Table </w:t>
      </w:r>
      <w:r w:rsidR="007A4CBE" w:rsidRPr="005749EA">
        <w:t>m</w:t>
      </w:r>
      <w:r w:rsidRPr="005749EA">
        <w:t>odified from Crombie et al. (2007)</w:t>
      </w:r>
    </w:p>
    <w:p w14:paraId="71CBB1CD" w14:textId="77777777" w:rsidR="009229F1" w:rsidRPr="00846769" w:rsidRDefault="009229F1" w:rsidP="009229F1">
      <w:pPr>
        <w:pStyle w:val="Heading4"/>
        <w:numPr>
          <w:ilvl w:val="2"/>
          <w:numId w:val="4"/>
        </w:numPr>
      </w:pPr>
      <w:r w:rsidRPr="00846769">
        <w:t>Infestations in open coastal environments</w:t>
      </w:r>
    </w:p>
    <w:p w14:paraId="2E70F591" w14:textId="04BBC74D" w:rsidR="009229F1" w:rsidRPr="00846769" w:rsidRDefault="009229F1" w:rsidP="009229F1">
      <w:r w:rsidRPr="00846769">
        <w:t>There are limited emergency eradication response options available for invasive marine bivalves in open coastal environments, particularly on high energy coastlines or water &gt;10 metres deep. Many treatment</w:t>
      </w:r>
      <w:r w:rsidR="00F94A84" w:rsidRPr="00846769">
        <w:t xml:space="preserve"> and control</w:t>
      </w:r>
      <w:r w:rsidRPr="00846769">
        <w:t xml:space="preserve"> options described in </w:t>
      </w:r>
      <w:hyperlink w:anchor="_Methods_for_containment," w:history="1">
        <w:r w:rsidRPr="00846769">
          <w:rPr>
            <w:rStyle w:val="Hyperlink"/>
          </w:rPr>
          <w:t xml:space="preserve">Section </w:t>
        </w:r>
        <w:r w:rsidR="009968F1" w:rsidRPr="00846769">
          <w:rPr>
            <w:rStyle w:val="Hyperlink"/>
          </w:rPr>
          <w:t>5.3</w:t>
        </w:r>
      </w:hyperlink>
      <w:r w:rsidRPr="00846769">
        <w:t xml:space="preserve"> may be applied to small-scale incursions in the open ocean environment. The primary difficulties, however, are containing the wide dispersal of larvae if reproduction is occurring and maintaining treatment conditions at a lethal level for enough time to be effective. </w:t>
      </w:r>
      <w:r w:rsidRPr="00846769">
        <w:rPr>
          <w:rFonts w:cstheme="minorHAnsi"/>
        </w:rPr>
        <w:t xml:space="preserve">For instance, the application of chemicals will require development of support structures or technologies </w:t>
      </w:r>
      <w:r w:rsidR="00F94A84" w:rsidRPr="00846769">
        <w:rPr>
          <w:rFonts w:cstheme="minorHAnsi"/>
        </w:rPr>
        <w:t xml:space="preserve">to </w:t>
      </w:r>
      <w:r w:rsidRPr="00846769">
        <w:rPr>
          <w:rFonts w:cstheme="minorHAnsi"/>
        </w:rPr>
        <w:t>account for current and wave action affects. Most chemical treatments also cause impacts on non-target species and may have significant environmental effects</w:t>
      </w:r>
      <w:r w:rsidR="00057A3D">
        <w:rPr>
          <w:rFonts w:cstheme="minorHAnsi"/>
        </w:rPr>
        <w:t xml:space="preserve"> that </w:t>
      </w:r>
      <w:r w:rsidRPr="00846769">
        <w:rPr>
          <w:rFonts w:cstheme="minorHAnsi"/>
        </w:rPr>
        <w:t>require consideration.</w:t>
      </w:r>
    </w:p>
    <w:p w14:paraId="3E898B53" w14:textId="77777777" w:rsidR="009229F1" w:rsidRPr="00846769" w:rsidRDefault="009229F1" w:rsidP="009229F1">
      <w:pPr>
        <w:rPr>
          <w:rFonts w:cstheme="minorHAnsi"/>
        </w:rPr>
      </w:pPr>
      <w:r w:rsidRPr="00846769">
        <w:rPr>
          <w:rFonts w:cstheme="minorHAnsi"/>
        </w:rPr>
        <w:t xml:space="preserve">Successful eradication of small incursions may be possible using methods such as physical removal, smothering, small-scale containment, and chemical treatment if the incursion is detected early or where site- and species-specific conditions allow removal or containment of the bivalve species. </w:t>
      </w:r>
      <w:r w:rsidRPr="00846769">
        <w:rPr>
          <w:rFonts w:cstheme="minorHAnsi"/>
        </w:rPr>
        <w:lastRenderedPageBreak/>
        <w:t xml:space="preserve">Successful eradication usually combines a range of methods, some of which may be </w:t>
      </w:r>
      <w:r w:rsidRPr="00846769">
        <w:t xml:space="preserve">selected on factors such as population </w:t>
      </w:r>
      <w:r w:rsidRPr="00933BC7">
        <w:t>distribution and density</w:t>
      </w:r>
      <w:r w:rsidRPr="00933BC7">
        <w:rPr>
          <w:rFonts w:cstheme="minorHAnsi"/>
        </w:rPr>
        <w:t xml:space="preserve"> (Green &amp; </w:t>
      </w:r>
      <w:proofErr w:type="spellStart"/>
      <w:r w:rsidRPr="00933BC7">
        <w:rPr>
          <w:rFonts w:cstheme="minorHAnsi"/>
        </w:rPr>
        <w:t>Grosholz</w:t>
      </w:r>
      <w:proofErr w:type="spellEnd"/>
      <w:r w:rsidRPr="00933BC7">
        <w:rPr>
          <w:rFonts w:cstheme="minorHAnsi"/>
        </w:rPr>
        <w:t xml:space="preserve"> 2020).</w:t>
      </w:r>
    </w:p>
    <w:p w14:paraId="1E90B107" w14:textId="76C36C2F" w:rsidR="00F94A84" w:rsidRPr="00846769" w:rsidRDefault="00F94A84" w:rsidP="009229F1">
      <w:r w:rsidRPr="00846769">
        <w:t xml:space="preserve">Many invasive marine bivalves have high fecundity and long planktonic larval durations </w:t>
      </w:r>
      <w:r w:rsidR="00F247D7">
        <w:t>of</w:t>
      </w:r>
      <w:r w:rsidRPr="00846769">
        <w:t xml:space="preserve"> several days up to multiple weeks, allowing larval spread over large distances by tides and currents. </w:t>
      </w:r>
      <w:r w:rsidR="00F247D7">
        <w:t xml:space="preserve">Because of this, eradication may not be possible in open coastal waters where there is high movement of water. </w:t>
      </w:r>
      <w:r w:rsidRPr="00846769">
        <w:t xml:space="preserve">Priority invasive marine bivalves to Australia take varying times to reach sexual maturity. </w:t>
      </w:r>
      <w:r w:rsidRPr="00846769">
        <w:rPr>
          <w:i/>
        </w:rPr>
        <w:t>Mytilopsis sallei</w:t>
      </w:r>
      <w:r w:rsidRPr="00846769">
        <w:t xml:space="preserve"> and </w:t>
      </w:r>
      <w:r w:rsidRPr="00846769">
        <w:rPr>
          <w:i/>
        </w:rPr>
        <w:t xml:space="preserve">Perna </w:t>
      </w:r>
      <w:r w:rsidRPr="00846769">
        <w:t xml:space="preserve">spp. take between 1 and 3 months to reach sexual maturity whereas </w:t>
      </w:r>
      <w:r w:rsidRPr="00846769">
        <w:rPr>
          <w:i/>
        </w:rPr>
        <w:t xml:space="preserve">Mya arenaria </w:t>
      </w:r>
      <w:r w:rsidRPr="00846769">
        <w:t xml:space="preserve">can take up to </w:t>
      </w:r>
      <w:r w:rsidRPr="00C80491">
        <w:t xml:space="preserve">five </w:t>
      </w:r>
      <w:r w:rsidRPr="00933BC7">
        <w:t xml:space="preserve">years (Abraham &amp; Dillon 1986). </w:t>
      </w:r>
    </w:p>
    <w:p w14:paraId="00274777" w14:textId="77777777" w:rsidR="009229F1" w:rsidRPr="00846769" w:rsidRDefault="009229F1" w:rsidP="009229F1">
      <w:pPr>
        <w:pStyle w:val="Heading4"/>
        <w:numPr>
          <w:ilvl w:val="2"/>
          <w:numId w:val="4"/>
        </w:numPr>
      </w:pPr>
      <w:r w:rsidRPr="00846769">
        <w:t>Infestations in closed or semi-enclosed coastal environments, and on aquaculture stock and equipment</w:t>
      </w:r>
    </w:p>
    <w:p w14:paraId="69CA65B2" w14:textId="421A47A7" w:rsidR="00057A3D" w:rsidRPr="00846769" w:rsidRDefault="00057A3D" w:rsidP="009229F1">
      <w:r w:rsidRPr="008E67DA">
        <w:rPr>
          <w:rFonts w:cstheme="minorHAnsi"/>
        </w:rPr>
        <w:t>Eradication is most achievable in closed or semi-enclosed coastal environment</w:t>
      </w:r>
      <w:r>
        <w:rPr>
          <w:rFonts w:cstheme="minorHAnsi"/>
        </w:rPr>
        <w:t>s</w:t>
      </w:r>
      <w:r w:rsidRPr="008E67DA">
        <w:rPr>
          <w:rFonts w:cstheme="minorHAnsi"/>
        </w:rPr>
        <w:t xml:space="preserve">, such as </w:t>
      </w:r>
      <w:r>
        <w:rPr>
          <w:rFonts w:cstheme="minorHAnsi"/>
        </w:rPr>
        <w:t xml:space="preserve">some </w:t>
      </w:r>
      <w:r w:rsidRPr="008E67DA">
        <w:rPr>
          <w:rFonts w:cstheme="minorHAnsi"/>
        </w:rPr>
        <w:t xml:space="preserve">marinas and coastal lakes, </w:t>
      </w:r>
      <w:r>
        <w:rPr>
          <w:rFonts w:cstheme="minorHAnsi"/>
        </w:rPr>
        <w:t xml:space="preserve">or from aquaculture stock and equipment </w:t>
      </w:r>
      <w:r w:rsidRPr="008E67DA">
        <w:rPr>
          <w:rFonts w:cstheme="minorHAnsi"/>
        </w:rPr>
        <w:t xml:space="preserve">because the </w:t>
      </w:r>
      <w:r>
        <w:rPr>
          <w:rFonts w:cstheme="minorHAnsi"/>
        </w:rPr>
        <w:t>bivalve</w:t>
      </w:r>
      <w:r w:rsidRPr="008E67DA">
        <w:rPr>
          <w:rFonts w:cstheme="minorHAnsi"/>
        </w:rPr>
        <w:t xml:space="preserve"> </w:t>
      </w:r>
      <w:r>
        <w:rPr>
          <w:rFonts w:cstheme="minorHAnsi"/>
        </w:rPr>
        <w:t xml:space="preserve">population </w:t>
      </w:r>
      <w:r w:rsidRPr="008E67DA">
        <w:rPr>
          <w:rFonts w:cstheme="minorHAnsi"/>
        </w:rPr>
        <w:t xml:space="preserve">can be </w:t>
      </w:r>
      <w:r>
        <w:rPr>
          <w:rFonts w:cstheme="minorHAnsi"/>
        </w:rPr>
        <w:t xml:space="preserve">more </w:t>
      </w:r>
      <w:r w:rsidRPr="008E67DA">
        <w:rPr>
          <w:rFonts w:cstheme="minorHAnsi"/>
        </w:rPr>
        <w:t>easily contained, and it is possible to maintain conditions necessary to achieve mortality.</w:t>
      </w:r>
      <w:r>
        <w:rPr>
          <w:rFonts w:cstheme="minorHAnsi"/>
        </w:rPr>
        <w:t xml:space="preserve"> Various treatment options are possible in these circumstances, including application of chemical biocides, physical removal, and smothering through wrapping and encapsulation. Ch</w:t>
      </w:r>
      <w:r>
        <w:t xml:space="preserve">emical biocides and physical methods have both been used to successfully treat a bivalve </w:t>
      </w:r>
      <w:r w:rsidRPr="00933BC7">
        <w:t xml:space="preserve">population </w:t>
      </w:r>
      <w:r w:rsidRPr="00933BC7">
        <w:rPr>
          <w:noProof/>
        </w:rPr>
        <w:t>(Ferguson 2000; Hopkins et al. 2011)</w:t>
      </w:r>
      <w:r w:rsidRPr="00933BC7">
        <w:t>. In both</w:t>
      </w:r>
      <w:r>
        <w:t xml:space="preserve"> cases</w:t>
      </w:r>
      <w:r w:rsidRPr="00846769">
        <w:t>,</w:t>
      </w:r>
      <w:r>
        <w:t xml:space="preserve"> timeliness was essential, because if bivalves have spawned and the larvae have settled</w:t>
      </w:r>
      <w:r w:rsidRPr="00846769">
        <w:t>,</w:t>
      </w:r>
      <w:r>
        <w:t xml:space="preserve"> then control will be far more difficult. </w:t>
      </w:r>
      <w:r w:rsidRPr="00846769">
        <w:t xml:space="preserve">Repeating treatment methods over the species’ known or suspected recruitment period may be required. </w:t>
      </w:r>
    </w:p>
    <w:p w14:paraId="139A44FA" w14:textId="2B05B512" w:rsidR="009229F1" w:rsidRPr="00846769" w:rsidRDefault="00C82788" w:rsidP="009229F1">
      <w:r>
        <w:t>If the infestation is confined to a relatively small, enclosed</w:t>
      </w:r>
      <w:r w:rsidRPr="00846769">
        <w:t>,</w:t>
      </w:r>
      <w:r>
        <w:t xml:space="preserve"> or semi-enclosed waterway, it may be possible to treat the entire water body and all aquatic habitats within it (Willan et al. 2000)</w:t>
      </w:r>
      <w:r w:rsidR="009B15CE">
        <w:t>. However, consideration must be given to native species and habitats in the water body which may be affected by these treatments</w:t>
      </w:r>
      <w:r>
        <w:t xml:space="preserve">. </w:t>
      </w:r>
      <w:r w:rsidR="009229F1" w:rsidRPr="00846769">
        <w:t>Similarly, if the infestation is confined to specific aquaculture equipment or stock then it is possible to treat the equipment or dispose of the infested stock. If this is not possible, then the management success will depend more heavily on</w:t>
      </w:r>
      <w:r w:rsidR="00F94A84" w:rsidRPr="00846769">
        <w:t xml:space="preserve"> </w:t>
      </w:r>
      <w:r w:rsidR="009229F1" w:rsidRPr="00846769">
        <w:t>delimitation surveys</w:t>
      </w:r>
      <w:r w:rsidR="00F94A84" w:rsidRPr="00846769">
        <w:t xml:space="preserve"> and active surveillance</w:t>
      </w:r>
      <w:r w:rsidR="009229F1" w:rsidRPr="00846769">
        <w:t xml:space="preserve"> to locate and treat all clusters of the bivalve population.</w:t>
      </w:r>
    </w:p>
    <w:p w14:paraId="2054D60E" w14:textId="1147F9C5" w:rsidR="009229F1" w:rsidRPr="00846769" w:rsidRDefault="009229F1" w:rsidP="009229F1">
      <w:r w:rsidRPr="00846769">
        <w:t>The wide range of physical tolerances of invasive marine bivalves presents many challenges for their control. Bivalves are particularly tolerant to several treatment options because of their ability to withstand extreme environments and withstand desiccation.</w:t>
      </w:r>
      <w:r w:rsidR="00F94A84" w:rsidRPr="00846769">
        <w:t xml:space="preserve"> For example,</w:t>
      </w:r>
      <w:r w:rsidRPr="00846769">
        <w:t xml:space="preserve"> </w:t>
      </w:r>
      <w:r w:rsidRPr="00846769">
        <w:rPr>
          <w:i/>
          <w:iCs/>
        </w:rPr>
        <w:t>M</w:t>
      </w:r>
      <w:r w:rsidR="009E4789" w:rsidRPr="00846769">
        <w:rPr>
          <w:i/>
          <w:iCs/>
        </w:rPr>
        <w:t>.</w:t>
      </w:r>
      <w:r w:rsidRPr="00846769">
        <w:rPr>
          <w:i/>
          <w:iCs/>
        </w:rPr>
        <w:t xml:space="preserve"> gigas </w:t>
      </w:r>
      <w:r w:rsidRPr="00846769">
        <w:t xml:space="preserve">is particularly tolerant to treatment methods, often requiring prolonged exposure or high concentration dosage to achieve the desired outcome. Other bivalves, such as </w:t>
      </w:r>
      <w:r w:rsidRPr="00846769">
        <w:rPr>
          <w:i/>
          <w:iCs/>
        </w:rPr>
        <w:t>M</w:t>
      </w:r>
      <w:r w:rsidR="004213FA" w:rsidRPr="00846769">
        <w:rPr>
          <w:i/>
          <w:iCs/>
        </w:rPr>
        <w:t>.</w:t>
      </w:r>
      <w:r w:rsidRPr="00846769">
        <w:rPr>
          <w:i/>
          <w:iCs/>
        </w:rPr>
        <w:t xml:space="preserve"> sallei</w:t>
      </w:r>
      <w:r w:rsidRPr="00846769">
        <w:t xml:space="preserve">, may be more susceptible to treatments, in part because they have a thinner shell. </w:t>
      </w:r>
    </w:p>
    <w:p w14:paraId="71A4A981" w14:textId="77777777" w:rsidR="009229F1" w:rsidRPr="00846769" w:rsidRDefault="009229F1" w:rsidP="009229F1">
      <w:bookmarkStart w:id="500" w:name="_Hlk170767290"/>
      <w:r w:rsidRPr="00846769">
        <w:rPr>
          <w:rFonts w:cstheme="minorHAnsi"/>
        </w:rPr>
        <w:t xml:space="preserve">In areas where bivalves have successfully invaded and become established, complete eradication may not be achievable. It may be more feasible to focus on control where the goals are to reduce population densities down to levels where they reduce the impact on ecological functioning of the system (‘suppression’) and to minimise the spread to other areas (‘containment’). </w:t>
      </w:r>
      <w:bookmarkEnd w:id="500"/>
      <w:r w:rsidRPr="00846769">
        <w:rPr>
          <w:rFonts w:cstheme="minorHAnsi"/>
        </w:rPr>
        <w:t xml:space="preserve">Control will require continued coordination and communication between affected parties. </w:t>
      </w:r>
      <w:r w:rsidRPr="00846769">
        <w:t>When resources allow, all habitat potentially suitable for the pest should be surveyed and treated where required. When this is not possible, habitats should be prioritised based on suitability for the bivalve species and delimitation survey results.</w:t>
      </w:r>
    </w:p>
    <w:p w14:paraId="455EAF10" w14:textId="7D415265" w:rsidR="00B92642" w:rsidRPr="00846769" w:rsidRDefault="00DB3CE9" w:rsidP="00CF5F1E">
      <w:pPr>
        <w:pStyle w:val="Heading3"/>
        <w:numPr>
          <w:ilvl w:val="1"/>
          <w:numId w:val="4"/>
        </w:numPr>
      </w:pPr>
      <w:bookmarkStart w:id="501" w:name="_Methods_for_containment,"/>
      <w:bookmarkStart w:id="502" w:name="_Toc191998672"/>
      <w:bookmarkStart w:id="503" w:name="_Hlk170824275"/>
      <w:bookmarkStart w:id="504" w:name="_Hlk87369204"/>
      <w:bookmarkEnd w:id="501"/>
      <w:r w:rsidRPr="00846769">
        <w:lastRenderedPageBreak/>
        <w:t xml:space="preserve">Methods for </w:t>
      </w:r>
      <w:r w:rsidR="00B252F3" w:rsidRPr="00846769">
        <w:t>containment</w:t>
      </w:r>
      <w:r w:rsidRPr="00846769">
        <w:t xml:space="preserve">, </w:t>
      </w:r>
      <w:r w:rsidR="0023421B" w:rsidRPr="00846769">
        <w:t>control</w:t>
      </w:r>
      <w:r w:rsidRPr="00846769">
        <w:t>, and eradication</w:t>
      </w:r>
      <w:bookmarkEnd w:id="502"/>
      <w:r w:rsidR="0023421B" w:rsidRPr="00846769">
        <w:t xml:space="preserve"> </w:t>
      </w:r>
      <w:bookmarkEnd w:id="503"/>
    </w:p>
    <w:p w14:paraId="54D1A910" w14:textId="053B9FD2" w:rsidR="004213FA" w:rsidRPr="00846769" w:rsidRDefault="009229F1" w:rsidP="00CF5F1E">
      <w:r w:rsidRPr="00846769">
        <w:t>Methods</w:t>
      </w:r>
      <w:r w:rsidR="004213FA" w:rsidRPr="00846769">
        <w:t xml:space="preserve"> and treatments</w:t>
      </w:r>
      <w:r w:rsidRPr="00846769">
        <w:t xml:space="preserve"> that have been used for containment, </w:t>
      </w:r>
      <w:r w:rsidR="004213FA" w:rsidRPr="00846769">
        <w:t>control</w:t>
      </w:r>
      <w:r w:rsidRPr="00846769">
        <w:t xml:space="preserve">, and eradication of invasive marine bivalves are listed </w:t>
      </w:r>
      <w:r w:rsidR="004213FA" w:rsidRPr="00846769">
        <w:t>in this section.</w:t>
      </w:r>
      <w:r w:rsidRPr="00846769">
        <w:t xml:space="preserve"> The methods used to treat invasive marine bivalves will vary in efficacy according to the size and location of the incursion, </w:t>
      </w:r>
      <w:r w:rsidR="004213FA" w:rsidRPr="00846769">
        <w:t xml:space="preserve">the pest’s biology, the capacity and resources of </w:t>
      </w:r>
      <w:r w:rsidR="00E9291C" w:rsidRPr="00846769">
        <w:t>response personnel</w:t>
      </w:r>
      <w:r w:rsidR="004213FA" w:rsidRPr="00846769">
        <w:t xml:space="preserve">, </w:t>
      </w:r>
      <w:r w:rsidRPr="00846769">
        <w:t>and whether the</w:t>
      </w:r>
      <w:r w:rsidR="004213FA" w:rsidRPr="00846769">
        <w:t xml:space="preserve"> population is</w:t>
      </w:r>
      <w:r w:rsidRPr="00846769">
        <w:t xml:space="preserve"> in open, closed, or semi</w:t>
      </w:r>
      <w:r w:rsidRPr="00846769">
        <w:noBreakHyphen/>
        <w:t>enclosed coastal enviro</w:t>
      </w:r>
      <w:r w:rsidRPr="005749EA">
        <w:t>nments. These methods can be used at any phase of a response for which they are determined most appropriate for containment</w:t>
      </w:r>
      <w:r w:rsidR="004213FA" w:rsidRPr="005749EA">
        <w:t xml:space="preserve">, control, or </w:t>
      </w:r>
      <w:r w:rsidRPr="005749EA">
        <w:t xml:space="preserve">eradication. </w:t>
      </w:r>
      <w:bookmarkStart w:id="505" w:name="_Hlk170745226"/>
      <w:r w:rsidRPr="005749EA">
        <w:t>More detail on the efficacy of these treatments can be found in summaries by Aquenal (2007)</w:t>
      </w:r>
      <w:r w:rsidR="00A55BAA" w:rsidRPr="005749EA">
        <w:t xml:space="preserve"> and</w:t>
      </w:r>
      <w:r w:rsidRPr="005749EA">
        <w:t xml:space="preserve"> </w:t>
      </w:r>
      <w:proofErr w:type="spellStart"/>
      <w:r w:rsidRPr="005749EA">
        <w:t>McEnnulty</w:t>
      </w:r>
      <w:proofErr w:type="spellEnd"/>
      <w:r w:rsidRPr="005749EA">
        <w:t xml:space="preserve"> et al. (2001)</w:t>
      </w:r>
      <w:bookmarkEnd w:id="505"/>
      <w:r w:rsidR="004213FA" w:rsidRPr="005749EA">
        <w:t>.</w:t>
      </w:r>
    </w:p>
    <w:p w14:paraId="200FFAC5" w14:textId="2EA8A1E7" w:rsidR="00CF5F1E" w:rsidRPr="00846769" w:rsidRDefault="00CF5F1E" w:rsidP="00CF5F1E">
      <w:r w:rsidRPr="00846769">
        <w:t xml:space="preserve">The methods used to </w:t>
      </w:r>
      <w:r w:rsidR="00B92642" w:rsidRPr="00846769">
        <w:t>contain, control, or eradicate</w:t>
      </w:r>
      <w:r w:rsidRPr="00846769">
        <w:t xml:space="preserve"> invasive marine bivalve</w:t>
      </w:r>
      <w:r w:rsidR="00B92642" w:rsidRPr="00846769">
        <w:t xml:space="preserve">s can </w:t>
      </w:r>
      <w:r w:rsidRPr="00846769">
        <w:t xml:space="preserve">be divided into three generic </w:t>
      </w:r>
      <w:r w:rsidR="001814EE">
        <w:t xml:space="preserve">treatment </w:t>
      </w:r>
      <w:r w:rsidRPr="00846769">
        <w:t>types:</w:t>
      </w:r>
    </w:p>
    <w:p w14:paraId="2014123D" w14:textId="7FDDEDA1" w:rsidR="00CF5F1E" w:rsidRPr="00846769" w:rsidRDefault="00CF5F1E" w:rsidP="00CF5F1E">
      <w:pPr>
        <w:pStyle w:val="ListBullet"/>
      </w:pPr>
      <w:hyperlink w:anchor="_Physical_treatment" w:history="1">
        <w:r w:rsidRPr="00846769">
          <w:rPr>
            <w:rStyle w:val="Hyperlink"/>
          </w:rPr>
          <w:t>physical treatment</w:t>
        </w:r>
      </w:hyperlink>
    </w:p>
    <w:p w14:paraId="3D0C6A41" w14:textId="19CA7BDE" w:rsidR="00CF5F1E" w:rsidRPr="00846769" w:rsidRDefault="00CF5F1E" w:rsidP="00CF5F1E">
      <w:pPr>
        <w:pStyle w:val="ListBullet"/>
      </w:pPr>
      <w:hyperlink w:anchor="_Chemical_treatment" w:history="1">
        <w:r w:rsidRPr="00846769">
          <w:rPr>
            <w:rStyle w:val="Hyperlink"/>
          </w:rPr>
          <w:t xml:space="preserve">chemical </w:t>
        </w:r>
        <w:r w:rsidR="00C63E13" w:rsidRPr="00846769">
          <w:rPr>
            <w:rStyle w:val="Hyperlink"/>
          </w:rPr>
          <w:t>treatment</w:t>
        </w:r>
      </w:hyperlink>
    </w:p>
    <w:p w14:paraId="20550D04" w14:textId="72F5A1AB" w:rsidR="00CF5F1E" w:rsidRPr="00846769" w:rsidRDefault="00CF5F1E" w:rsidP="00CF5F1E">
      <w:pPr>
        <w:pStyle w:val="ListBullet"/>
      </w:pPr>
      <w:hyperlink w:anchor="_Biological_and_ecological" w:history="1">
        <w:r w:rsidRPr="00846769">
          <w:rPr>
            <w:rStyle w:val="Hyperlink"/>
          </w:rPr>
          <w:t>biological and ecological control.</w:t>
        </w:r>
      </w:hyperlink>
    </w:p>
    <w:p w14:paraId="2CD107D1" w14:textId="38FF6EC8" w:rsidR="004213FA" w:rsidRPr="00846769" w:rsidRDefault="00CF5F1E" w:rsidP="00CF5F1E">
      <w:pPr>
        <w:pStyle w:val="ListBullet"/>
        <w:numPr>
          <w:ilvl w:val="0"/>
          <w:numId w:val="0"/>
        </w:numPr>
      </w:pPr>
      <w:r w:rsidRPr="00846769">
        <w:t xml:space="preserve">Methods for sampling and controlling invasive marine bivalves include physical removal (including harvesting), chemicals, biocontrol, and environmental remediation. The acceptability of control methods depends on their feasibility, effectiveness, </w:t>
      </w:r>
      <w:r w:rsidR="001814EE">
        <w:t xml:space="preserve">cost, public support, </w:t>
      </w:r>
      <w:r w:rsidRPr="00846769">
        <w:t xml:space="preserve">and off-target effects. For example, physical removal may only be appropriate for incursions that occupy relatively small areas and </w:t>
      </w:r>
      <w:r w:rsidR="001814EE">
        <w:t xml:space="preserve">are </w:t>
      </w:r>
      <w:r w:rsidRPr="00846769">
        <w:t xml:space="preserve">inappropriate for large scale control. </w:t>
      </w:r>
    </w:p>
    <w:p w14:paraId="79E11E47" w14:textId="45552E8D" w:rsidR="00CF5F1E" w:rsidRPr="00846769" w:rsidRDefault="00CF5F1E" w:rsidP="00CF5F1E">
      <w:pPr>
        <w:pStyle w:val="ListBullet"/>
        <w:numPr>
          <w:ilvl w:val="0"/>
          <w:numId w:val="0"/>
        </w:numPr>
      </w:pPr>
      <w:r w:rsidRPr="00846769">
        <w:t>The biology and ecology of invasive marine bivalves also needs to be considered when selecting appropriate control methods. The efficacy of the control method can be impacted by the ecology of the bivalve (</w:t>
      </w:r>
      <w:r w:rsidR="001814EE">
        <w:t>i.e.</w:t>
      </w:r>
      <w:r w:rsidRPr="00846769">
        <w:t xml:space="preserve"> controls for infaunal </w:t>
      </w:r>
      <w:r w:rsidR="001814EE">
        <w:t xml:space="preserve">bivalve </w:t>
      </w:r>
      <w:r w:rsidRPr="00846769">
        <w:t xml:space="preserve">species will likely be different to controls for epifaunal </w:t>
      </w:r>
      <w:r w:rsidR="001814EE">
        <w:t xml:space="preserve">bivalve </w:t>
      </w:r>
      <w:r w:rsidRPr="00846769">
        <w:t>species). Public information and engagement to key stakeholder groups must also be considered as a high priority</w:t>
      </w:r>
      <w:r w:rsidR="001814EE">
        <w:t xml:space="preserve">; </w:t>
      </w:r>
      <w:bookmarkStart w:id="506" w:name="_Hlk188626344"/>
      <w:r w:rsidR="001814EE">
        <w:t>if there is a lack in public support for a certain method, this may compromise the biosecurity response</w:t>
      </w:r>
      <w:r w:rsidRPr="00846769">
        <w:t>.</w:t>
      </w:r>
      <w:bookmarkEnd w:id="506"/>
    </w:p>
    <w:p w14:paraId="49B42025" w14:textId="272CFCBA" w:rsidR="008031FF" w:rsidRPr="00846769" w:rsidRDefault="001814EE" w:rsidP="00E04569">
      <w:bookmarkStart w:id="507" w:name="_Hlk188626408"/>
      <w:r>
        <w:t>The three broad</w:t>
      </w:r>
      <w:r w:rsidR="0023421B" w:rsidRPr="00846769">
        <w:t xml:space="preserve"> categories</w:t>
      </w:r>
      <w:r>
        <w:t xml:space="preserve"> on methods</w:t>
      </w:r>
      <w:r w:rsidR="0023421B" w:rsidRPr="00846769">
        <w:t xml:space="preserve"> to </w:t>
      </w:r>
      <w:r>
        <w:t xml:space="preserve">treat </w:t>
      </w:r>
      <w:r w:rsidR="0023421B" w:rsidRPr="00846769">
        <w:t>invasive marine bivalve populations</w:t>
      </w:r>
      <w:r>
        <w:t xml:space="preserve"> are summarised in this section</w:t>
      </w:r>
      <w:r w:rsidR="0023421B" w:rsidRPr="00846769">
        <w:t xml:space="preserve">. </w:t>
      </w:r>
      <w:bookmarkEnd w:id="507"/>
      <w:r w:rsidR="00046D24">
        <w:fldChar w:fldCharType="begin"/>
      </w:r>
      <w:r w:rsidR="00046D24">
        <w:instrText>HYPERLINK</w:instrText>
      </w:r>
      <w:r w:rsidR="00046D24">
        <w:fldChar w:fldCharType="separate"/>
      </w:r>
      <w:r w:rsidR="00046D24" w:rsidRPr="00846769">
        <w:rPr>
          <w:rStyle w:val="Hyperlink"/>
        </w:rPr>
        <w:fldChar w:fldCharType="begin"/>
      </w:r>
      <w:r w:rsidR="00046D24" w:rsidRPr="00846769">
        <w:instrText xml:space="preserve"> REF _Ref171934847 \h </w:instrText>
      </w:r>
      <w:r w:rsidR="00046D24" w:rsidRPr="00846769">
        <w:rPr>
          <w:rStyle w:val="Hyperlink"/>
        </w:rPr>
      </w:r>
      <w:r w:rsidR="00046D24" w:rsidRPr="00846769">
        <w:rPr>
          <w:rStyle w:val="Hyperlink"/>
        </w:rPr>
        <w:fldChar w:fldCharType="separate"/>
      </w:r>
      <w:r w:rsidR="00046D24" w:rsidRPr="00846769">
        <w:t>Table 5</w:t>
      </w:r>
      <w:r w:rsidR="00046D24" w:rsidRPr="00846769">
        <w:rPr>
          <w:rStyle w:val="Hyperlink"/>
        </w:rPr>
        <w:fldChar w:fldCharType="end"/>
      </w:r>
      <w:r w:rsidR="00046D24">
        <w:rPr>
          <w:rStyle w:val="Hyperlink"/>
        </w:rPr>
        <w:fldChar w:fldCharType="end"/>
      </w:r>
      <w:r w:rsidR="0023421B" w:rsidRPr="00846769">
        <w:t xml:space="preserve"> presents examples of </w:t>
      </w:r>
      <w:r w:rsidR="00A55BAA" w:rsidRPr="00846769">
        <w:t>control</w:t>
      </w:r>
      <w:r w:rsidR="0023421B" w:rsidRPr="00846769">
        <w:t xml:space="preserve"> method</w:t>
      </w:r>
      <w:r w:rsidR="009968F1" w:rsidRPr="00846769">
        <w:t>s</w:t>
      </w:r>
      <w:r w:rsidR="0023421B" w:rsidRPr="00846769">
        <w:t xml:space="preserve"> used for high-priority </w:t>
      </w:r>
      <w:r>
        <w:t xml:space="preserve">invasive marine </w:t>
      </w:r>
      <w:r w:rsidR="0023421B" w:rsidRPr="00846769">
        <w:t>bivalve species to Australia. Generally, younger life stages are likely to be more susceptible to most treatments presented below and this should be taken into consideration when assigning treatment.</w:t>
      </w:r>
      <w:bookmarkStart w:id="508" w:name="_Design_of_a"/>
      <w:bookmarkEnd w:id="504"/>
      <w:bookmarkEnd w:id="508"/>
    </w:p>
    <w:p w14:paraId="2AF4DC53" w14:textId="671B2CBD" w:rsidR="000D7E11" w:rsidRPr="00846769" w:rsidRDefault="000D7E11" w:rsidP="000D7E11">
      <w:pPr>
        <w:pStyle w:val="Heading4"/>
        <w:numPr>
          <w:ilvl w:val="2"/>
          <w:numId w:val="4"/>
        </w:numPr>
      </w:pPr>
      <w:bookmarkStart w:id="509" w:name="_Physical_treatment"/>
      <w:bookmarkEnd w:id="509"/>
      <w:r w:rsidRPr="00846769">
        <w:t>Physical treatment</w:t>
      </w:r>
    </w:p>
    <w:p w14:paraId="603893C6" w14:textId="4C632C80" w:rsidR="000D7E11" w:rsidRPr="00846769" w:rsidRDefault="000D7E11" w:rsidP="000D7E11">
      <w:r w:rsidRPr="00846769">
        <w:t xml:space="preserve">Physical treatments include a range of methods that rely on the ability to detect and either remove marine bivalves or kill them </w:t>
      </w:r>
      <w:r w:rsidRPr="00846769">
        <w:rPr>
          <w:i/>
          <w:iCs/>
        </w:rPr>
        <w:t>in situ</w:t>
      </w:r>
      <w:r w:rsidRPr="00846769">
        <w:t xml:space="preserve">. Physical treatments are generally the most socially and environmentally acceptable way of removing marine bivalves from a system. </w:t>
      </w:r>
      <w:bookmarkStart w:id="510" w:name="_Hlk188626760"/>
      <w:r w:rsidRPr="00846769">
        <w:t>Physical treatment</w:t>
      </w:r>
      <w:r w:rsidR="00A92D1C" w:rsidRPr="00846769">
        <w:t xml:space="preserve">s </w:t>
      </w:r>
      <w:r w:rsidRPr="00846769">
        <w:t>can be difficult to achieve in complex habitats often inhabited by marine bivalves, such as oyster reefs or mangrove forests, or in high-traffic areas such as wharves</w:t>
      </w:r>
      <w:r w:rsidR="00A92D1C" w:rsidRPr="00846769">
        <w:t>, making</w:t>
      </w:r>
      <w:r w:rsidRPr="00846769">
        <w:t xml:space="preserve"> operations challenging or environmentally destructive</w:t>
      </w:r>
      <w:bookmarkEnd w:id="510"/>
      <w:r w:rsidR="00A92D1C" w:rsidRPr="00846769">
        <w:t>.</w:t>
      </w:r>
      <w:r w:rsidRPr="00846769">
        <w:t xml:space="preserve"> </w:t>
      </w:r>
      <w:bookmarkStart w:id="511" w:name="_Hlk188626797"/>
      <w:r w:rsidRPr="00846769">
        <w:t>Consequently, physical treatments are mostly effective in small and accessible areas, such as on a relatively flat seabeds or on artificial structures, such as a hull surfaces in a contained marina.</w:t>
      </w:r>
      <w:bookmarkEnd w:id="511"/>
    </w:p>
    <w:p w14:paraId="296AF01F" w14:textId="53E80989" w:rsidR="000D7E11" w:rsidRPr="00846769" w:rsidRDefault="000D7E11" w:rsidP="000D7E11">
      <w:pPr>
        <w:pStyle w:val="Heading5"/>
        <w:numPr>
          <w:ilvl w:val="3"/>
          <w:numId w:val="4"/>
        </w:numPr>
      </w:pPr>
      <w:r w:rsidRPr="00846769">
        <w:lastRenderedPageBreak/>
        <w:t>Manual removal</w:t>
      </w:r>
    </w:p>
    <w:p w14:paraId="705D0C20" w14:textId="5B6F0012" w:rsidR="00057A3D" w:rsidRPr="00846769" w:rsidRDefault="000D7E11" w:rsidP="000D7E11">
      <w:bookmarkStart w:id="512" w:name="_Hlk188627610"/>
      <w:r w:rsidRPr="00846769">
        <w:t xml:space="preserve">Manual removal typically refers to collection and removal of the pest organism by hand or by using handheld implements. </w:t>
      </w:r>
      <w:bookmarkEnd w:id="512"/>
      <w:r w:rsidRPr="00846769">
        <w:t>Manual removal has been used as a rapid response and long</w:t>
      </w:r>
      <w:r w:rsidRPr="00846769">
        <w:noBreakHyphen/>
        <w:t>term control option for some introduced macroalgae, molluscs, seastars</w:t>
      </w:r>
      <w:r w:rsidR="00D61F2D" w:rsidRPr="00846769">
        <w:t>,</w:t>
      </w:r>
      <w:r w:rsidRPr="00846769">
        <w:t xml:space="preserve"> and cr</w:t>
      </w:r>
      <w:r w:rsidRPr="00DD01E4">
        <w:t>abs (</w:t>
      </w:r>
      <w:proofErr w:type="spellStart"/>
      <w:r w:rsidRPr="00DD01E4">
        <w:t>McEnnulty</w:t>
      </w:r>
      <w:proofErr w:type="spellEnd"/>
      <w:r w:rsidRPr="00DD01E4">
        <w:t xml:space="preserve"> et al. 2001). </w:t>
      </w:r>
      <w:bookmarkStart w:id="513" w:name="_Hlk158881972"/>
      <w:r w:rsidRPr="00DD01E4">
        <w:t>Hand</w:t>
      </w:r>
      <w:r w:rsidRPr="00846769">
        <w:t xml:space="preserve"> collection of </w:t>
      </w:r>
      <w:r w:rsidR="00D61F2D" w:rsidRPr="00846769">
        <w:t xml:space="preserve">invasive marine </w:t>
      </w:r>
      <w:r w:rsidRPr="00846769">
        <w:t xml:space="preserve">bivalves can be achieved </w:t>
      </w:r>
      <w:r w:rsidR="00D61F2D" w:rsidRPr="00846769">
        <w:t xml:space="preserve">underwater </w:t>
      </w:r>
      <w:r w:rsidRPr="00846769">
        <w:t xml:space="preserve">by divers, </w:t>
      </w:r>
      <w:r w:rsidR="00091FDD">
        <w:t>or</w:t>
      </w:r>
      <w:r w:rsidRPr="00846769">
        <w:t xml:space="preserve"> </w:t>
      </w:r>
      <w:r w:rsidR="00091FDD">
        <w:t xml:space="preserve">via </w:t>
      </w:r>
      <w:r w:rsidRPr="00846769">
        <w:t xml:space="preserve">removal from </w:t>
      </w:r>
      <w:r w:rsidR="00F247D7">
        <w:t>artificial</w:t>
      </w:r>
      <w:r w:rsidRPr="00846769">
        <w:t xml:space="preserve"> structures on land (</w:t>
      </w:r>
      <w:r w:rsidR="0004422F">
        <w:t>e.g.</w:t>
      </w:r>
      <w:r w:rsidRPr="00846769">
        <w:t xml:space="preserve"> vessels and aquaculture equipment)</w:t>
      </w:r>
      <w:r w:rsidR="00091FDD">
        <w:t xml:space="preserve"> and the intertidal zone (rocky shoes)</w:t>
      </w:r>
      <w:r w:rsidRPr="00846769">
        <w:t>.</w:t>
      </w:r>
      <w:bookmarkEnd w:id="513"/>
      <w:r w:rsidR="00091FDD">
        <w:t xml:space="preserve"> </w:t>
      </w:r>
      <w:r w:rsidR="00057A3D">
        <w:t xml:space="preserve">Manual removal can be particularly effective where an infestation on a vector </w:t>
      </w:r>
      <w:r w:rsidR="00091FDD">
        <w:t>(e.g.</w:t>
      </w:r>
      <w:r w:rsidR="00057A3D">
        <w:t xml:space="preserve"> a vessel</w:t>
      </w:r>
      <w:r w:rsidR="00091FDD">
        <w:t>)</w:t>
      </w:r>
      <w:r w:rsidR="00057A3D">
        <w:t xml:space="preserve"> needs to be eradicated before spawning and spread can occur. </w:t>
      </w:r>
      <w:r w:rsidR="00091FDD">
        <w:t>Manual removal has</w:t>
      </w:r>
      <w:r w:rsidR="00057A3D">
        <w:t xml:space="preserve"> been effectively used to minimise risks whe</w:t>
      </w:r>
      <w:r w:rsidR="00091FDD">
        <w:t>n</w:t>
      </w:r>
      <w:r w:rsidR="00057A3D">
        <w:t xml:space="preserve"> large mussels have arrived on vessels.</w:t>
      </w:r>
    </w:p>
    <w:p w14:paraId="67150E31" w14:textId="79F24BF1" w:rsidR="00D61F2D" w:rsidRPr="005749EA" w:rsidRDefault="00D61F2D" w:rsidP="000D7E11">
      <w:bookmarkStart w:id="514" w:name="_Hlk188627851"/>
      <w:r w:rsidRPr="0050470C">
        <w:t>The advantages of manual removal are selectivity for the target bivalve and limited damage to non</w:t>
      </w:r>
      <w:r w:rsidRPr="0050470C">
        <w:noBreakHyphen/>
        <w:t xml:space="preserve">target species. </w:t>
      </w:r>
      <w:r w:rsidR="0050470C" w:rsidRPr="00A04E26">
        <w:t>Manual removal is also useful for cleaning niches and areas that are challenging to reach with other cleaning equipmen</w:t>
      </w:r>
      <w:r w:rsidR="0050470C" w:rsidRPr="005749EA">
        <w:t xml:space="preserve">t </w:t>
      </w:r>
      <w:r w:rsidR="0050470C" w:rsidRPr="005749EA">
        <w:fldChar w:fldCharType="begin"/>
      </w:r>
      <w:r w:rsidR="0050470C" w:rsidRPr="005749EA">
        <w:instrText xml:space="preserve"> ADDIN EN.CITE &lt;EndNote&gt;&lt;Cite&gt;&lt;Author&gt;Morrisey&lt;/Author&gt;&lt;Year&gt;2015&lt;/Year&gt;&lt;RecNum&gt;5360&lt;/RecNum&gt;&lt;DisplayText&gt;(Morrisey &amp;amp; Woods 2015)&lt;/DisplayText&gt;&lt;record&gt;&lt;rec-number&gt;5360&lt;/rec-number&gt;&lt;foreign-keys&gt;&lt;key app="EN" db-id="5pw5zxs03zavz2esrer5zreaaer2f9v0wf9p" timestamp="1708477795" guid="c3cef727-5bf8-4107-b096-7e0f5f882691"&gt;5360&lt;/key&gt;&lt;/foreign-keys&gt;&lt;ref-type name="Report"&gt;27&lt;/ref-type&gt;&lt;contributors&gt;&lt;authors&gt;&lt;author&gt;Morrisey, Donald&lt;/author&gt;&lt;author&gt;Woods, Chris&lt;/author&gt;&lt;/authors&gt;&lt;tertiary-authors&gt;&lt;author&gt;Ministry for Primary Industries&lt;/author&gt;&lt;/tertiary-authors&gt;&lt;/contributors&gt;&lt;titles&gt;&lt;title&gt;In-water cleaning technologies: review of information&lt;/title&gt;&lt;secondary-title&gt;MPI Technical Paper&lt;/secondary-title&gt;&lt;/titles&gt;&lt;pages&gt;53&lt;/pages&gt;&lt;number&gt;2015/38&lt;/number&gt;&lt;dates&gt;&lt;year&gt;2015&lt;/year&gt;&lt;/dates&gt;&lt;pub-location&gt;Wellington&lt;/pub-location&gt;&lt;publisher&gt;Ministry for Primary Industries&lt;/publisher&gt;&lt;isbn&gt;2015/38&lt;/isbn&gt;&lt;urls&gt;&lt;related-urls&gt;&lt;url&gt;https://www.mpi.govt.nz/dmsdocument/10814-In-water-cleaning-technologies-Review-of-information&lt;/url&gt;&lt;/related-urls&gt;&lt;/urls&gt;&lt;/record&gt;&lt;/Cite&gt;&lt;/EndNote&gt;</w:instrText>
      </w:r>
      <w:r w:rsidR="0050470C" w:rsidRPr="005749EA">
        <w:fldChar w:fldCharType="separate"/>
      </w:r>
      <w:r w:rsidR="0050470C" w:rsidRPr="005749EA">
        <w:rPr>
          <w:noProof/>
        </w:rPr>
        <w:t>(Morrisey &amp; Woods 2015)</w:t>
      </w:r>
      <w:r w:rsidR="0050470C" w:rsidRPr="005749EA">
        <w:fldChar w:fldCharType="end"/>
      </w:r>
      <w:r w:rsidR="0050470C" w:rsidRPr="00A04E26">
        <w:t xml:space="preserve">. </w:t>
      </w:r>
      <w:r w:rsidRPr="005749EA">
        <w:t xml:space="preserve">However, </w:t>
      </w:r>
      <w:r w:rsidR="006E7B99" w:rsidRPr="005749EA">
        <w:t>manual removal</w:t>
      </w:r>
      <w:r w:rsidRPr="005749EA">
        <w:t xml:space="preserve"> requires visual detection of the pest </w:t>
      </w:r>
      <w:r w:rsidR="006E7B99" w:rsidRPr="005749EA">
        <w:t xml:space="preserve">and </w:t>
      </w:r>
      <w:r w:rsidRPr="005749EA">
        <w:t>cannot be applied effectively in turbid underwater environments where such detection is impaired. Manual removal is of greatest utility when incursions are small and spatially confined or when they are in sensitive environments (such as marine reserves or areas of high biodiversity value)</w:t>
      </w:r>
      <w:r w:rsidR="0050470C" w:rsidRPr="005749EA">
        <w:t xml:space="preserve"> (</w:t>
      </w:r>
      <w:r w:rsidR="0050470C" w:rsidRPr="00A04E26">
        <w:rPr>
          <w:noProof/>
        </w:rPr>
        <w:t>Morrisey &amp; Woods 2015)</w:t>
      </w:r>
      <w:r w:rsidRPr="005749EA">
        <w:t xml:space="preserve">. </w:t>
      </w:r>
    </w:p>
    <w:bookmarkEnd w:id="514"/>
    <w:p w14:paraId="5A72D5F6" w14:textId="5F584719" w:rsidR="00CC1D80" w:rsidRPr="005749EA" w:rsidRDefault="00CC1D80" w:rsidP="00CC1D80">
      <w:r w:rsidRPr="005749EA">
        <w:t>Manual removal by divers is most effective as a control method in small areas</w:t>
      </w:r>
      <w:r w:rsidR="00D61F2D" w:rsidRPr="005749EA">
        <w:t xml:space="preserve"> underwater</w:t>
      </w:r>
      <w:r w:rsidRPr="005749EA">
        <w:t xml:space="preserve">, such as in areas around new incursions, and shallow water depths </w:t>
      </w:r>
      <w:r w:rsidR="006E7B99" w:rsidRPr="005749EA">
        <w:t xml:space="preserve">&lt;12 metres. </w:t>
      </w:r>
      <w:r w:rsidRPr="005749EA">
        <w:rPr>
          <w:i/>
          <w:iCs/>
        </w:rPr>
        <w:t>Perna canaliculus</w:t>
      </w:r>
      <w:r w:rsidRPr="005749EA">
        <w:t xml:space="preserve"> was eradicated from a shipping channel to the outer harbour wharf in the Gulf of St Vincent, South Australia in 1996. A mature population of 12 to 24 mussels were collected during a research dive, with a subsequent dive and dredge found only one more mussel in areas expected to be colonised by a reproductive event from an established population (</w:t>
      </w:r>
      <w:proofErr w:type="spellStart"/>
      <w:r w:rsidRPr="005749EA">
        <w:t>McEnnulty</w:t>
      </w:r>
      <w:proofErr w:type="spellEnd"/>
      <w:r w:rsidRPr="005749EA">
        <w:t xml:space="preserve"> et al. 2001). The success of this eradication operation was influenced by the localised nature of the incursion</w:t>
      </w:r>
      <w:r w:rsidR="00D61F2D" w:rsidRPr="005749EA">
        <w:t>, and it should be noted that this population may have died out from natural causes</w:t>
      </w:r>
      <w:r w:rsidRPr="005749EA">
        <w:t xml:space="preserve">. </w:t>
      </w:r>
    </w:p>
    <w:p w14:paraId="62CD2DD7" w14:textId="58020D1E" w:rsidR="00CC1D80" w:rsidRPr="00846769" w:rsidRDefault="00CC1D80" w:rsidP="00CC1D80">
      <w:r w:rsidRPr="005749EA">
        <w:t xml:space="preserve">Oyster farmers in New South Wales have used hammers to smash </w:t>
      </w:r>
      <w:r w:rsidR="00D61F2D" w:rsidRPr="005749EA">
        <w:rPr>
          <w:i/>
          <w:iCs/>
        </w:rPr>
        <w:t>M.</w:t>
      </w:r>
      <w:r w:rsidRPr="005749EA">
        <w:rPr>
          <w:i/>
          <w:iCs/>
        </w:rPr>
        <w:t xml:space="preserve"> gigas</w:t>
      </w:r>
      <w:r w:rsidRPr="005749EA">
        <w:t>,</w:t>
      </w:r>
      <w:r w:rsidRPr="005749EA">
        <w:rPr>
          <w:i/>
          <w:iCs/>
        </w:rPr>
        <w:t xml:space="preserve"> </w:t>
      </w:r>
      <w:r w:rsidRPr="005749EA">
        <w:t xml:space="preserve">to control feral populations and the oyster virus </w:t>
      </w:r>
      <w:proofErr w:type="spellStart"/>
      <w:r w:rsidRPr="005749EA">
        <w:t>ostreid</w:t>
      </w:r>
      <w:proofErr w:type="spellEnd"/>
      <w:r w:rsidRPr="005749EA">
        <w:t xml:space="preserve"> herpesvirus-1 microvariant (OsHV-1 </w:t>
      </w:r>
      <w:r w:rsidRPr="005749EA">
        <w:rPr>
          <w:rFonts w:cstheme="minorHAnsi"/>
        </w:rPr>
        <w:t>µ</w:t>
      </w:r>
      <w:r w:rsidRPr="005749EA">
        <w:t xml:space="preserve">var) (Cavanagh 2014). However, manual destruction of &gt;100,000 wild </w:t>
      </w:r>
      <w:r w:rsidRPr="005749EA">
        <w:rPr>
          <w:i/>
          <w:iCs/>
        </w:rPr>
        <w:t>M</w:t>
      </w:r>
      <w:r w:rsidR="00D61F2D" w:rsidRPr="005749EA">
        <w:rPr>
          <w:i/>
          <w:iCs/>
        </w:rPr>
        <w:t>.</w:t>
      </w:r>
      <w:r w:rsidRPr="005749EA">
        <w:rPr>
          <w:i/>
          <w:iCs/>
        </w:rPr>
        <w:t xml:space="preserve"> gigas </w:t>
      </w:r>
      <w:r w:rsidRPr="005749EA">
        <w:t>using hammers in South Australia showed no evidence of successfully controlling the population or limiting its spread (Keen 2010; Sierp 2019).</w:t>
      </w:r>
      <w:r w:rsidRPr="00846769">
        <w:t xml:space="preserve"> This rudimentary method of destruction could have also unintentionally released gametes from the crushing. This method of control could be more effective on a small scale for juveniles and at a time of year when bivalves do not have viable gametes. </w:t>
      </w:r>
      <w:r w:rsidR="0050470C">
        <w:t xml:space="preserve"> </w:t>
      </w:r>
    </w:p>
    <w:p w14:paraId="20A7402A" w14:textId="54E5159D" w:rsidR="000D7E11" w:rsidRPr="00846769" w:rsidRDefault="00CC1D80" w:rsidP="000D7E11">
      <w:pPr>
        <w:pStyle w:val="Heading5"/>
        <w:numPr>
          <w:ilvl w:val="3"/>
          <w:numId w:val="4"/>
        </w:numPr>
      </w:pPr>
      <w:r w:rsidRPr="00846769">
        <w:t>Mechanical removal</w:t>
      </w:r>
    </w:p>
    <w:p w14:paraId="127EE69A" w14:textId="54D36F40" w:rsidR="00057A3D" w:rsidRDefault="00CC1D80" w:rsidP="00057A3D">
      <w:bookmarkStart w:id="515" w:name="_Hlk189208688"/>
      <w:r w:rsidRPr="00846769">
        <w:t xml:space="preserve">Mechanical removal entails use of machinery to directly remove the target species and may involve techniques such as mowing, dredging, trawling, or mopping. </w:t>
      </w:r>
      <w:bookmarkStart w:id="516" w:name="_Hlk189208752"/>
      <w:bookmarkEnd w:id="515"/>
      <w:r w:rsidR="00057A3D" w:rsidRPr="00846769">
        <w:t xml:space="preserve">Mechanical removal </w:t>
      </w:r>
      <w:r w:rsidR="00057A3D">
        <w:t>will increase the area capable of being treated</w:t>
      </w:r>
      <w:r w:rsidR="00057A3D" w:rsidRPr="00846769">
        <w:t xml:space="preserve"> compared to manual removal.</w:t>
      </w:r>
      <w:r w:rsidR="00057A3D">
        <w:t xml:space="preserve"> </w:t>
      </w:r>
      <w:bookmarkEnd w:id="516"/>
      <w:r w:rsidR="00057A3D">
        <w:t xml:space="preserve">Dredging was used to effectively eradicate </w:t>
      </w:r>
      <w:r w:rsidR="00057A3D" w:rsidRPr="42AFA89D">
        <w:rPr>
          <w:i/>
          <w:iCs/>
        </w:rPr>
        <w:t xml:space="preserve">P. perna </w:t>
      </w:r>
      <w:r w:rsidR="00057A3D">
        <w:t xml:space="preserve">from New Zealand </w:t>
      </w:r>
      <w:r w:rsidR="00057A3D" w:rsidRPr="00846769">
        <w:t xml:space="preserve">following accidental introduction </w:t>
      </w:r>
      <w:r w:rsidR="00057A3D">
        <w:t>after</w:t>
      </w:r>
      <w:r w:rsidR="00057A3D" w:rsidRPr="00846769">
        <w:t xml:space="preserve"> de-fouling of a dri</w:t>
      </w:r>
      <w:r w:rsidR="00057A3D" w:rsidRPr="005F7F32">
        <w:t>lling rig</w:t>
      </w:r>
      <w:r w:rsidR="00057A3D">
        <w:t xml:space="preserve">. Over 200 tows using a commercial scallop dredge (width 2.4 metres and 40 mm mesh size) covering approximately 94% of a </w:t>
      </w:r>
      <w:proofErr w:type="gramStart"/>
      <w:r w:rsidR="00057A3D">
        <w:t>12.6 hectare</w:t>
      </w:r>
      <w:proofErr w:type="gramEnd"/>
      <w:r w:rsidR="00057A3D">
        <w:t xml:space="preserve"> subtidal area collected 35 tonnes of material </w:t>
      </w:r>
      <w:proofErr w:type="spellStart"/>
      <w:r w:rsidR="00057A3D">
        <w:t>defouled</w:t>
      </w:r>
      <w:proofErr w:type="spellEnd"/>
      <w:r w:rsidR="00057A3D">
        <w:t xml:space="preserve"> from an oil rig to reduce the density of </w:t>
      </w:r>
      <w:r w:rsidR="00057A3D" w:rsidRPr="42AFA89D">
        <w:rPr>
          <w:i/>
          <w:iCs/>
        </w:rPr>
        <w:t xml:space="preserve">P. perna </w:t>
      </w:r>
      <w:r w:rsidR="00057A3D">
        <w:t xml:space="preserve">to below 10 individuals per </w:t>
      </w:r>
      <w:r w:rsidR="00057A3D" w:rsidRPr="005F7F32">
        <w:t>m</w:t>
      </w:r>
      <w:r w:rsidR="00057A3D" w:rsidRPr="005F7F32">
        <w:rPr>
          <w:vertAlign w:val="superscript"/>
        </w:rPr>
        <w:t>2</w:t>
      </w:r>
      <w:r w:rsidR="00057A3D">
        <w:t xml:space="preserve">, which is </w:t>
      </w:r>
      <w:r w:rsidR="00057A3D" w:rsidRPr="005749EA">
        <w:t xml:space="preserve">below the level where successful reproduction is likely (Hopkins et al. 2011). Eradication of </w:t>
      </w:r>
      <w:r w:rsidR="00057A3D" w:rsidRPr="005749EA">
        <w:rPr>
          <w:i/>
          <w:iCs/>
        </w:rPr>
        <w:t xml:space="preserve">P. perna </w:t>
      </w:r>
      <w:r w:rsidR="00057A3D" w:rsidRPr="005749EA">
        <w:t xml:space="preserve">from New Zealand was also assisted as the marine bivalve was in a sub-optimal habitat (Hopkins et al. 2011). Dredging to collect other infaunal bivalves such as </w:t>
      </w:r>
      <w:r w:rsidR="00057A3D" w:rsidRPr="005749EA">
        <w:rPr>
          <w:i/>
          <w:iCs/>
        </w:rPr>
        <w:t xml:space="preserve">A. senhousia </w:t>
      </w:r>
      <w:r w:rsidR="00057A3D" w:rsidRPr="005749EA">
        <w:t xml:space="preserve">may be possible on a small scale. </w:t>
      </w:r>
      <w:r w:rsidR="00057A3D" w:rsidRPr="005749EA">
        <w:lastRenderedPageBreak/>
        <w:t xml:space="preserve">Byssal threads of </w:t>
      </w:r>
      <w:r w:rsidR="00057A3D" w:rsidRPr="005749EA">
        <w:rPr>
          <w:i/>
          <w:iCs/>
        </w:rPr>
        <w:t xml:space="preserve">A. senhousia </w:t>
      </w:r>
      <w:r w:rsidR="00057A3D" w:rsidRPr="005749EA">
        <w:t>intertwine, creating large mats within intertidal mudflats of estuaries and sheltered ba</w:t>
      </w:r>
      <w:r w:rsidR="00A804C4">
        <w:t>ys</w:t>
      </w:r>
      <w:r w:rsidR="00057A3D" w:rsidRPr="005749EA">
        <w:t xml:space="preserve">. However, </w:t>
      </w:r>
      <w:r w:rsidR="00057A3D" w:rsidRPr="005749EA">
        <w:rPr>
          <w:i/>
          <w:iCs/>
        </w:rPr>
        <w:t xml:space="preserve">A. senhousia </w:t>
      </w:r>
      <w:r w:rsidR="00057A3D" w:rsidRPr="005749EA">
        <w:t>may also be found as a fouling organism on pylon</w:t>
      </w:r>
      <w:r w:rsidR="00A804C4">
        <w:t>s</w:t>
      </w:r>
      <w:r w:rsidR="00057A3D" w:rsidRPr="005749EA">
        <w:t xml:space="preserve"> and panels where they do not use byssal nests </w:t>
      </w:r>
      <w:r w:rsidR="00057A3D" w:rsidRPr="005749EA">
        <w:rPr>
          <w:noProof/>
        </w:rPr>
        <w:t>(Willan 1987)</w:t>
      </w:r>
      <w:r w:rsidR="00A804C4">
        <w:rPr>
          <w:noProof/>
        </w:rPr>
        <w:t>, so</w:t>
      </w:r>
      <w:r w:rsidR="00057A3D" w:rsidRPr="005749EA">
        <w:t xml:space="preserve"> </w:t>
      </w:r>
      <w:r w:rsidR="00A804C4">
        <w:t>p</w:t>
      </w:r>
      <w:r w:rsidR="00057A3D" w:rsidRPr="005749EA">
        <w:t>hysical removal by dredging may only be one component of a successful</w:t>
      </w:r>
      <w:r w:rsidR="00057A3D">
        <w:t xml:space="preserve"> eradication effort. </w:t>
      </w:r>
    </w:p>
    <w:p w14:paraId="03174380" w14:textId="3433598C" w:rsidR="00D61F2D" w:rsidRPr="00846769" w:rsidRDefault="00057A3D" w:rsidP="00CC1D80">
      <w:bookmarkStart w:id="517" w:name="_Hlk189208775"/>
      <w:r w:rsidRPr="00846769">
        <w:t>The efficacy and environmental impact of</w:t>
      </w:r>
      <w:r>
        <w:t xml:space="preserve"> mechanical</w:t>
      </w:r>
      <w:r w:rsidRPr="00846769">
        <w:t xml:space="preserve"> tools should be considered when implemented as part of a management response. Some of these practices can cause considerable bycatch or ecological damage, either through direct disturbance of the assemblages or through modification of habitat (</w:t>
      </w:r>
      <w:r w:rsidR="0004422F">
        <w:t>e.g.</w:t>
      </w:r>
      <w:r w:rsidRPr="00846769">
        <w:t xml:space="preserve"> removal of habitat</w:t>
      </w:r>
      <w:r w:rsidRPr="00846769">
        <w:noBreakHyphen/>
        <w:t xml:space="preserve">forming species, increased turbidity, release of toxic chemicals from the seabed). </w:t>
      </w:r>
    </w:p>
    <w:bookmarkEnd w:id="517"/>
    <w:p w14:paraId="62BD8287" w14:textId="7CCD53E9" w:rsidR="00CC1D80" w:rsidRPr="00846769" w:rsidRDefault="00D0203B" w:rsidP="000D7E11">
      <w:pPr>
        <w:pStyle w:val="Heading5"/>
        <w:numPr>
          <w:ilvl w:val="3"/>
          <w:numId w:val="4"/>
        </w:numPr>
      </w:pPr>
      <w:r w:rsidRPr="00846769">
        <w:t>Harvesting</w:t>
      </w:r>
    </w:p>
    <w:p w14:paraId="767C21F3" w14:textId="26BC501C" w:rsidR="00D0203B" w:rsidRPr="00846769" w:rsidRDefault="00D0203B" w:rsidP="00D0203B">
      <w:pPr>
        <w:ind w:left="-5" w:right="45"/>
      </w:pPr>
      <w:r w:rsidRPr="00846769">
        <w:t>Harvesting can reduce numbers of some invasive marine bivalves with community assistance programs, recreation</w:t>
      </w:r>
      <w:r w:rsidR="00A804C4">
        <w:t>al</w:t>
      </w:r>
      <w:r w:rsidRPr="00846769">
        <w:t xml:space="preserve"> and commercial harvest incentive schemes, and some fishing methods. Harvesting is more suitable </w:t>
      </w:r>
      <w:r w:rsidR="00160ABC" w:rsidRPr="00846769">
        <w:t>as a</w:t>
      </w:r>
      <w:r w:rsidRPr="00846769">
        <w:t xml:space="preserve"> control strateg</w:t>
      </w:r>
      <w:r w:rsidR="00160ABC" w:rsidRPr="00846769">
        <w:t>y</w:t>
      </w:r>
      <w:r w:rsidRPr="00846769">
        <w:t xml:space="preserve"> or for local depletion </w:t>
      </w:r>
      <w:r w:rsidR="00160ABC" w:rsidRPr="00846769">
        <w:t xml:space="preserve">rather </w:t>
      </w:r>
      <w:r w:rsidRPr="00846769">
        <w:t xml:space="preserve">than for eradication </w:t>
      </w:r>
      <w:r w:rsidRPr="00C80491">
        <w:fldChar w:fldCharType="begin">
          <w:fldData xml:space="preserve">PEVuZE5vdGU+PENpdGU+PEF1dGhvcj5HaWFrb3VtaTwvQXV0aG9yPjxZZWFyPjIwMTk8L1llYXI+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=
</w:fldData>
        </w:fldChar>
      </w:r>
      <w:r w:rsidRPr="00C80491">
        <w:instrText xml:space="preserve"> ADDIN EN.CITE </w:instrText>
      </w:r>
      <w:r w:rsidRPr="00C80491">
        <w:fldChar w:fldCharType="begin">
          <w:fldData xml:space="preserve">PEVuZE5vdGU+PENpdGU+PEF1dGhvcj5HaWFrb3VtaTwvQXV0aG9yPjxZZWFyPjIwMTk8L1llYXI+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=
</w:fldData>
        </w:fldChar>
      </w:r>
      <w:r w:rsidRPr="00C80491">
        <w:instrText xml:space="preserve"> ADDIN EN.CITE.DATA </w:instrText>
      </w:r>
      <w:r w:rsidRPr="00C80491">
        <w:fldChar w:fldCharType="end"/>
      </w:r>
      <w:r w:rsidRPr="00C80491">
        <w:fldChar w:fldCharType="separate"/>
      </w:r>
      <w:r w:rsidRPr="00C80491">
        <w:t xml:space="preserve">(Pasko </w:t>
      </w:r>
      <w:r w:rsidR="00160ABC" w:rsidRPr="00C80491">
        <w:t>&amp;</w:t>
      </w:r>
      <w:r w:rsidRPr="00C80491">
        <w:t xml:space="preserve"> Goldberg 2014)</w:t>
      </w:r>
      <w:r w:rsidRPr="00C80491">
        <w:fldChar w:fldCharType="end"/>
      </w:r>
      <w:r w:rsidRPr="00C80491">
        <w:t>. It can represent an opportunity to support ecosystem and natural resource management, but it can also</w:t>
      </w:r>
      <w:r w:rsidRPr="00846769">
        <w:t xml:space="preserve"> incentivise intentional spread of the marine pest. </w:t>
      </w:r>
    </w:p>
    <w:p w14:paraId="14C09548" w14:textId="4DFA951C" w:rsidR="00E90F19" w:rsidRPr="00846769" w:rsidRDefault="00E90F19" w:rsidP="00E90F19">
      <w:r w:rsidRPr="00846769">
        <w:t xml:space="preserve">To reduce populations, harvesting (targeted or commercial) may be suggested to reduce numbers of some invasive marine bivalves, particularly for species with commercial value. For instance, </w:t>
      </w:r>
      <w:r w:rsidRPr="00846769">
        <w:rPr>
          <w:rStyle w:val="Emphasis"/>
        </w:rPr>
        <w:t xml:space="preserve">Perna </w:t>
      </w:r>
      <w:r w:rsidRPr="00846769">
        <w:rPr>
          <w:rStyle w:val="Emphasis"/>
          <w:i w:val="0"/>
          <w:iCs w:val="0"/>
        </w:rPr>
        <w:t>spp</w:t>
      </w:r>
      <w:r w:rsidRPr="00846769">
        <w:rPr>
          <w:rStyle w:val="Emphasis"/>
        </w:rPr>
        <w:t>.</w:t>
      </w:r>
      <w:r w:rsidRPr="00846769">
        <w:t xml:space="preserve"> are valuable commercial species in their native range and </w:t>
      </w:r>
      <w:r w:rsidRPr="00846769">
        <w:rPr>
          <w:i/>
          <w:iCs/>
        </w:rPr>
        <w:t>M</w:t>
      </w:r>
      <w:r w:rsidR="00160ABC" w:rsidRPr="00846769">
        <w:rPr>
          <w:i/>
          <w:iCs/>
        </w:rPr>
        <w:t xml:space="preserve">. </w:t>
      </w:r>
      <w:r w:rsidRPr="00846769">
        <w:rPr>
          <w:i/>
          <w:iCs/>
        </w:rPr>
        <w:t xml:space="preserve">gigas </w:t>
      </w:r>
      <w:r w:rsidRPr="00846769">
        <w:t>dominate</w:t>
      </w:r>
      <w:r w:rsidR="00160ABC" w:rsidRPr="00846769">
        <w:t>s</w:t>
      </w:r>
      <w:r w:rsidRPr="00846769">
        <w:t xml:space="preserve"> global aquaculture production and is farmed extensively throughout Australia. Recreational and commercial harvesting can be a potential </w:t>
      </w:r>
      <w:r w:rsidR="00A804C4">
        <w:t>management</w:t>
      </w:r>
      <w:r w:rsidR="00A804C4" w:rsidRPr="00846769">
        <w:t xml:space="preserve"> </w:t>
      </w:r>
      <w:r w:rsidRPr="00846769">
        <w:t xml:space="preserve">option, but it is important to disincentivise movement of animals outside the area of infestation through education, regulation, and enforcement. It’s also important to </w:t>
      </w:r>
      <w:r w:rsidR="0050470C" w:rsidRPr="00846769">
        <w:t>consider</w:t>
      </w:r>
      <w:r w:rsidRPr="00846769">
        <w:t xml:space="preserve"> water conditions to prevent harvesting of bivalves that may impact human health</w:t>
      </w:r>
      <w:r w:rsidR="00F247D7">
        <w:t>, such as where there is a risk of paralytic shellfish poisoning</w:t>
      </w:r>
      <w:r w:rsidR="00A804C4">
        <w:t>.</w:t>
      </w:r>
    </w:p>
    <w:p w14:paraId="570B5345" w14:textId="0FECD9E3" w:rsidR="00E90F19" w:rsidRPr="00846769" w:rsidRDefault="00E90F19" w:rsidP="00E90F19">
      <w:pPr>
        <w:pStyle w:val="Heading7"/>
        <w:rPr>
          <w:b/>
          <w:bCs/>
          <w:color w:val="000000" w:themeColor="text1"/>
        </w:rPr>
      </w:pPr>
      <w:bookmarkStart w:id="518" w:name="_Toc87599106"/>
      <w:r w:rsidRPr="00846769">
        <w:rPr>
          <w:b/>
          <w:bCs/>
          <w:color w:val="000000" w:themeColor="text1"/>
        </w:rPr>
        <w:t>Recreation</w:t>
      </w:r>
      <w:r w:rsidR="00160ABC" w:rsidRPr="00846769">
        <w:rPr>
          <w:b/>
          <w:bCs/>
          <w:color w:val="000000" w:themeColor="text1"/>
        </w:rPr>
        <w:t>al</w:t>
      </w:r>
      <w:r w:rsidRPr="00846769">
        <w:rPr>
          <w:b/>
          <w:bCs/>
          <w:color w:val="000000" w:themeColor="text1"/>
        </w:rPr>
        <w:t xml:space="preserve"> and commercial harvest incentive schemes</w:t>
      </w:r>
    </w:p>
    <w:p w14:paraId="2DE0CBF5" w14:textId="6B29B5A3" w:rsidR="00E90F19" w:rsidRPr="005749EA" w:rsidRDefault="00E90F19" w:rsidP="00E90F19">
      <w:r w:rsidRPr="00846769">
        <w:t xml:space="preserve">Any consideration of recreational or commercial harvest must bear in mind that often harvesters may aim to maintain stocks rather than reduce them to non-viable levels, which may not be consistent with management aims. Additionally, transfer of valued species (juveniles or adult stock) to new areas is common and difficult to manage so this must be considered. Invasive marine bivalves that are recreationally harvested for food may become socially or culturally important which has the potential to impair eradication aims. </w:t>
      </w:r>
      <w:r w:rsidRPr="005749EA">
        <w:t>Acceptability as a food source may be high so implications for food safety may also need to be considered.</w:t>
      </w:r>
    </w:p>
    <w:p w14:paraId="57C2E424" w14:textId="39F707CD" w:rsidR="00E90F19" w:rsidRPr="005749EA" w:rsidRDefault="00E90F19" w:rsidP="00E90F19">
      <w:pPr>
        <w:ind w:right="45"/>
      </w:pPr>
      <w:r w:rsidRPr="005749EA">
        <w:t xml:space="preserve">Incentive schemes may be offered in several ways </w:t>
      </w:r>
      <w:r w:rsidRPr="005749EA">
        <w:fldChar w:fldCharType="begin"/>
      </w:r>
      <w:r w:rsidRPr="005749EA">
        <w:instrText xml:space="preserve"> ADDIN EN.CITE &lt;EndNote&gt;&lt;Cite&gt;&lt;Author&gt;Pasko&lt;/Author&gt;&lt;Year&gt;2014&lt;/Year&gt;&lt;RecNum&gt;3357&lt;/RecNum&gt;&lt;DisplayText&gt;(Pasko and Goldberg 2014)&lt;/DisplayText&gt;&lt;record&gt;&lt;rec-number&gt;3357&lt;/rec-number&gt;&lt;foreign-keys&gt;&lt;key app="EN" db-id="pwt20vt9052s2uetf93vz5062vw9es5t090s" timestamp="1582245418"&gt;3357&lt;/key&gt;&lt;key app="ENWeb" db-id=""&gt;0&lt;/key&gt;&lt;/foreign-keys&gt;&lt;ref-type name="Journal Article"&gt;17&lt;/ref-type&gt;&lt;contributors&gt;&lt;authors&gt;&lt;author&gt;Pasko, Susan&lt;/author&gt;&lt;author&gt;Goldberg, Jason&lt;/author&gt;&lt;/authors&gt;&lt;/contributors&gt;&lt;titles&gt;&lt;title&gt;Review of harvest incentives to control invasive species&lt;/title&gt;&lt;secondary-title&gt;Management of Biological Invasions&lt;/secondary-title&gt;&lt;/titles&gt;&lt;periodical&gt;&lt;full-title&gt;Management of Biological Invasions&lt;/full-title&gt;&lt;/periodical&gt;&lt;pages&gt;263-277&lt;/pages&gt;&lt;volume&gt;5&lt;/volume&gt;&lt;number&gt;3&lt;/number&gt;&lt;section&gt;263&lt;/section&gt;&lt;dates&gt;&lt;year&gt;2014&lt;/year&gt;&lt;/dates&gt;&lt;isbn&gt;19898649&lt;/isbn&gt;&lt;urls&gt;&lt;/urls&gt;&lt;electronic-resource-num&gt;10.3391/mbi.2014.5.3.10&lt;/electronic-resource-num&gt;&lt;/record&gt;&lt;/Cite&gt;&lt;/EndNote&gt;</w:instrText>
      </w:r>
      <w:r w:rsidRPr="005749EA">
        <w:fldChar w:fldCharType="separate"/>
      </w:r>
      <w:r w:rsidRPr="005749EA">
        <w:t xml:space="preserve">(Pasko </w:t>
      </w:r>
      <w:r w:rsidR="00160ABC" w:rsidRPr="005749EA">
        <w:t>&amp;</w:t>
      </w:r>
      <w:r w:rsidRPr="005749EA">
        <w:t xml:space="preserve"> Goldberg 2014)</w:t>
      </w:r>
      <w:r w:rsidRPr="005749EA">
        <w:fldChar w:fldCharType="end"/>
      </w:r>
      <w:r w:rsidRPr="005749EA">
        <w:t>:</w:t>
      </w:r>
    </w:p>
    <w:p w14:paraId="6AB725A6" w14:textId="77777777" w:rsidR="00E90F19" w:rsidRPr="005749EA" w:rsidRDefault="00E90F19" w:rsidP="00E90F19">
      <w:pPr>
        <w:pStyle w:val="ListBullet"/>
      </w:pPr>
      <w:r w:rsidRPr="005749EA">
        <w:t xml:space="preserve">contract operation (commercial): </w:t>
      </w:r>
    </w:p>
    <w:p w14:paraId="0F2C32B7" w14:textId="13DC6ED8" w:rsidR="00E90F19" w:rsidRPr="005749EA" w:rsidRDefault="00E90F19" w:rsidP="00E90F19">
      <w:pPr>
        <w:pStyle w:val="ListBullet2"/>
      </w:pPr>
      <w:r w:rsidRPr="005749EA">
        <w:t>payment to a service provider for the removal or harvest of the invasive marine bivalve</w:t>
      </w:r>
    </w:p>
    <w:p w14:paraId="2DA24F0E" w14:textId="77777777" w:rsidR="00E90F19" w:rsidRPr="005749EA" w:rsidRDefault="00E90F19" w:rsidP="00E90F19">
      <w:pPr>
        <w:pStyle w:val="ListBullet"/>
      </w:pPr>
      <w:r w:rsidRPr="005749EA">
        <w:t>commercial market (commercial):</w:t>
      </w:r>
    </w:p>
    <w:p w14:paraId="46BF84E2" w14:textId="573AA500" w:rsidR="00E90F19" w:rsidRPr="005749EA" w:rsidRDefault="00E90F19" w:rsidP="00E90F19">
      <w:pPr>
        <w:pStyle w:val="ListBullet2"/>
      </w:pPr>
      <w:r w:rsidRPr="005749EA">
        <w:t>effort undertaken, usually privately, to harvest and sell the invasive marine bivalve when a perceived market exists</w:t>
      </w:r>
    </w:p>
    <w:p w14:paraId="3C599FCE" w14:textId="77777777" w:rsidR="00E90F19" w:rsidRPr="005749EA" w:rsidRDefault="00E90F19" w:rsidP="00E90F19">
      <w:pPr>
        <w:pStyle w:val="ListBullet"/>
      </w:pPr>
      <w:r w:rsidRPr="005749EA">
        <w:t>recreational harvest (recreational):</w:t>
      </w:r>
    </w:p>
    <w:p w14:paraId="5554632C" w14:textId="54F3215B" w:rsidR="00E90F19" w:rsidRPr="005749EA" w:rsidRDefault="00E90F19" w:rsidP="00E90F19">
      <w:pPr>
        <w:pStyle w:val="ListBullet2"/>
      </w:pPr>
      <w:r w:rsidRPr="005749EA">
        <w:t>encouragement of recreational fishing of the invasive marine bivalve.</w:t>
      </w:r>
    </w:p>
    <w:p w14:paraId="3BF980D3" w14:textId="00142CF9" w:rsidR="00E90F19" w:rsidRPr="00846769" w:rsidRDefault="00E90F19" w:rsidP="00E90F19">
      <w:pPr>
        <w:pStyle w:val="ListBullet"/>
        <w:numPr>
          <w:ilvl w:val="0"/>
          <w:numId w:val="0"/>
        </w:numPr>
      </w:pPr>
      <w:r w:rsidRPr="005749EA">
        <w:lastRenderedPageBreak/>
        <w:t xml:space="preserve">Incentive schemes do not necessarily rely on the marine pest being marketable, although more attractive species require less additional incentive for capture. Many pests have existing markets, and these species may be viewed as a potential resource in their introduced range </w:t>
      </w:r>
      <w:r w:rsidRPr="005749EA">
        <w:fldChar w:fldCharType="begin">
          <w:fldData xml:space="preserve">PEVuZE5vdGU+PENpdGU+PEF1dGhvcj5BbmRyZWFraXM8L0F1dGhvcj48WWVhcj4yMDEyPC9ZZWFy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</w:fldData>
        </w:fldChar>
      </w:r>
      <w:r w:rsidRPr="005749EA">
        <w:instrText xml:space="preserve"> ADDIN EN.CITE </w:instrText>
      </w:r>
      <w:r w:rsidRPr="005749EA">
        <w:fldChar w:fldCharType="begin">
          <w:fldData xml:space="preserve">PEVuZE5vdGU+PENpdGU+PEF1dGhvcj5BbmRyZWFraXM8L0F1dGhvcj48WWVhcj4yMDEyPC9ZZWFy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</w:fldData>
        </w:fldChar>
      </w:r>
      <w:r w:rsidRPr="005749EA">
        <w:instrText xml:space="preserve"> ADDIN EN.CITE.DATA </w:instrText>
      </w:r>
      <w:r w:rsidRPr="005749EA">
        <w:fldChar w:fldCharType="end"/>
      </w:r>
      <w:r w:rsidRPr="005749EA">
        <w:fldChar w:fldCharType="separate"/>
      </w:r>
      <w:r w:rsidRPr="005749EA">
        <w:t xml:space="preserve">(Andreakis </w:t>
      </w:r>
      <w:r w:rsidR="00160ABC" w:rsidRPr="005749EA">
        <w:t>&amp;</w:t>
      </w:r>
      <w:r w:rsidRPr="005749EA">
        <w:t xml:space="preserve"> Schaffelke 2012)</w:t>
      </w:r>
      <w:r w:rsidRPr="005749EA">
        <w:fldChar w:fldCharType="end"/>
      </w:r>
      <w:r w:rsidRPr="005749EA">
        <w:t xml:space="preserve">. Where incentives are offered, the value of these may need to increase as the pest population decreases to reflect the additional effort required to capture rare individuals </w:t>
      </w:r>
      <w:r w:rsidRPr="005749EA">
        <w:fldChar w:fldCharType="begin"/>
      </w:r>
      <w:r w:rsidRPr="005749EA">
        <w:instrText xml:space="preserve"> ADDIN EN.CITE &lt;EndNote&gt;&lt;Cite&gt;&lt;Author&gt;Pasko&lt;/Author&gt;&lt;Year&gt;2014&lt;/Year&gt;&lt;RecNum&gt;3357&lt;/RecNum&gt;&lt;DisplayText&gt;(Pasko and Goldberg 2014)&lt;/DisplayText&gt;&lt;record&gt;&lt;rec-number&gt;3357&lt;/rec-number&gt;&lt;foreign-keys&gt;&lt;key app="EN" db-id="pwt20vt9052s2uetf93vz5062vw9es5t090s" timestamp="1582245418"&gt;3357&lt;/key&gt;&lt;key app="ENWeb" db-id=""&gt;0&lt;/key&gt;&lt;/foreign-keys&gt;&lt;ref-type name="Journal Article"&gt;17&lt;/ref-type&gt;&lt;contributors&gt;&lt;authors&gt;&lt;author&gt;Pasko, Susan&lt;/author&gt;&lt;author&gt;Goldberg, Jason&lt;/author&gt;&lt;/authors&gt;&lt;/contributors&gt;&lt;titles&gt;&lt;title&gt;Review of harvest incentives to control invasive species&lt;/title&gt;&lt;secondary-title&gt;Management of Biological Invasions&lt;/secondary-title&gt;&lt;/titles&gt;&lt;periodical&gt;&lt;full-title&gt;Management of Biological Invasions&lt;/full-title&gt;&lt;/periodical&gt;&lt;pages&gt;263-277&lt;/pages&gt;&lt;volume&gt;5&lt;/volume&gt;&lt;number&gt;3&lt;/number&gt;&lt;section&gt;263&lt;/section&gt;&lt;dates&gt;&lt;year&gt;2014&lt;/year&gt;&lt;/dates&gt;&lt;isbn&gt;19898649&lt;/isbn&gt;&lt;urls&gt;&lt;/urls&gt;&lt;electronic-resource-num&gt;10.3391/mbi.2014.5.3.10&lt;/electronic-resource-num&gt;&lt;/record&gt;&lt;/Cite&gt;&lt;/EndNote&gt;</w:instrText>
      </w:r>
      <w:r w:rsidRPr="005749EA">
        <w:fldChar w:fldCharType="separate"/>
      </w:r>
      <w:r w:rsidRPr="005749EA">
        <w:t xml:space="preserve">(Pasko </w:t>
      </w:r>
      <w:r w:rsidR="00160ABC" w:rsidRPr="005749EA">
        <w:t>&amp;</w:t>
      </w:r>
      <w:r w:rsidRPr="005749EA">
        <w:t xml:space="preserve"> Goldberg 2014)</w:t>
      </w:r>
      <w:r w:rsidRPr="005749EA">
        <w:fldChar w:fldCharType="end"/>
      </w:r>
      <w:r w:rsidRPr="005749EA">
        <w:t xml:space="preserve">. To determine if commercial harvest of an invasive marine bivalve is viable, data are needed on catchability, cost of fishing methods, and product value </w:t>
      </w:r>
      <w:r w:rsidRPr="005749EA">
        <w:fldChar w:fldCharType="begin"/>
      </w:r>
      <w:r w:rsidRPr="005749EA">
        <w:instrText xml:space="preserve"> ADDIN EN.CITE &lt;EndNote&gt;&lt;Cite&gt;&lt;Author&gt;St-Hilaire&lt;/Author&gt;&lt;Year&gt;2016&lt;/Year&gt;&lt;RecNum&gt;3348&lt;/RecNum&gt;&lt;DisplayText&gt;(St-Hilaire&lt;style face="italic"&gt; et al.&lt;/style&gt; 2016)&lt;/DisplayText&gt;&lt;record&gt;&lt;rec-number&gt;3348&lt;/rec-number&gt;&lt;foreign-keys&gt;&lt;key app="EN" db-id="pwt20vt9052s2uetf93vz5062vw9es5t090s" timestamp="1582240156"&gt;3348&lt;/key&gt;&lt;/foreign-keys&gt;&lt;ref-type name="Journal Article"&gt;17&lt;/ref-type&gt;&lt;contributors&gt;&lt;authors&gt;&lt;author&gt;St-Hilaire, Sophie&lt;/author&gt;&lt;author&gt;Krause, Juergen&lt;/author&gt;&lt;author&gt;Wight, Karen&lt;/author&gt;&lt;author&gt;Poirier, Luke&lt;/author&gt;&lt;author&gt;Singh, Kehar&lt;/author&gt;&lt;/authors&gt;&lt;/contributors&gt;&lt;titles&gt;&lt;title&gt;Break-even analysis for a green crab fishery in PEI, Canada&lt;/title&gt;&lt;secondary-title&gt;Management of Biological Invasions&lt;/secondary-title&gt;&lt;/titles&gt;&lt;periodical&gt;&lt;full-title&gt;Management of Biological Invasions&lt;/full-title&gt;&lt;/periodical&gt;&lt;pages&gt;297-303&lt;/pages&gt;&lt;volume&gt;7&lt;/volume&gt;&lt;dates&gt;&lt;year&gt;2016&lt;/year&gt;&lt;pub-dates&gt;&lt;date&gt;01/01&lt;/date&gt;&lt;/pub-dates&gt;&lt;/dates&gt;&lt;urls&gt;&lt;/urls&gt;&lt;electronic-resource-num&gt;10.3391/mbi.2016.7.3.09&lt;/electronic-resource-num&gt;&lt;/record&gt;&lt;/Cite&gt;&lt;/EndNote&gt;</w:instrText>
      </w:r>
      <w:r w:rsidRPr="005749EA">
        <w:fldChar w:fldCharType="separate"/>
      </w:r>
      <w:r w:rsidRPr="005749EA">
        <w:t>(St-Hilaire</w:t>
      </w:r>
      <w:r w:rsidRPr="005749EA">
        <w:rPr>
          <w:iCs/>
        </w:rPr>
        <w:t xml:space="preserve"> et al</w:t>
      </w:r>
      <w:r w:rsidRPr="005749EA">
        <w:rPr>
          <w:i/>
        </w:rPr>
        <w:t>.</w:t>
      </w:r>
      <w:r w:rsidRPr="005749EA">
        <w:t xml:space="preserve"> 2016)</w:t>
      </w:r>
      <w:r w:rsidRPr="005749EA">
        <w:fldChar w:fldCharType="end"/>
      </w:r>
      <w:r w:rsidRPr="005749EA">
        <w:t>.</w:t>
      </w:r>
      <w:r w:rsidRPr="00846769">
        <w:t xml:space="preserve">  Production of by products such as compost or fertiliser may be viable options for large quantities of product with fewer concerns about degradation.</w:t>
      </w:r>
    </w:p>
    <w:p w14:paraId="14AC95BF" w14:textId="1EAFDD20" w:rsidR="00E90F19" w:rsidRPr="00846769" w:rsidRDefault="00E90F19" w:rsidP="00E90F19">
      <w:pPr>
        <w:pStyle w:val="Heading7"/>
        <w:rPr>
          <w:b/>
          <w:bCs/>
          <w:color w:val="000000" w:themeColor="text1"/>
        </w:rPr>
      </w:pPr>
      <w:r w:rsidRPr="00846769">
        <w:rPr>
          <w:b/>
          <w:bCs/>
          <w:color w:val="000000" w:themeColor="text1"/>
        </w:rPr>
        <w:t>Community assistance programs</w:t>
      </w:r>
    </w:p>
    <w:p w14:paraId="52BE0F46" w14:textId="5CAF9ECB" w:rsidR="00E90F19" w:rsidRPr="00846769" w:rsidRDefault="0095789F" w:rsidP="00E90F19">
      <w:r w:rsidRPr="00846769">
        <w:t xml:space="preserve">Community assistance in removal of highly abundant marine pest species can increase awareness </w:t>
      </w:r>
      <w:r w:rsidR="00F247D7">
        <w:t>and</w:t>
      </w:r>
      <w:r w:rsidR="00F247D7" w:rsidRPr="00846769">
        <w:t xml:space="preserve"> </w:t>
      </w:r>
      <w:r w:rsidRPr="00846769">
        <w:t xml:space="preserve">generally reduces </w:t>
      </w:r>
      <w:r w:rsidR="00F247D7">
        <w:t xml:space="preserve">pest </w:t>
      </w:r>
      <w:r w:rsidRPr="00846769">
        <w:t xml:space="preserve">numbers in the short term. There is </w:t>
      </w:r>
      <w:r w:rsidR="00F247D7">
        <w:t>however</w:t>
      </w:r>
      <w:r w:rsidR="00F247D7" w:rsidRPr="00846769">
        <w:t xml:space="preserve"> </w:t>
      </w:r>
      <w:r w:rsidRPr="00846769">
        <w:t xml:space="preserve">the potential for </w:t>
      </w:r>
      <w:r>
        <w:t>bycatch</w:t>
      </w:r>
      <w:r w:rsidRPr="00846769">
        <w:t xml:space="preserve"> of misidentified non-target species, and sustained pressure needs to be maintained at appropriate times. </w:t>
      </w:r>
      <w:r w:rsidR="006E6346">
        <w:t xml:space="preserve">Despite this, community assistance programs have been successful during marine pest responses, such as the eradication of the northern Pacific seastar, </w:t>
      </w:r>
      <w:r w:rsidR="006E6346">
        <w:rPr>
          <w:i/>
          <w:iCs/>
        </w:rPr>
        <w:t xml:space="preserve">Asterias amurensis, </w:t>
      </w:r>
      <w:r w:rsidR="006E6346">
        <w:t>from Inverloch, Victoria, in 200</w:t>
      </w:r>
      <w:r w:rsidR="006E6346" w:rsidRPr="005749EA">
        <w:t>4-05 (Holliday 2005).</w:t>
      </w:r>
      <w:r w:rsidR="006E6346">
        <w:t xml:space="preserve"> </w:t>
      </w:r>
    </w:p>
    <w:p w14:paraId="745E168B" w14:textId="7D506273" w:rsidR="00A27855" w:rsidRPr="00846769" w:rsidRDefault="00E90F19" w:rsidP="00E90F19">
      <w:pPr>
        <w:pStyle w:val="Heading5"/>
        <w:numPr>
          <w:ilvl w:val="3"/>
          <w:numId w:val="4"/>
        </w:numPr>
      </w:pPr>
      <w:r w:rsidRPr="00846769">
        <w:t>Benthic sampling</w:t>
      </w:r>
      <w:r w:rsidR="00F96BEF" w:rsidRPr="00846769">
        <w:t xml:space="preserve"> and removal</w:t>
      </w:r>
    </w:p>
    <w:p w14:paraId="192D363C" w14:textId="3E410A43" w:rsidR="00AA69B9" w:rsidRPr="005F7F32" w:rsidRDefault="006E42A0" w:rsidP="00A27855">
      <w:r w:rsidRPr="00846769">
        <w:t>Epib</w:t>
      </w:r>
      <w:r w:rsidR="00AA69B9" w:rsidRPr="00846769">
        <w:t>enthic sled</w:t>
      </w:r>
      <w:r w:rsidRPr="00846769">
        <w:t>s</w:t>
      </w:r>
      <w:r w:rsidR="00AA69B9" w:rsidRPr="00846769">
        <w:t xml:space="preserve"> and dredge tows effectively sample</w:t>
      </w:r>
      <w:r w:rsidRPr="00846769">
        <w:t xml:space="preserve"> </w:t>
      </w:r>
      <w:r w:rsidR="00AA69B9" w:rsidRPr="00846769">
        <w:t>benthic assemblages over large areas (</w:t>
      </w:r>
      <w:r w:rsidR="00300312" w:rsidRPr="00846769">
        <w:fldChar w:fldCharType="begin"/>
      </w:r>
      <w:r w:rsidR="00300312" w:rsidRPr="00846769">
        <w:instrText xml:space="preserve"> REF _Ref172501656 \h </w:instrText>
      </w:r>
      <w:r w:rsidR="00300312" w:rsidRPr="00846769">
        <w:fldChar w:fldCharType="separate"/>
      </w:r>
      <w:r w:rsidR="00300312" w:rsidRPr="00846769">
        <w:t>Photo 3</w:t>
      </w:r>
      <w:r w:rsidR="00300312" w:rsidRPr="00846769">
        <w:fldChar w:fldCharType="end"/>
      </w:r>
      <w:r w:rsidR="00AA69B9" w:rsidRPr="00846769">
        <w:t xml:space="preserve">). </w:t>
      </w:r>
      <w:r w:rsidRPr="00846769">
        <w:t>Epib</w:t>
      </w:r>
      <w:r w:rsidR="00A27855" w:rsidRPr="00846769">
        <w:t xml:space="preserve">enthic </w:t>
      </w:r>
      <w:r w:rsidR="00AA69B9" w:rsidRPr="00846769">
        <w:t>sleds</w:t>
      </w:r>
      <w:r w:rsidR="00A27855" w:rsidRPr="00846769">
        <w:rPr>
          <w:rStyle w:val="CommentReference"/>
        </w:rPr>
        <w:t xml:space="preserve"> </w:t>
      </w:r>
      <w:r w:rsidR="00A27855" w:rsidRPr="00846769">
        <w:t xml:space="preserve">and dredges are most effective at sampling infaunal bivalves such as </w:t>
      </w:r>
      <w:r w:rsidR="00A27855" w:rsidRPr="00846769">
        <w:rPr>
          <w:i/>
          <w:iCs/>
        </w:rPr>
        <w:t xml:space="preserve">Potamocorbula amurensis </w:t>
      </w:r>
      <w:r w:rsidR="00A27855" w:rsidRPr="00846769">
        <w:t xml:space="preserve">and </w:t>
      </w:r>
      <w:r w:rsidR="00A27855" w:rsidRPr="00846769">
        <w:rPr>
          <w:i/>
          <w:iCs/>
        </w:rPr>
        <w:t>Varicorbula gibba</w:t>
      </w:r>
      <w:r w:rsidR="00A27855" w:rsidRPr="00846769">
        <w:t xml:space="preserve"> but have also been </w:t>
      </w:r>
      <w:r w:rsidR="00A27855" w:rsidRPr="005F7F32">
        <w:t xml:space="preserve">successful at sampling subtidal epifaunal bivalves present in soft-sediment habitats, such as </w:t>
      </w:r>
      <w:r w:rsidR="00A27855" w:rsidRPr="005F7F32">
        <w:rPr>
          <w:i/>
          <w:iCs/>
        </w:rPr>
        <w:t xml:space="preserve">Perna </w:t>
      </w:r>
      <w:r w:rsidR="00A27855" w:rsidRPr="005F7F32">
        <w:t>sp</w:t>
      </w:r>
      <w:r w:rsidR="00046D24" w:rsidRPr="005F7F32">
        <w:t>p</w:t>
      </w:r>
      <w:r w:rsidR="00A27855" w:rsidRPr="005F7F32">
        <w:t xml:space="preserve">. (Hopkins et al. 2011). A commercial scallop dredge (2.4 metre width) was used to sample for </w:t>
      </w:r>
      <w:r w:rsidR="00A27855" w:rsidRPr="005F7F32">
        <w:rPr>
          <w:i/>
          <w:iCs/>
        </w:rPr>
        <w:t>P</w:t>
      </w:r>
      <w:r w:rsidR="00AA69B9" w:rsidRPr="005F7F32">
        <w:rPr>
          <w:i/>
          <w:iCs/>
        </w:rPr>
        <w:t>.</w:t>
      </w:r>
      <w:r w:rsidR="00A27855" w:rsidRPr="005F7F32">
        <w:rPr>
          <w:i/>
          <w:iCs/>
        </w:rPr>
        <w:t xml:space="preserve"> perna </w:t>
      </w:r>
      <w:r w:rsidR="00A27855" w:rsidRPr="005F7F32">
        <w:t xml:space="preserve">in New Zealand following its detection (Hopkins et al. 2011). </w:t>
      </w:r>
    </w:p>
    <w:p w14:paraId="7742B541" w14:textId="0C22EEBB" w:rsidR="00A27855" w:rsidRPr="00846769" w:rsidRDefault="00AA69B9" w:rsidP="00A27855">
      <w:r w:rsidRPr="005F7F32">
        <w:t>Sled and dredge</w:t>
      </w:r>
      <w:r w:rsidR="00A27855" w:rsidRPr="005F7F32">
        <w:t xml:space="preserve"> catch efficiency can be affected by operational factors such as speed of towing, fullness of catch, depth, and substrata. It may be necessary to determine </w:t>
      </w:r>
      <w:r w:rsidR="00AD7A55">
        <w:t>sled and dredge</w:t>
      </w:r>
      <w:r w:rsidR="00A27855" w:rsidRPr="005F7F32">
        <w:t xml:space="preserve"> efficiency to help inform survey design (Hopkins et al. 2011). Benthic</w:t>
      </w:r>
      <w:r w:rsidR="00A27855" w:rsidRPr="00846769">
        <w:t xml:space="preserve"> sampling will be unsuitable for reef habitats or other complex structures </w:t>
      </w:r>
      <w:r w:rsidRPr="00846769">
        <w:t xml:space="preserve">and </w:t>
      </w:r>
      <w:r w:rsidR="00A27855" w:rsidRPr="00846769">
        <w:t>will not work on removing epifaunal bivalves attached to hard surfaces.</w:t>
      </w:r>
      <w:r w:rsidRPr="00846769">
        <w:t xml:space="preserve"> Epibenthic sleds and dredges can be used to augment other sampling regimes but are not recommended as the sole method of containment, control, or eradication. </w:t>
      </w:r>
    </w:p>
    <w:p w14:paraId="114D930F" w14:textId="641E747E" w:rsidR="00300312" w:rsidRPr="00846769" w:rsidRDefault="00300312" w:rsidP="00300312">
      <w:pPr>
        <w:pStyle w:val="Caption"/>
      </w:pPr>
      <w:bookmarkStart w:id="519" w:name="_Ref172501656"/>
      <w:bookmarkStart w:id="520" w:name="_Toc191999527"/>
      <w:r w:rsidRPr="00846769">
        <w:t xml:space="preserve">Photo </w:t>
      </w:r>
      <w:r w:rsidRPr="00846769">
        <w:fldChar w:fldCharType="begin"/>
      </w:r>
      <w:r w:rsidRPr="00846769">
        <w:instrText xml:space="preserve"> SEQ Photo \* ARABIC </w:instrText>
      </w:r>
      <w:r w:rsidRPr="00846769">
        <w:fldChar w:fldCharType="separate"/>
      </w:r>
      <w:r w:rsidRPr="00846769">
        <w:t>3</w:t>
      </w:r>
      <w:r w:rsidRPr="00846769">
        <w:fldChar w:fldCharType="end"/>
      </w:r>
      <w:bookmarkEnd w:id="519"/>
      <w:r w:rsidRPr="00846769">
        <w:t xml:space="preserve"> Epibenthic sled</w:t>
      </w:r>
      <w:r w:rsidRPr="00846769">
        <w:rPr>
          <w:b w:val="0"/>
          <w:bCs w:val="0"/>
        </w:rPr>
        <w:t xml:space="preserve"> </w:t>
      </w:r>
      <w:r w:rsidRPr="00846769">
        <w:t>and use of sled underwater</w:t>
      </w:r>
      <w:bookmarkEnd w:id="520"/>
    </w:p>
    <w:p w14:paraId="25FEE0F1" w14:textId="06D323E2" w:rsidR="00E90F19" w:rsidRPr="00846769" w:rsidRDefault="00046D24" w:rsidP="00E90F19">
      <w:pPr>
        <w:spacing w:after="0"/>
      </w:pPr>
      <w:r w:rsidRPr="00846769">
        <w:rPr>
          <w:noProof/>
        </w:rPr>
        <w:drawing>
          <wp:inline distT="0" distB="0" distL="0" distR="0" wp14:anchorId="6D145A55" wp14:editId="661F616E">
            <wp:extent cx="5719212" cy="2183498"/>
            <wp:effectExtent l="0" t="0" r="0" b="7620"/>
            <wp:docPr id="1644942042" name="Picture 3" descr="Colour photograph on the left showing a typical epibenthic sled used to collected marine organisms from the sediment surface.&#10;&#10;Coloured photograph on the right showing epibenthic sled has been deployed and is being towed along the sandy bottom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42042" name="Picture 3" descr="Colour photograph on the left showing a typical epibenthic sled used to collected marine organisms from the sediment surface.&#10;&#10;Coloured photograph on the right showing epibenthic sled has been deployed and is being towed along the sandy bottom underwater."/>
                    <pic:cNvPicPr/>
                  </pic:nvPicPr>
                  <pic:blipFill>
                    <a:blip r:embed="rId184" cstate="email">
                      <a:extLst>
                        <a:ext uri="{28A0092B-C50C-407E-A947-70E740481C1C}">
                          <a14:useLocalDpi xmlns:a14="http://schemas.microsoft.com/office/drawing/2010/main" val="0"/>
                        </a:ext>
                      </a:extLst>
                    </a:blip>
                    <a:stretch>
                      <a:fillRect/>
                    </a:stretch>
                  </pic:blipFill>
                  <pic:spPr>
                    <a:xfrm>
                      <a:off x="0" y="0"/>
                      <a:ext cx="5719212" cy="2183498"/>
                    </a:xfrm>
                    <a:prstGeom prst="rect">
                      <a:avLst/>
                    </a:prstGeom>
                  </pic:spPr>
                </pic:pic>
              </a:graphicData>
            </a:graphic>
          </wp:inline>
        </w:drawing>
      </w:r>
      <w:r w:rsidR="00E90F19" w:rsidRPr="00846769">
        <w:t xml:space="preserve"> </w:t>
      </w:r>
    </w:p>
    <w:p w14:paraId="33FD72D4" w14:textId="7E2CAB92" w:rsidR="00046D24" w:rsidRPr="00846769" w:rsidRDefault="00E90F19" w:rsidP="00046D24">
      <w:pPr>
        <w:pStyle w:val="FigureTableNoteSource"/>
      </w:pPr>
      <w:r w:rsidRPr="00846769">
        <w:t>Source: Chris Woods, NIWA</w:t>
      </w:r>
    </w:p>
    <w:p w14:paraId="707580DA" w14:textId="610C2E8E" w:rsidR="008024BC" w:rsidRPr="00846769" w:rsidRDefault="008024BC" w:rsidP="008024BC">
      <w:pPr>
        <w:pStyle w:val="Heading5"/>
        <w:numPr>
          <w:ilvl w:val="3"/>
          <w:numId w:val="4"/>
        </w:numPr>
      </w:pPr>
      <w:bookmarkStart w:id="521" w:name="_Underwater_vacuum,_suction,"/>
      <w:bookmarkEnd w:id="521"/>
      <w:r w:rsidRPr="00846769">
        <w:lastRenderedPageBreak/>
        <w:t>Underwater vacuum, suction, and filtering systems</w:t>
      </w:r>
    </w:p>
    <w:p w14:paraId="3EBBFB8B" w14:textId="750E173A" w:rsidR="008024BC" w:rsidRPr="00846769" w:rsidRDefault="008024BC" w:rsidP="008024BC">
      <w:bookmarkStart w:id="522" w:name="_Hlk189213265"/>
      <w:r w:rsidRPr="00846769">
        <w:t>Underwater vacuum systems are flexible suction hoses attached to small dredges to suck the target organism from marine sediments or from fouling surfaces. Care must be taken to properly filter the water and capture all material to prevent the spread by fragments or release of any larvae (</w:t>
      </w:r>
      <w:r w:rsidRPr="00B95B90">
        <w:t>Coutts 2002). Underwater vacuum</w:t>
      </w:r>
      <w:r w:rsidR="00F247D7">
        <w:t>ing</w:t>
      </w:r>
      <w:r w:rsidRPr="00846769">
        <w:t xml:space="preserve"> is best suited to infrastructure or sites where substrates are primarily sandy.</w:t>
      </w:r>
    </w:p>
    <w:p w14:paraId="4CADE820" w14:textId="649540CE" w:rsidR="008024BC" w:rsidRPr="00846769" w:rsidRDefault="008024BC" w:rsidP="008024BC">
      <w:bookmarkStart w:id="523" w:name="_Hlk189213666"/>
      <w:bookmarkEnd w:id="522"/>
      <w:r w:rsidRPr="00846769">
        <w:t>Use of this method is not suitable for seabeds as poor visibility can be caused by the diver’s contact with the seabed, the dragging of the vacuum pipe</w:t>
      </w:r>
      <w:r w:rsidR="00376D5E" w:rsidRPr="00846769">
        <w:t>,</w:t>
      </w:r>
      <w:r w:rsidRPr="00846769">
        <w:t xml:space="preserve"> and the reverse flushing action used to clear blockages. When used in fine, muddy sediment or where there is a large quantity of biofouling, vacuum filters are easily clogged. Due to the labour</w:t>
      </w:r>
      <w:r w:rsidRPr="00846769">
        <w:noBreakHyphen/>
        <w:t xml:space="preserve">intensive nature and thus high cost of the procedure, </w:t>
      </w:r>
      <w:bookmarkStart w:id="524" w:name="_Hlk158882030"/>
      <w:r w:rsidRPr="00846769">
        <w:t xml:space="preserve">diver assisted underwater vacuum </w:t>
      </w:r>
      <w:bookmarkEnd w:id="524"/>
      <w:r w:rsidRPr="00846769">
        <w:t xml:space="preserve">is most effective against small infestations.  </w:t>
      </w:r>
    </w:p>
    <w:bookmarkEnd w:id="523"/>
    <w:p w14:paraId="6F30D082" w14:textId="5FD0100D" w:rsidR="008024BC" w:rsidRPr="00846769" w:rsidRDefault="008024BC" w:rsidP="008024BC">
      <w:pPr>
        <w:pStyle w:val="Heading5"/>
        <w:numPr>
          <w:ilvl w:val="3"/>
          <w:numId w:val="4"/>
        </w:numPr>
      </w:pPr>
      <w:r w:rsidRPr="00846769">
        <w:t>High-pressure water blasting</w:t>
      </w:r>
    </w:p>
    <w:p w14:paraId="43203BB7" w14:textId="4CE40783" w:rsidR="008024BC" w:rsidRPr="00B25CD1" w:rsidRDefault="008024BC" w:rsidP="008024BC">
      <w:pPr>
        <w:rPr>
          <w:rFonts w:cstheme="minorHAnsi"/>
        </w:rPr>
      </w:pPr>
      <w:bookmarkStart w:id="525" w:name="_Hlk189213867"/>
      <w:r w:rsidRPr="00846769">
        <w:t xml:space="preserve">High-pressure </w:t>
      </w:r>
      <w:r w:rsidRPr="00B25CD1">
        <w:t xml:space="preserve">water blasting on land </w:t>
      </w:r>
      <w:r w:rsidRPr="00B25CD1">
        <w:rPr>
          <w:rFonts w:cstheme="minorHAnsi"/>
        </w:rPr>
        <w:t xml:space="preserve">is a </w:t>
      </w:r>
      <w:r w:rsidRPr="00B25CD1">
        <w:t>cost</w:t>
      </w:r>
      <w:r w:rsidRPr="00B25CD1">
        <w:noBreakHyphen/>
        <w:t xml:space="preserve">effective and an environmentally acceptable </w:t>
      </w:r>
      <w:r w:rsidRPr="00B25CD1">
        <w:rPr>
          <w:rFonts w:cstheme="minorHAnsi"/>
        </w:rPr>
        <w:t xml:space="preserve">method of treating biofouling on infrastructure and should remove all mobile biofouling species (Inglis et al. 2013). </w:t>
      </w:r>
      <w:bookmarkStart w:id="526" w:name="_Hlk189213919"/>
      <w:bookmarkEnd w:id="525"/>
      <w:r w:rsidRPr="00B25CD1">
        <w:rPr>
          <w:rFonts w:cstheme="minorHAnsi"/>
        </w:rPr>
        <w:t xml:space="preserve">High-pressure (&gt;2000 psi for 2 seconds at 100 mm distance) may be required to dislodge biofouling from fissures and crevices. </w:t>
      </w:r>
      <w:bookmarkEnd w:id="526"/>
      <w:r w:rsidRPr="00B25CD1">
        <w:t>Water blasting has been used to remove established populations of mussels, macrophytes</w:t>
      </w:r>
      <w:r w:rsidR="00376D5E" w:rsidRPr="00B25CD1">
        <w:t>,</w:t>
      </w:r>
      <w:r w:rsidRPr="00B25CD1">
        <w:t xml:space="preserve"> and tunicates from vessel hulls or other hard substrata, as well as from infected aquaculture equipment. High</w:t>
      </w:r>
      <w:r w:rsidRPr="00B25CD1">
        <w:noBreakHyphen/>
        <w:t xml:space="preserve">pressure water blasting can clean a wide variety of structures. </w:t>
      </w:r>
      <w:bookmarkStart w:id="527" w:name="_Hlk189214003"/>
      <w:r w:rsidRPr="00B25CD1">
        <w:rPr>
          <w:rFonts w:cstheme="minorHAnsi"/>
        </w:rPr>
        <w:t xml:space="preserve">Water blasting could promote release of gametes, so high-pressure cleaning is best combined with additional treatments such as chemical treatment, heat, or desiccation. </w:t>
      </w:r>
      <w:bookmarkEnd w:id="527"/>
    </w:p>
    <w:p w14:paraId="469FBF23" w14:textId="77777777" w:rsidR="008024BC" w:rsidRPr="00B25CD1" w:rsidRDefault="008024BC" w:rsidP="008024BC">
      <w:bookmarkStart w:id="528" w:name="_Hlk189213984"/>
      <w:r w:rsidRPr="00B25CD1">
        <w:t xml:space="preserve">High-pressure water sprays typically require treated areas to be either intertidal or removed from the water. </w:t>
      </w:r>
      <w:r w:rsidRPr="00B25CD1">
        <w:rPr>
          <w:i/>
          <w:iCs/>
        </w:rPr>
        <w:t>In situ</w:t>
      </w:r>
      <w:r w:rsidRPr="00B25CD1">
        <w:t xml:space="preserve"> cleaning by underwater blasting should not be considered for an incursion response unless all viable biological material can be collected.</w:t>
      </w:r>
    </w:p>
    <w:p w14:paraId="19DFBA3C" w14:textId="6BB26D00" w:rsidR="008024BC" w:rsidRPr="00B25CD1" w:rsidRDefault="008024BC" w:rsidP="008024BC">
      <w:pPr>
        <w:pStyle w:val="Heading5"/>
        <w:numPr>
          <w:ilvl w:val="3"/>
          <w:numId w:val="4"/>
        </w:numPr>
      </w:pPr>
      <w:bookmarkStart w:id="529" w:name="_Hlk189214083"/>
      <w:bookmarkEnd w:id="528"/>
      <w:r w:rsidRPr="00B25CD1">
        <w:t>UV light treatment</w:t>
      </w:r>
    </w:p>
    <w:p w14:paraId="04E520F0" w14:textId="66A07667" w:rsidR="008024BC" w:rsidRPr="00846769" w:rsidRDefault="008024BC" w:rsidP="008024BC">
      <w:r w:rsidRPr="00B25CD1">
        <w:t xml:space="preserve">The application of ultraviolet light (UVC; 100–280 nm) can prevent recruitment on </w:t>
      </w:r>
      <w:r w:rsidR="00160093" w:rsidRPr="00B25CD1">
        <w:t xml:space="preserve">vessel </w:t>
      </w:r>
      <w:r w:rsidRPr="00B25CD1">
        <w:t>hull coatings and reduce biofouling settlement on reverse osmosis membranes (Hunsucker et al. 2019; Rho et al. 2022). UVC is the most germicidal wavelength in the UV spectrum, and it breaks chemical bonds between DNA and RNA polymers in microorganisms (Braga et al. 2020). This treatment</w:t>
      </w:r>
      <w:r w:rsidRPr="00846769">
        <w:t xml:space="preserve"> has the potential to cover small and large areas depending on lamp size and transmission intensity. Effectiveness of treatment will be dependent on the light’s power, exposure time, frequency of treatment, distance from treatment area, and water quality for light </w:t>
      </w:r>
      <w:r w:rsidRPr="00C80491">
        <w:t xml:space="preserve">penetration (Hunsucker et al. 2019). </w:t>
      </w:r>
      <w:r w:rsidR="00160093">
        <w:t>Vessel</w:t>
      </w:r>
      <w:r w:rsidR="00160093" w:rsidRPr="00C80491">
        <w:t xml:space="preserve"> </w:t>
      </w:r>
      <w:r w:rsidRPr="00C80491">
        <w:t>hull construction material and anti-fouling coatings need to be considered as long-term exposure with UVC light has been shown to damage copper coatings (Hunsucker et al. 2019). UV</w:t>
      </w:r>
      <w:r w:rsidRPr="00846769">
        <w:t xml:space="preserve"> light treatment on invasive marine bivalves has not been specifically tested.</w:t>
      </w:r>
    </w:p>
    <w:bookmarkEnd w:id="529"/>
    <w:p w14:paraId="604B71E9" w14:textId="34EB43FE" w:rsidR="008024BC" w:rsidRPr="00846769" w:rsidRDefault="008024BC" w:rsidP="008024BC">
      <w:pPr>
        <w:pStyle w:val="Heading5"/>
        <w:numPr>
          <w:ilvl w:val="3"/>
          <w:numId w:val="4"/>
        </w:numPr>
      </w:pPr>
      <w:r w:rsidRPr="00846769">
        <w:t>Thermal treatment</w:t>
      </w:r>
    </w:p>
    <w:p w14:paraId="7EB396AC" w14:textId="184A09E9" w:rsidR="00057A3D" w:rsidRPr="00846769" w:rsidRDefault="00057A3D" w:rsidP="008024BC">
      <w:bookmarkStart w:id="530" w:name="_Hlk189214352"/>
      <w:r w:rsidRPr="00846769">
        <w:t xml:space="preserve">The efficacy of any thermal treatment is dependent on the susceptibility of the target bivalve’s life stages and the ability to maintain the required temperature to achieve mortality. The mass of fouling bivalves and exposure time will need to be considered when planning a treatment. </w:t>
      </w:r>
      <w:r w:rsidRPr="00846769">
        <w:rPr>
          <w:iCs/>
        </w:rPr>
        <w:t>Thermal treatment has</w:t>
      </w:r>
      <w:r w:rsidRPr="00846769">
        <w:t xml:space="preserve"> low selectivity, but impacts are localised and </w:t>
      </w:r>
      <w:r>
        <w:t>there are</w:t>
      </w:r>
      <w:r w:rsidRPr="00846769">
        <w:t xml:space="preserve"> no residues. It is most suitable as a management tool against biofouling, m</w:t>
      </w:r>
      <w:r w:rsidRPr="00B25CD1">
        <w:t>icroscopic life-stages, soft</w:t>
      </w:r>
      <w:r w:rsidRPr="00B25CD1">
        <w:noBreakHyphen/>
        <w:t xml:space="preserve">bodied organisms, and species with thin shells such as </w:t>
      </w:r>
      <w:proofErr w:type="spellStart"/>
      <w:r w:rsidRPr="00B25CD1">
        <w:t>dreissenid</w:t>
      </w:r>
      <w:proofErr w:type="spellEnd"/>
      <w:r w:rsidRPr="00B25CD1">
        <w:t xml:space="preserve"> mussel species </w:t>
      </w:r>
      <w:r w:rsidRPr="00B25CD1">
        <w:fldChar w:fldCharType="begin">
          <w:fldData xml:space="preserve">PEVuZE5vdGU+PENpdGU+PEF1dGhvcj5BcXVlbmFsIFB0eSBMdGQ8L0F1dGhvcj48WWVhcj4yMDA3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</w:fldData>
        </w:fldChar>
      </w:r>
      <w:r w:rsidRPr="00B25CD1">
        <w:instrText xml:space="preserve"> ADDIN EN.CITE </w:instrText>
      </w:r>
      <w:r w:rsidRPr="00B25CD1">
        <w:fldChar w:fldCharType="begin">
          <w:fldData xml:space="preserve">PEVuZE5vdGU+PENpdGU+PEF1dGhvcj5BcXVlbmFsIFB0eSBMdGQ8L0F1dGhvcj48WWVhcj4yMDA3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</w:fldData>
        </w:fldChar>
      </w:r>
      <w:r w:rsidRPr="00B25CD1">
        <w:instrText xml:space="preserve"> ADDIN EN.CITE.DATA </w:instrText>
      </w:r>
      <w:r w:rsidRPr="00B25CD1">
        <w:fldChar w:fldCharType="end"/>
      </w:r>
      <w:r w:rsidRPr="00B25CD1">
        <w:fldChar w:fldCharType="separate"/>
      </w:r>
      <w:r w:rsidRPr="00B25CD1">
        <w:t>(Cvetkovic</w:t>
      </w:r>
      <w:r w:rsidRPr="00B25CD1">
        <w:rPr>
          <w:i/>
        </w:rPr>
        <w:t xml:space="preserve"> </w:t>
      </w:r>
      <w:r w:rsidRPr="00B25CD1">
        <w:rPr>
          <w:iCs/>
        </w:rPr>
        <w:t>et al</w:t>
      </w:r>
      <w:r w:rsidRPr="00B25CD1">
        <w:rPr>
          <w:i/>
        </w:rPr>
        <w:t>.</w:t>
      </w:r>
      <w:r w:rsidRPr="00B25CD1">
        <w:t xml:space="preserve"> 2015)</w:t>
      </w:r>
      <w:r w:rsidRPr="00B25CD1">
        <w:fldChar w:fldCharType="end"/>
      </w:r>
      <w:r w:rsidRPr="00B25CD1">
        <w:t>. Complex</w:t>
      </w:r>
      <w:r w:rsidRPr="00846769">
        <w:t xml:space="preserve"> topographies, </w:t>
      </w:r>
      <w:r w:rsidRPr="00846769">
        <w:lastRenderedPageBreak/>
        <w:t xml:space="preserve">heavy </w:t>
      </w:r>
      <w:r w:rsidRPr="005F7F32">
        <w:t xml:space="preserve">fouling, or taxa with thicker shells such as corbiculid species may require higher temperatures and/or longer exposure times </w:t>
      </w:r>
      <w:r w:rsidRPr="005F7F32">
        <w:fldChar w:fldCharType="begin">
          <w:fldData xml:space="preserve">PEVuZE5vdGU+PENpdGU+PEF1dGhvcj5JbmdsaXM8L0F1dGhvcj48WWVhcj4yMDEzPC9ZZWFyPjxS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</w:fldData>
        </w:fldChar>
      </w:r>
      <w:r w:rsidRPr="005F7F32">
        <w:instrText xml:space="preserve"> ADDIN EN.CITE </w:instrText>
      </w:r>
      <w:r w:rsidRPr="005F7F32">
        <w:fldChar w:fldCharType="begin">
          <w:fldData xml:space="preserve">PEVuZE5vdGU+PENpdGU+PEF1dGhvcj5JbmdsaXM8L0F1dGhvcj48WWVhcj4yMDEzPC9ZZWFyPjxS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</w:fldData>
        </w:fldChar>
      </w:r>
      <w:r w:rsidRPr="005F7F32">
        <w:instrText xml:space="preserve"> ADDIN EN.CITE.DATA </w:instrText>
      </w:r>
      <w:r w:rsidRPr="005F7F32">
        <w:fldChar w:fldCharType="end"/>
      </w:r>
      <w:r w:rsidRPr="005F7F32">
        <w:fldChar w:fldCharType="separate"/>
      </w:r>
      <w:r w:rsidRPr="005F7F32">
        <w:t>(Inglis</w:t>
      </w:r>
      <w:r w:rsidRPr="005F7F32">
        <w:rPr>
          <w:i/>
        </w:rPr>
        <w:t xml:space="preserve"> </w:t>
      </w:r>
      <w:r w:rsidRPr="005F7F32">
        <w:rPr>
          <w:iCs/>
        </w:rPr>
        <w:t>et al</w:t>
      </w:r>
      <w:r w:rsidRPr="005F7F32">
        <w:rPr>
          <w:i/>
        </w:rPr>
        <w:t>.</w:t>
      </w:r>
      <w:r w:rsidRPr="005F7F32">
        <w:t xml:space="preserve"> 2013)</w:t>
      </w:r>
      <w:r w:rsidRPr="005F7F32">
        <w:fldChar w:fldCharType="end"/>
      </w:r>
      <w:r w:rsidRPr="005F7F32">
        <w:t>.</w:t>
      </w:r>
      <w:r w:rsidRPr="00846769">
        <w:t xml:space="preserve">  </w:t>
      </w:r>
    </w:p>
    <w:p w14:paraId="41AD083B" w14:textId="77777777" w:rsidR="008024BC" w:rsidRPr="00846769" w:rsidRDefault="008024BC" w:rsidP="008024BC">
      <w:bookmarkStart w:id="531" w:name="_Hlk189214449"/>
      <w:bookmarkEnd w:id="530"/>
      <w:r w:rsidRPr="00846769">
        <w:t>Thermal treatment may be applied as elevated temperature via:</w:t>
      </w:r>
    </w:p>
    <w:p w14:paraId="26219D9F" w14:textId="77777777" w:rsidR="008024BC" w:rsidRPr="00846769" w:rsidRDefault="008024BC" w:rsidP="008024BC">
      <w:pPr>
        <w:pStyle w:val="ListBullet"/>
      </w:pPr>
      <w:r w:rsidRPr="00846769">
        <w:t>hot water</w:t>
      </w:r>
    </w:p>
    <w:p w14:paraId="72A89C99" w14:textId="77777777" w:rsidR="008024BC" w:rsidRPr="00846769" w:rsidRDefault="008024BC" w:rsidP="008024BC">
      <w:pPr>
        <w:pStyle w:val="ListBullet"/>
      </w:pPr>
      <w:r w:rsidRPr="00846769">
        <w:t>steam</w:t>
      </w:r>
    </w:p>
    <w:p w14:paraId="498C907E" w14:textId="77777777" w:rsidR="008024BC" w:rsidRPr="00846769" w:rsidRDefault="008024BC" w:rsidP="008024BC">
      <w:pPr>
        <w:pStyle w:val="ListBullet"/>
      </w:pPr>
      <w:r w:rsidRPr="00846769">
        <w:t>created by:</w:t>
      </w:r>
    </w:p>
    <w:p w14:paraId="309015CE" w14:textId="77777777" w:rsidR="008024BC" w:rsidRPr="00846769" w:rsidRDefault="008024BC" w:rsidP="008024BC">
      <w:pPr>
        <w:pStyle w:val="ListBullet2"/>
      </w:pPr>
      <w:r w:rsidRPr="00846769">
        <w:t>electrical elements</w:t>
      </w:r>
    </w:p>
    <w:p w14:paraId="22A1461F" w14:textId="77777777" w:rsidR="008024BC" w:rsidRPr="00846769" w:rsidRDefault="008024BC" w:rsidP="008024BC">
      <w:pPr>
        <w:pStyle w:val="ListBullet2"/>
      </w:pPr>
      <w:r w:rsidRPr="00846769">
        <w:t>hydrodynamic cavitation</w:t>
      </w:r>
    </w:p>
    <w:p w14:paraId="7DDF23C5" w14:textId="6CD9ABE3" w:rsidR="009673CD" w:rsidRPr="00846769" w:rsidRDefault="008024BC" w:rsidP="00DC1954">
      <w:pPr>
        <w:pStyle w:val="ListBullet2"/>
      </w:pPr>
      <w:r w:rsidRPr="00846769">
        <w:t xml:space="preserve">heat torches. </w:t>
      </w:r>
    </w:p>
    <w:bookmarkEnd w:id="531"/>
    <w:p w14:paraId="7C4F587F" w14:textId="586BCC1A" w:rsidR="00057A3D" w:rsidRPr="00B25CD1" w:rsidRDefault="00057A3D" w:rsidP="00A04E26">
      <w:pPr>
        <w:pStyle w:val="ListBullet"/>
        <w:numPr>
          <w:ilvl w:val="0"/>
          <w:numId w:val="0"/>
        </w:numPr>
      </w:pPr>
      <w:r w:rsidRPr="00846769">
        <w:t xml:space="preserve">Generally, heat treatment is a favourable treatment option because of its efficacy and low risk to the environment and operations. Bivalves, as hard-shelled organisms, require hotter temperatures (50 to 70°C) </w:t>
      </w:r>
      <w:r w:rsidRPr="00B25CD1">
        <w:t>for effective mortality than s</w:t>
      </w:r>
      <w:r w:rsidR="00A804C4">
        <w:t>hell-less</w:t>
      </w:r>
      <w:r w:rsidRPr="00B25CD1">
        <w:t xml:space="preserve"> organisms. The use of heated water between 50 to 60°C can, however, render bivalves non-viable in under two hours (Cahill et al. 2019a; Growcott, Kluza &amp; Georgiades 2016).</w:t>
      </w:r>
    </w:p>
    <w:p w14:paraId="0B030BA8" w14:textId="136F74E0" w:rsidR="00057A3D" w:rsidRPr="00B25CD1" w:rsidRDefault="00057A3D" w:rsidP="00A04E26">
      <w:pPr>
        <w:pStyle w:val="ListBullet"/>
        <w:numPr>
          <w:ilvl w:val="0"/>
          <w:numId w:val="0"/>
        </w:numPr>
      </w:pPr>
      <w:r w:rsidRPr="00B25CD1">
        <w:t>Thermal treatment may also be applied as reduced temperature via cold or ambient water to materials and equipment in containment. Cold treatment using supercooled brine has been used to selectively kill pests, or freezing equipment applied as a method of decontamination. Exposure to supercooled brine (</w:t>
      </w:r>
      <w:r w:rsidR="003637A4" w:rsidRPr="00B25CD1">
        <w:rPr>
          <w:rFonts w:cstheme="minorHAnsi"/>
        </w:rPr>
        <w:t>‒</w:t>
      </w:r>
      <w:r w:rsidRPr="00B25CD1">
        <w:t xml:space="preserve">12 to </w:t>
      </w:r>
      <w:r w:rsidR="003637A4" w:rsidRPr="00B25CD1">
        <w:rPr>
          <w:rFonts w:cstheme="minorHAnsi"/>
        </w:rPr>
        <w:t>‒</w:t>
      </w:r>
      <w:r w:rsidRPr="00B25CD1">
        <w:t>16</w:t>
      </w:r>
      <w:r w:rsidRPr="00B25CD1">
        <w:rPr>
          <w:rFonts w:cstheme="minorHAnsi"/>
        </w:rPr>
        <w:t>°</w:t>
      </w:r>
      <w:r w:rsidRPr="00B25CD1">
        <w:t xml:space="preserve">C with 180 to 200 mg/L NaCl) for 60 seconds resulted in 100% mortality of </w:t>
      </w:r>
      <w:r w:rsidRPr="00B25CD1">
        <w:rPr>
          <w:i/>
          <w:iCs/>
        </w:rPr>
        <w:t xml:space="preserve">M. gigas </w:t>
      </w:r>
      <w:r w:rsidRPr="00B25CD1">
        <w:t xml:space="preserve">(Cox et al. 2012). </w:t>
      </w:r>
    </w:p>
    <w:p w14:paraId="0EE2E7E7" w14:textId="77777777" w:rsidR="00057A3D" w:rsidRDefault="00057A3D" w:rsidP="00A04E26">
      <w:pPr>
        <w:pStyle w:val="ListBullet"/>
        <w:numPr>
          <w:ilvl w:val="0"/>
          <w:numId w:val="0"/>
        </w:numPr>
      </w:pPr>
      <w:r w:rsidRPr="00B25CD1">
        <w:t xml:space="preserve">Thermal treatment of vessels, aquaculture stock, and equipment is an effective treatment method on a small scale. For example, thermal stress has been successfully used to control </w:t>
      </w:r>
      <w:r w:rsidRPr="00B25CD1">
        <w:rPr>
          <w:i/>
          <w:iCs/>
        </w:rPr>
        <w:t>P. viridis</w:t>
      </w:r>
      <w:r w:rsidRPr="00B25CD1">
        <w:t xml:space="preserve"> </w:t>
      </w:r>
      <w:r w:rsidRPr="00B25CD1">
        <w:rPr>
          <w:noProof/>
        </w:rPr>
        <w:t>(Rajagopal et al. 1995)</w:t>
      </w:r>
      <w:r w:rsidRPr="00B25CD1">
        <w:t xml:space="preserve">. Exposure of 2 mm of </w:t>
      </w:r>
      <w:r w:rsidRPr="00B25CD1">
        <w:rPr>
          <w:i/>
          <w:iCs/>
        </w:rPr>
        <w:t xml:space="preserve">P. viridis </w:t>
      </w:r>
      <w:r w:rsidRPr="00B25CD1">
        <w:t>shells</w:t>
      </w:r>
      <w:r w:rsidRPr="00B25CD1">
        <w:rPr>
          <w:i/>
          <w:iCs/>
        </w:rPr>
        <w:t xml:space="preserve"> </w:t>
      </w:r>
      <w:r w:rsidRPr="00B25CD1">
        <w:t>to 39°C water resulted in 50% mortality in 58 minutes and 100% in 73 minutes</w:t>
      </w:r>
      <w:r>
        <w:t>. Mortality was strongly dependent on age and size of the mussels, with young mussels being more susceptible to treatment than older ones.</w:t>
      </w:r>
    </w:p>
    <w:p w14:paraId="31E7416A" w14:textId="77777777" w:rsidR="00057A3D" w:rsidRPr="00B25CD1" w:rsidRDefault="00057A3D" w:rsidP="00A04E26">
      <w:pPr>
        <w:pStyle w:val="ListBullet"/>
        <w:numPr>
          <w:ilvl w:val="0"/>
          <w:numId w:val="0"/>
        </w:numPr>
      </w:pPr>
      <w:r>
        <w:t xml:space="preserve">Specialised equipment has been developed to contain small areas (1 to 10 </w:t>
      </w:r>
      <w:r w:rsidRPr="00846769">
        <w:t>m</w:t>
      </w:r>
      <w:r w:rsidRPr="00846769">
        <w:rPr>
          <w:vertAlign w:val="superscript"/>
        </w:rPr>
        <w:t>2</w:t>
      </w:r>
      <w:r>
        <w:t>) for hot water temperatures (</w:t>
      </w:r>
      <w:r>
        <w:rPr>
          <w:noProof/>
        </w:rPr>
        <w:t xml:space="preserve">Cahill et al. 2021; </w:t>
      </w:r>
      <w:r w:rsidRPr="00EF6094">
        <w:rPr>
          <w:noProof/>
        </w:rPr>
        <w:t>Wotton &amp; Hewitt 2004</w:t>
      </w:r>
      <w:r>
        <w:rPr>
          <w:noProof/>
        </w:rPr>
        <w:t>)</w:t>
      </w:r>
      <w:r>
        <w:t xml:space="preserve">. A wooden ‘hot-water </w:t>
      </w:r>
      <w:proofErr w:type="spellStart"/>
      <w:r>
        <w:t>box’</w:t>
      </w:r>
      <w:proofErr w:type="spellEnd"/>
      <w:r>
        <w:t xml:space="preserve"> containing heating elements supplied with electricity from a surface support vessel was placed against the target surface by divers and foam seals around the edges prevent exchange of water with the ambient environment</w:t>
      </w:r>
      <w:r w:rsidRPr="00B25CD1">
        <w:t xml:space="preserve">. </w:t>
      </w:r>
    </w:p>
    <w:p w14:paraId="0FC557B4" w14:textId="77777777" w:rsidR="00057A3D" w:rsidRPr="00B25CD1" w:rsidRDefault="00057A3D" w:rsidP="00A04E26">
      <w:pPr>
        <w:pStyle w:val="ListBullet"/>
        <w:numPr>
          <w:ilvl w:val="0"/>
          <w:numId w:val="0"/>
        </w:numPr>
      </w:pPr>
      <w:bookmarkStart w:id="532" w:name="_Hlk189214505"/>
      <w:r w:rsidRPr="00B25CD1">
        <w:t xml:space="preserve">Substrates that can be removed from the water can be immersed in hot water, or heated water can be applied to contained areas such as niche spaces and piping </w:t>
      </w:r>
      <w:r w:rsidRPr="00B25CD1">
        <w:fldChar w:fldCharType="begin"/>
      </w:r>
      <w:r w:rsidRPr="00B25CD1">
        <w:instrText xml:space="preserve"> ADDIN EN.CITE &lt;EndNote&gt;&lt;Cite&gt;&lt;Author&gt;Harrington&lt;/Author&gt;&lt;Year&gt;1997&lt;/Year&gt;&lt;RecNum&gt;3076&lt;/RecNum&gt;&lt;DisplayText&gt;(Harrington&lt;style face="italic"&gt; et al.&lt;/style&gt; 1997; Rajagopal and Jenner 2012)&lt;/DisplayText&gt;&lt;record&gt;&lt;rec-number&gt;3076&lt;/rec-number&gt;&lt;foreign-keys&gt;&lt;key app="EN" db-id="pwt20vt9052s2uetf93vz5062vw9es5t090s" timestamp="1574377374"&gt;3076&lt;/key&gt;&lt;/foreign-keys&gt;&lt;ref-type name="Journal Article"&gt;17&lt;/ref-type&gt;&lt;contributors&gt;&lt;authors&gt;&lt;author&gt;Harrington, Donald K.&lt;/author&gt;&lt;author&gt;Van Benschoten, John E.&lt;/author&gt;&lt;author&gt;Jensen, James N.&lt;/author&gt;&lt;author&gt;Lewis, Donald P.&lt;/author&gt;&lt;author&gt;Neuhauser, Edward F.&lt;/author&gt;&lt;/authors&gt;&lt;/contributors&gt;&lt;titles&gt;&lt;title&gt;Combined use of heat and oxidants for controlling adult zebra mussels&lt;/title&gt;&lt;secondary-title&gt;Water Research&lt;/secondary-title&gt;&lt;/titles&gt;&lt;periodical&gt;&lt;full-title&gt;Water Research&lt;/full-title&gt;&lt;abbr-1&gt;Water Res&lt;/abbr-1&gt;&lt;/periodical&gt;&lt;pages&gt;2783-2791&lt;/pages&gt;&lt;volume&gt;31&lt;/volume&gt;&lt;number&gt;11&lt;/number&gt;&lt;keywords&gt;&lt;keyword&gt;zebra mussels ()&lt;/keyword&gt;&lt;keyword&gt;heat&lt;/keyword&gt;&lt;keyword&gt;oxidants&lt;/keyword&gt;&lt;/keywords&gt;&lt;dates&gt;&lt;year&gt;1997&lt;/year&gt;&lt;pub-dates&gt;&lt;date&gt;1997/11/01/&lt;/date&gt;&lt;/pub-dates&gt;&lt;/dates&gt;&lt;isbn&gt;0043-1354&lt;/isbn&gt;&lt;urls&gt;&lt;related-urls&gt;&lt;url&gt;http://www.sciencedirect.com/science/article/pii/S0043135496003211&lt;/url&gt;&lt;/related-urls&gt;&lt;/urls&gt;&lt;electronic-resource-num&gt;https://doi.org/10.1016/S0043-1354(96)00321-1&lt;/electronic-resource-num&gt;&lt;/record&gt;&lt;/Cite&gt;&lt;Cite&gt;&lt;Author&gt;Rajagopal&lt;/Author&gt;&lt;Year&gt;2012&lt;/Year&gt;&lt;RecNum&gt;3073&lt;/RecNum&gt;&lt;record&gt;&lt;rec-number&gt;3073&lt;/rec-number&gt;&lt;foreign-keys&gt;&lt;key app="EN" db-id="pwt20vt9052s2uetf93vz5062vw9es5t090s" timestamp="1574317992"&gt;3073&lt;/key&gt;&lt;key app="ENWeb" db-id=""&gt;0&lt;/key&gt;&lt;/foreign-keys&gt;&lt;ref-type name="Book"&gt;6&lt;/ref-type&gt;&lt;contributors&gt;&lt;authors&gt;&lt;author&gt;Rajagopal, S.&lt;/author&gt;&lt;author&gt;Jenner, H.A.&lt;/author&gt;&lt;/authors&gt;&lt;/contributors&gt;&lt;titles&gt;&lt;title&gt;Operational and Environmental Consequences of Cooling Water Systems&lt;/title&gt;&lt;/titles&gt;&lt;section&gt;477&lt;/section&gt;&lt;dates&gt;&lt;year&gt;2012&lt;/year&gt;&lt;/dates&gt;&lt;pub-location&gt;NewYork&lt;/pub-location&gt;&lt;publisher&gt;Springer&lt;/publisher&gt;&lt;urls&gt;&lt;/urls&gt;&lt;/record&gt;&lt;/Cite&gt;&lt;/EndNote&gt;</w:instrText>
      </w:r>
      <w:r w:rsidRPr="00B25CD1">
        <w:fldChar w:fldCharType="separate"/>
      </w:r>
      <w:r w:rsidRPr="00B25CD1">
        <w:fldChar w:fldCharType="begin">
          <w:fldData xml:space="preserve">PEVuZE5vdGU+PENpdGU+PEF1dGhvcj5Gb3JyZXN0PC9BdXRob3I+PFllYXI+MjAwNjwvWWVhcj48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=
</w:fldData>
        </w:fldChar>
      </w:r>
      <w:r w:rsidRPr="00B25CD1">
        <w:instrText xml:space="preserve"> ADDIN EN.CITE </w:instrText>
      </w:r>
      <w:r w:rsidRPr="00B25CD1">
        <w:fldChar w:fldCharType="begin">
          <w:fldData xml:space="preserve">PEVuZE5vdGU+PENpdGU+PEF1dGhvcj5Gb3JyZXN0PC9BdXRob3I+PFllYXI+MjAwNjwvWWVhcj48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=
</w:fldData>
        </w:fldChar>
      </w:r>
      <w:r w:rsidRPr="00B25CD1">
        <w:instrText xml:space="preserve"> ADDIN EN.CITE.DATA </w:instrText>
      </w:r>
      <w:r w:rsidRPr="00B25CD1">
        <w:fldChar w:fldCharType="end"/>
      </w:r>
      <w:r w:rsidRPr="00B25CD1">
        <w:fldChar w:fldCharType="separate"/>
      </w:r>
      <w:r w:rsidRPr="00B25CD1">
        <w:t>(Forrest &amp; Blakemore 2006</w:t>
      </w:r>
      <w:r w:rsidRPr="00B25CD1">
        <w:fldChar w:fldCharType="end"/>
      </w:r>
      <w:r w:rsidRPr="00B25CD1">
        <w:t>)</w:t>
      </w:r>
      <w:r w:rsidRPr="00B25CD1">
        <w:fldChar w:fldCharType="end"/>
      </w:r>
      <w:r w:rsidRPr="00B25CD1">
        <w:t xml:space="preserve">. Heat produced by vessel engines or hydrodynamic cavitation can be used to treat ballast water or vessel internal niches </w:t>
      </w:r>
      <w:r w:rsidRPr="00B25CD1">
        <w:fldChar w:fldCharType="begin">
          <w:fldData xml:space="preserve">PEVuZE5vdGU+PENpdGU+PEF1dGhvcj5MZWFjaDwvQXV0aG9yPjxZZWFyPjIwMTE8L1llYXI+PFJl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</w:fldData>
        </w:fldChar>
      </w:r>
      <w:r w:rsidRPr="00B25CD1">
        <w:instrText xml:space="preserve"> ADDIN EN.CITE </w:instrText>
      </w:r>
      <w:r w:rsidRPr="00B25CD1">
        <w:fldChar w:fldCharType="begin">
          <w:fldData xml:space="preserve">PEVuZE5vdGU+PENpdGU+PEF1dGhvcj5MZWFjaDwvQXV0aG9yPjxZZWFyPjIwMTE8L1llYXI+PFJl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</w:fldData>
        </w:fldChar>
      </w:r>
      <w:r w:rsidRPr="00B25CD1">
        <w:instrText xml:space="preserve"> ADDIN EN.CITE.DATA </w:instrText>
      </w:r>
      <w:r w:rsidRPr="00B25CD1">
        <w:fldChar w:fldCharType="end"/>
      </w:r>
      <w:r w:rsidRPr="00B25CD1">
        <w:fldChar w:fldCharType="separate"/>
      </w:r>
      <w:r w:rsidRPr="00B25CD1">
        <w:t>(Leach 2011; Quilez-Badia</w:t>
      </w:r>
      <w:r w:rsidRPr="00B25CD1">
        <w:rPr>
          <w:i/>
        </w:rPr>
        <w:t xml:space="preserve"> </w:t>
      </w:r>
      <w:r w:rsidRPr="00B25CD1">
        <w:rPr>
          <w:iCs/>
        </w:rPr>
        <w:t>et al</w:t>
      </w:r>
      <w:r w:rsidRPr="00B25CD1">
        <w:rPr>
          <w:i/>
        </w:rPr>
        <w:t>.</w:t>
      </w:r>
      <w:r w:rsidRPr="00B25CD1">
        <w:t xml:space="preserve"> 2008)</w:t>
      </w:r>
      <w:r w:rsidRPr="00B25CD1">
        <w:fldChar w:fldCharType="end"/>
      </w:r>
      <w:r w:rsidRPr="00B25CD1">
        <w:t xml:space="preserve">. </w:t>
      </w:r>
    </w:p>
    <w:bookmarkEnd w:id="532"/>
    <w:p w14:paraId="20C23FDA" w14:textId="34B970CA" w:rsidR="00057A3D" w:rsidRPr="00B25CD1" w:rsidRDefault="00057A3D" w:rsidP="00A04E26">
      <w:pPr>
        <w:pStyle w:val="ListBullet"/>
        <w:numPr>
          <w:ilvl w:val="0"/>
          <w:numId w:val="0"/>
        </w:numPr>
      </w:pPr>
      <w:r w:rsidRPr="00B25CD1">
        <w:t xml:space="preserve">Underwater flame torches cause rapid (&lt;30 s) mortality in clams but substrates need to be considered as infaunal clams buried in mud required heating for up to 5 minutes </w:t>
      </w:r>
      <w:r w:rsidRPr="00B25CD1">
        <w:fldChar w:fldCharType="begin"/>
      </w:r>
      <w:r w:rsidRPr="00B25CD1">
        <w:instrText xml:space="preserve"> ADDIN EN.CITE &lt;EndNote&gt;&lt;Cite&gt;&lt;Author&gt;Coughlan&lt;/Author&gt;&lt;Year&gt;2019&lt;/Year&gt;&lt;RecNum&gt;3400&lt;/RecNum&gt;&lt;DisplayText&gt;(Coughlan 2019)&lt;/DisplayText&gt;&lt;record&gt;&lt;rec-number&gt;3400&lt;/rec-number&gt;&lt;foreign-keys&gt;&lt;key app="EN" db-id="pwt20vt9052s2uetf93vz5062vw9es5t090s" timestamp="1582608310"&gt;3400&lt;/key&gt;&lt;key app="ENWeb" db-id=""&gt;0&lt;/key&gt;&lt;/foreign-keys&gt;&lt;ref-type name="Journal Article"&gt;17&lt;/ref-type&gt;&lt;contributors&gt;&lt;authors&gt;&lt;author&gt;Coughlan, Neil&lt;/author&gt;&lt;/authors&gt;&lt;/contributors&gt;&lt;titles&gt;&lt;title&gt;Beds Are Burning: eradication and control of invasive Asian clam, Corbicula fluminea, with rapid open-flame burn treatments&lt;/title&gt;&lt;secondary-title&gt;Management of Biological Invasions&lt;/secondary-title&gt;&lt;/titles&gt;&lt;periodical&gt;&lt;full-title&gt;Management of Biological Invasions&lt;/full-title&gt;&lt;/periodical&gt;&lt;pages&gt;486-499&lt;/pages&gt;&lt;volume&gt;10&lt;/volume&gt;&lt;number&gt;3&lt;/number&gt;&lt;section&gt;486&lt;/section&gt;&lt;dates&gt;&lt;year&gt;2019&lt;/year&gt;&lt;/dates&gt;&lt;isbn&gt;19898649&lt;/isbn&gt;&lt;urls&gt;&lt;/urls&gt;&lt;electronic-resource-num&gt;10.3391/mbi.2019.10.3.06&lt;/electronic-resource-num&gt;&lt;/record&gt;&lt;/Cite&gt;&lt;/EndNote&gt;</w:instrText>
      </w:r>
      <w:r w:rsidRPr="00B25CD1">
        <w:fldChar w:fldCharType="separate"/>
      </w:r>
      <w:r w:rsidRPr="00B25CD1">
        <w:t>(Coughlan 2019)</w:t>
      </w:r>
      <w:r w:rsidRPr="00B25CD1">
        <w:fldChar w:fldCharType="end"/>
      </w:r>
      <w:r w:rsidRPr="00B25CD1">
        <w:t xml:space="preserve">. Flame torches have been used to destroy intertidal </w:t>
      </w:r>
      <w:r w:rsidRPr="00B25CD1">
        <w:rPr>
          <w:i/>
          <w:iCs/>
        </w:rPr>
        <w:t>M. gigas</w:t>
      </w:r>
      <w:r w:rsidRPr="00B25CD1">
        <w:t xml:space="preserve"> in South Australia and were deemed suitable for small-scale destruction with added benefit of killing OsHV-1 </w:t>
      </w:r>
      <w:r w:rsidRPr="00B25CD1">
        <w:rPr>
          <w:rFonts w:cstheme="minorHAnsi"/>
        </w:rPr>
        <w:t>µ</w:t>
      </w:r>
      <w:r w:rsidRPr="00B25CD1">
        <w:t>var in oyster tissues. Powerful flame torches may</w:t>
      </w:r>
      <w:r w:rsidR="00F247D7">
        <w:t>, however,</w:t>
      </w:r>
      <w:r w:rsidRPr="00B25CD1">
        <w:t xml:space="preserve"> be deemed unsafe and risk damage to infrastructure and handlers. </w:t>
      </w:r>
    </w:p>
    <w:p w14:paraId="6B32C88D" w14:textId="7295D382" w:rsidR="007D0633" w:rsidRPr="00B25CD1" w:rsidRDefault="007D0633" w:rsidP="00DC1954">
      <w:pPr>
        <w:pStyle w:val="Heading5"/>
        <w:numPr>
          <w:ilvl w:val="3"/>
          <w:numId w:val="4"/>
        </w:numPr>
      </w:pPr>
      <w:bookmarkStart w:id="533" w:name="_Desiccation_and_water"/>
      <w:bookmarkEnd w:id="533"/>
      <w:r w:rsidRPr="00B25CD1">
        <w:lastRenderedPageBreak/>
        <w:t>Desiccation and water level manipulation</w:t>
      </w:r>
    </w:p>
    <w:p w14:paraId="4BF7C3EB" w14:textId="6EE6D872" w:rsidR="00723E98" w:rsidRPr="00B25CD1" w:rsidRDefault="00057A3D" w:rsidP="00723E98">
      <w:bookmarkStart w:id="534" w:name="_Hlk188626981"/>
      <w:r w:rsidRPr="00B25CD1">
        <w:t xml:space="preserve">Desiccation involves the removal of bivalves from the water and exposing them to air to induce drying. </w:t>
      </w:r>
      <w:bookmarkEnd w:id="534"/>
      <w:r w:rsidR="0001187D" w:rsidRPr="00B25CD1">
        <w:rPr>
          <w:rFonts w:cstheme="minorHAnsi"/>
        </w:rPr>
        <w:t>Sunlight in combination with desiccation is extremely effective as a general disinfectant</w:t>
      </w:r>
      <w:r w:rsidR="00723E98" w:rsidRPr="00B25CD1">
        <w:rPr>
          <w:rFonts w:cstheme="minorHAnsi"/>
        </w:rPr>
        <w:t>, however</w:t>
      </w:r>
      <w:r w:rsidR="0001187D" w:rsidRPr="00B25CD1">
        <w:rPr>
          <w:rFonts w:cstheme="minorHAnsi"/>
        </w:rPr>
        <w:t xml:space="preserve"> </w:t>
      </w:r>
      <w:r w:rsidR="00723E98" w:rsidRPr="00B25CD1">
        <w:t>d</w:t>
      </w:r>
      <w:r w:rsidRPr="00B25CD1">
        <w:t xml:space="preserve">esiccation is unlikely to be an effective treatment method for bivalves overall. </w:t>
      </w:r>
      <w:r w:rsidR="00723E98" w:rsidRPr="00B25CD1">
        <w:t xml:space="preserve">Consideration needs to be given to the life habit of the target bivalve </w:t>
      </w:r>
      <w:r w:rsidR="005D49B0" w:rsidRPr="00B25CD1">
        <w:t xml:space="preserve">(e.g. intertidal or subtidal) </w:t>
      </w:r>
      <w:r w:rsidR="00723E98" w:rsidRPr="00B25CD1">
        <w:t xml:space="preserve">when considering desiccation as a treatment method. Desiccation is only practical where removal of fouled surfaces from the water for an extended period is possible. </w:t>
      </w:r>
    </w:p>
    <w:p w14:paraId="2FCF24A8" w14:textId="3A81F30A" w:rsidR="00057A3D" w:rsidRPr="00723E98" w:rsidRDefault="00057A3D" w:rsidP="00057A3D">
      <w:r w:rsidRPr="00B25CD1">
        <w:t>Marine bivalves typically have a high tolerance for air exposure</w:t>
      </w:r>
      <w:r w:rsidR="00723E98" w:rsidRPr="00B25CD1">
        <w:t xml:space="preserve"> and desiccation</w:t>
      </w:r>
      <w:r w:rsidRPr="00B25CD1">
        <w:t xml:space="preserve">, particularly intertidal species and thicker-shelled bivalves such as </w:t>
      </w:r>
      <w:r w:rsidRPr="00B25CD1">
        <w:rPr>
          <w:i/>
          <w:iCs/>
        </w:rPr>
        <w:t>M. gigas</w:t>
      </w:r>
      <w:r w:rsidR="00723E98" w:rsidRPr="00B25CD1">
        <w:t xml:space="preserve"> and </w:t>
      </w:r>
      <w:r w:rsidR="00723E98" w:rsidRPr="00B25CD1">
        <w:rPr>
          <w:i/>
          <w:iCs/>
        </w:rPr>
        <w:t xml:space="preserve">Perna </w:t>
      </w:r>
      <w:r w:rsidR="00723E98" w:rsidRPr="00B25CD1">
        <w:t xml:space="preserve">spp. (Hopkins et al. 2015). However, some bivalves with thinner shells such as </w:t>
      </w:r>
      <w:r w:rsidR="00723E98" w:rsidRPr="00B25CD1">
        <w:rPr>
          <w:i/>
          <w:iCs/>
        </w:rPr>
        <w:t xml:space="preserve">M. sallei </w:t>
      </w:r>
      <w:r w:rsidR="00723E98" w:rsidRPr="00B25CD1">
        <w:t xml:space="preserve">and </w:t>
      </w:r>
      <w:r w:rsidR="00723E98" w:rsidRPr="00B25CD1">
        <w:rPr>
          <w:i/>
          <w:iCs/>
        </w:rPr>
        <w:t xml:space="preserve">A. senhousia </w:t>
      </w:r>
      <w:r w:rsidR="00723E98" w:rsidRPr="00B25CD1">
        <w:t>may be more susceptible to desiccation.</w:t>
      </w:r>
      <w:r w:rsidRPr="00B25CD1">
        <w:t xml:space="preserve"> </w:t>
      </w:r>
      <w:r w:rsidRPr="00B25CD1">
        <w:rPr>
          <w:rFonts w:cstheme="minorHAnsi"/>
        </w:rPr>
        <w:t xml:space="preserve">The recommended length of time required for equipment to be fully dried to ensure all biofouling is killed will be around 21 days </w:t>
      </w:r>
      <w:r w:rsidRPr="00B25CD1">
        <w:rPr>
          <w:rFonts w:cstheme="minorHAnsi"/>
          <w:noProof/>
        </w:rPr>
        <w:t>(Hilliard et al. 2006)</w:t>
      </w:r>
      <w:r w:rsidRPr="00B25CD1">
        <w:rPr>
          <w:rFonts w:cstheme="minorHAnsi"/>
        </w:rPr>
        <w:t xml:space="preserve">. In bivalves, </w:t>
      </w:r>
      <w:r w:rsidR="00F247D7">
        <w:rPr>
          <w:rFonts w:cstheme="minorHAnsi"/>
        </w:rPr>
        <w:t>the required</w:t>
      </w:r>
      <w:r w:rsidR="00F247D7" w:rsidRPr="00B25CD1">
        <w:rPr>
          <w:rFonts w:cstheme="minorHAnsi"/>
        </w:rPr>
        <w:t xml:space="preserve"> </w:t>
      </w:r>
      <w:r w:rsidRPr="00B25CD1">
        <w:rPr>
          <w:rFonts w:cstheme="minorHAnsi"/>
        </w:rPr>
        <w:t xml:space="preserve">length of treatment can vary. For example, adult </w:t>
      </w:r>
      <w:r w:rsidRPr="00B25CD1">
        <w:rPr>
          <w:rFonts w:cstheme="minorHAnsi"/>
          <w:i/>
          <w:iCs/>
        </w:rPr>
        <w:t xml:space="preserve">M. gigas </w:t>
      </w:r>
      <w:r w:rsidRPr="00B25CD1">
        <w:rPr>
          <w:rFonts w:cstheme="minorHAnsi"/>
        </w:rPr>
        <w:t xml:space="preserve">require between 16 to 34 days to achieve 100% mortality from desiccation. The air temperature and amount of relative humidity will </w:t>
      </w:r>
      <w:r w:rsidR="00723E98" w:rsidRPr="00B25CD1">
        <w:rPr>
          <w:rFonts w:cstheme="minorHAnsi"/>
        </w:rPr>
        <w:t xml:space="preserve">also </w:t>
      </w:r>
      <w:r w:rsidRPr="00B25CD1">
        <w:rPr>
          <w:rFonts w:cstheme="minorHAnsi"/>
        </w:rPr>
        <w:t xml:space="preserve">affect treatment length. </w:t>
      </w:r>
      <w:r w:rsidRPr="00B25CD1">
        <w:rPr>
          <w:rFonts w:cstheme="minorHAnsi"/>
          <w:i/>
          <w:iCs/>
        </w:rPr>
        <w:t>P</w:t>
      </w:r>
      <w:r w:rsidR="00723E98" w:rsidRPr="00B25CD1">
        <w:rPr>
          <w:rFonts w:cstheme="minorHAnsi"/>
          <w:i/>
          <w:iCs/>
        </w:rPr>
        <w:t xml:space="preserve">erna </w:t>
      </w:r>
      <w:proofErr w:type="spellStart"/>
      <w:r w:rsidRPr="00B25CD1">
        <w:rPr>
          <w:rFonts w:cstheme="minorHAnsi"/>
          <w:i/>
          <w:iCs/>
        </w:rPr>
        <w:t>perna</w:t>
      </w:r>
      <w:proofErr w:type="spellEnd"/>
      <w:r w:rsidRPr="00B25CD1">
        <w:rPr>
          <w:rFonts w:cstheme="minorHAnsi"/>
          <w:i/>
          <w:iCs/>
        </w:rPr>
        <w:t xml:space="preserve"> </w:t>
      </w:r>
      <w:r w:rsidRPr="00B25CD1">
        <w:rPr>
          <w:rFonts w:cstheme="minorHAnsi"/>
        </w:rPr>
        <w:t>tolerated air exposure for around 18 days at 15°C and high relative humidity, whereas at 25°C and low relative humidity the mussels survived air exposure for around 1 day (Hicks &amp; McMahon 2003).</w:t>
      </w:r>
      <w:r w:rsidRPr="00846769">
        <w:rPr>
          <w:rFonts w:cstheme="minorHAnsi"/>
        </w:rPr>
        <w:t xml:space="preserve">  </w:t>
      </w:r>
    </w:p>
    <w:p w14:paraId="651EDBB8" w14:textId="69D0B3ED" w:rsidR="00057A3D" w:rsidRPr="00846769" w:rsidRDefault="00057A3D" w:rsidP="00057A3D">
      <w:bookmarkStart w:id="535" w:name="_Hlk189216522"/>
      <w:r w:rsidRPr="00846769">
        <w:t xml:space="preserve">Lowering water levels in a water body can cause mortality of submerged organisms through desiccation. </w:t>
      </w:r>
      <w:r w:rsidR="00723E98">
        <w:t>Water level manipulation</w:t>
      </w:r>
      <w:r w:rsidR="00C82788" w:rsidRPr="00846769">
        <w:t xml:space="preserve"> </w:t>
      </w:r>
      <w:r w:rsidR="001A2C5E">
        <w:t xml:space="preserve">may not be a suitable treatment method for invasive marine bivalves due to general bivalve tolerance to desiccation. </w:t>
      </w:r>
      <w:r w:rsidR="00482E14">
        <w:t>The</w:t>
      </w:r>
      <w:r w:rsidR="001A2C5E">
        <w:t xml:space="preserve"> </w:t>
      </w:r>
      <w:r w:rsidRPr="00846769">
        <w:t>practicalities associated with manipulating</w:t>
      </w:r>
      <w:r>
        <w:t xml:space="preserve"> water bodies</w:t>
      </w:r>
      <w:r w:rsidRPr="00846769">
        <w:t xml:space="preserve"> or removing infested structures from the water will need to be considered. Application of these techniques may be restricted to structures that can be removed from the water, or to contained areas where draining of water (drawdown) is feasible. </w:t>
      </w:r>
    </w:p>
    <w:p w14:paraId="5D18CC02" w14:textId="47620D88" w:rsidR="00DC1954" w:rsidRPr="00846769" w:rsidRDefault="007D0633" w:rsidP="007D0633">
      <w:pPr>
        <w:pStyle w:val="Heading5"/>
        <w:numPr>
          <w:ilvl w:val="3"/>
          <w:numId w:val="4"/>
        </w:numPr>
      </w:pPr>
      <w:bookmarkStart w:id="536" w:name="_Wrapping_and_encapsulation"/>
      <w:bookmarkEnd w:id="535"/>
      <w:bookmarkEnd w:id="536"/>
      <w:r w:rsidRPr="00846769">
        <w:t>Wrapping and encapsulation</w:t>
      </w:r>
    </w:p>
    <w:p w14:paraId="063A752C" w14:textId="6F2DBDB3" w:rsidR="007D0633" w:rsidRPr="00846769" w:rsidRDefault="007D0633" w:rsidP="007D0633">
      <w:pPr>
        <w:rPr>
          <w:rFonts w:cstheme="minorHAnsi"/>
        </w:rPr>
      </w:pPr>
      <w:bookmarkStart w:id="537" w:name="_Hlk189218134"/>
      <w:r w:rsidRPr="00846769">
        <w:rPr>
          <w:rFonts w:cstheme="minorHAnsi"/>
        </w:rPr>
        <w:t xml:space="preserve">Wrapping </w:t>
      </w:r>
      <w:r w:rsidR="00782381" w:rsidRPr="00846769">
        <w:rPr>
          <w:rFonts w:cstheme="minorHAnsi"/>
        </w:rPr>
        <w:t xml:space="preserve">and encapsulation </w:t>
      </w:r>
      <w:r w:rsidR="00070E76" w:rsidRPr="00846769">
        <w:rPr>
          <w:rFonts w:cstheme="minorHAnsi"/>
        </w:rPr>
        <w:t xml:space="preserve">uses materials to cover or ‘wrap’ a </w:t>
      </w:r>
      <w:r w:rsidR="00F8043D">
        <w:rPr>
          <w:rFonts w:cstheme="minorHAnsi"/>
        </w:rPr>
        <w:t xml:space="preserve">submerged </w:t>
      </w:r>
      <w:r w:rsidR="00794A5E" w:rsidRPr="00846769">
        <w:rPr>
          <w:rFonts w:cstheme="minorHAnsi"/>
        </w:rPr>
        <w:t>structure and create an anoxic environment between the wrap and substrate. The wrap creates a watertight barrier, reducing dissolved oxygen levels</w:t>
      </w:r>
      <w:r w:rsidR="005B7FD2">
        <w:rPr>
          <w:rFonts w:cstheme="minorHAnsi"/>
        </w:rPr>
        <w:t xml:space="preserve"> (anoxia)</w:t>
      </w:r>
      <w:r w:rsidR="00794A5E" w:rsidRPr="00846769">
        <w:rPr>
          <w:rFonts w:cstheme="minorHAnsi"/>
        </w:rPr>
        <w:t>, light, and a potential source of nutrients to accelerate the death of encapsulated biofouling. Invasive marine bivalves will be deprived of</w:t>
      </w:r>
      <w:r w:rsidRPr="00846769">
        <w:rPr>
          <w:rFonts w:cstheme="minorHAnsi"/>
        </w:rPr>
        <w:t xml:space="preserve"> light and food, with continued respiration and decomposition of organisms within the barrier depleting oxygen to lethal levels. </w:t>
      </w:r>
    </w:p>
    <w:p w14:paraId="0BADC485" w14:textId="56C29E72" w:rsidR="007D0633" w:rsidRPr="00846769" w:rsidRDefault="00E20578" w:rsidP="007D0633">
      <w:pPr>
        <w:rPr>
          <w:rFonts w:cstheme="minorHAnsi"/>
        </w:rPr>
      </w:pPr>
      <w:bookmarkStart w:id="538" w:name="_Hlk189218169"/>
      <w:bookmarkEnd w:id="537"/>
      <w:r w:rsidRPr="00846769">
        <w:rPr>
          <w:rFonts w:cstheme="minorHAnsi"/>
        </w:rPr>
        <w:t xml:space="preserve">The effectiveness of wrapping is </w:t>
      </w:r>
      <w:r w:rsidR="00057A3D" w:rsidRPr="00846769">
        <w:rPr>
          <w:rFonts w:cstheme="minorHAnsi"/>
        </w:rPr>
        <w:t>i</w:t>
      </w:r>
      <w:r w:rsidR="00057A3D">
        <w:rPr>
          <w:rFonts w:cstheme="minorHAnsi"/>
        </w:rPr>
        <w:t>mproved</w:t>
      </w:r>
      <w:r w:rsidR="00057A3D" w:rsidRPr="00846769">
        <w:rPr>
          <w:rFonts w:cstheme="minorHAnsi"/>
        </w:rPr>
        <w:t xml:space="preserve"> </w:t>
      </w:r>
      <w:r w:rsidRPr="00846769">
        <w:rPr>
          <w:rFonts w:cstheme="minorHAnsi"/>
        </w:rPr>
        <w:t>by the following</w:t>
      </w:r>
      <w:r w:rsidR="007D0633" w:rsidRPr="00846769">
        <w:rPr>
          <w:rFonts w:cstheme="minorHAnsi"/>
        </w:rPr>
        <w:t>:</w:t>
      </w:r>
    </w:p>
    <w:p w14:paraId="2458EA40" w14:textId="60047312" w:rsidR="007D0633" w:rsidRPr="00846769" w:rsidRDefault="007D0633" w:rsidP="007D0633">
      <w:pPr>
        <w:pStyle w:val="ListBullet"/>
      </w:pPr>
      <w:r w:rsidRPr="00846769">
        <w:t xml:space="preserve">smothering material </w:t>
      </w:r>
      <w:r w:rsidR="00E20578" w:rsidRPr="00846769">
        <w:t xml:space="preserve">is applied </w:t>
      </w:r>
      <w:r w:rsidRPr="00846769">
        <w:t>continuous</w:t>
      </w:r>
      <w:r w:rsidR="00E20578" w:rsidRPr="00846769">
        <w:t>ly</w:t>
      </w:r>
      <w:r w:rsidRPr="00846769">
        <w:t xml:space="preserve"> without gap</w:t>
      </w:r>
      <w:r w:rsidR="00E20578" w:rsidRPr="00846769">
        <w:t xml:space="preserve">s, breaks, or tears </w:t>
      </w:r>
      <w:r w:rsidRPr="00846769">
        <w:t xml:space="preserve">to </w:t>
      </w:r>
      <w:r w:rsidR="00E20578" w:rsidRPr="00846769">
        <w:t>prevent</w:t>
      </w:r>
      <w:r w:rsidRPr="00846769">
        <w:t xml:space="preserve"> escape of fragments or larvae or ingress of clean water</w:t>
      </w:r>
    </w:p>
    <w:p w14:paraId="021F5B1E" w14:textId="18A4B09A" w:rsidR="007D0633" w:rsidRPr="00846769" w:rsidRDefault="00057A3D" w:rsidP="007D0633">
      <w:pPr>
        <w:pStyle w:val="ListBullet"/>
      </w:pPr>
      <w:r>
        <w:t>use</w:t>
      </w:r>
      <w:r w:rsidR="00E20578" w:rsidRPr="00846769">
        <w:t xml:space="preserve"> in </w:t>
      </w:r>
      <w:r w:rsidR="007D0633" w:rsidRPr="00846769">
        <w:t xml:space="preserve">sheltered environments with low currents </w:t>
      </w:r>
      <w:r w:rsidR="005438AD">
        <w:t>because</w:t>
      </w:r>
      <w:r w:rsidR="007D0633" w:rsidRPr="00846769">
        <w:t xml:space="preserve"> strong currents can make deploying the wrap difficult and increase the risk of tearing</w:t>
      </w:r>
    </w:p>
    <w:p w14:paraId="22A24BF3" w14:textId="0117D121" w:rsidR="00F8043D" w:rsidRPr="00F8043D" w:rsidRDefault="007D0633" w:rsidP="00A04E26">
      <w:pPr>
        <w:pStyle w:val="ListBullet"/>
      </w:pPr>
      <w:r w:rsidRPr="00846769">
        <w:rPr>
          <w:rFonts w:cstheme="minorHAnsi"/>
        </w:rPr>
        <w:t>addition of biocides.</w:t>
      </w:r>
    </w:p>
    <w:p w14:paraId="6641B70A" w14:textId="26558832" w:rsidR="00F8043D" w:rsidRPr="00B25CD1" w:rsidRDefault="00F8043D" w:rsidP="00F8043D">
      <w:pPr>
        <w:rPr>
          <w:rFonts w:cstheme="minorHAnsi"/>
        </w:rPr>
      </w:pPr>
      <w:bookmarkStart w:id="539" w:name="_Hlk189225689"/>
      <w:r w:rsidRPr="00B25CD1">
        <w:rPr>
          <w:rFonts w:cstheme="minorHAnsi"/>
        </w:rPr>
        <w:t xml:space="preserve">Wrapping and encapsulation of the submerged surfaces of vessels using impermeable barriers, such as polyethylene plastic, have been used to treat fouling on vessels up to 113 metres long (Mitchell 2007). </w:t>
      </w:r>
      <w:r w:rsidRPr="00B25CD1">
        <w:t>Encapsulation can be used at moderate scales, such as wharf piles (Coutts &amp; Forrest 2005) and other large structures like pontoons. The ability for bivalves to survive hypoxic environments for about a month (</w:t>
      </w:r>
      <w:proofErr w:type="spellStart"/>
      <w:r w:rsidRPr="00B25CD1">
        <w:t>Atalah</w:t>
      </w:r>
      <w:proofErr w:type="spellEnd"/>
      <w:r w:rsidRPr="00B25CD1">
        <w:t xml:space="preserve"> et al. 2016) means that encapsulation is unlikely to be effective as a </w:t>
      </w:r>
      <w:r w:rsidRPr="00B25CD1">
        <w:lastRenderedPageBreak/>
        <w:t>treatment method alone. Bivalves are naturally exposed to hypoxic conditions as part of their normal life history. For instance, intertidal bivalves seal themselves off when above the tide line</w:t>
      </w:r>
      <w:r w:rsidR="00752C5D" w:rsidRPr="00B25CD1">
        <w:t xml:space="preserve"> (</w:t>
      </w:r>
      <w:r w:rsidRPr="00B25CD1">
        <w:t xml:space="preserve">Riedel, </w:t>
      </w:r>
      <w:proofErr w:type="spellStart"/>
      <w:r w:rsidRPr="00B25CD1">
        <w:t>Zuschin</w:t>
      </w:r>
      <w:proofErr w:type="spellEnd"/>
      <w:r w:rsidRPr="00B25CD1">
        <w:t xml:space="preserve"> &amp; </w:t>
      </w:r>
      <w:proofErr w:type="spellStart"/>
      <w:r w:rsidRPr="00B25CD1">
        <w:t>Stachowitsch</w:t>
      </w:r>
      <w:proofErr w:type="spellEnd"/>
      <w:r w:rsidRPr="00B25CD1">
        <w:t xml:space="preserve"> 2012), and the use of encapsulation or smothering methods on benthic species for extended periods increases risk of damage to the enclosure material. The addition of biocidal chemicals such as chlorine or acetic acid may expedite treatment.</w:t>
      </w:r>
    </w:p>
    <w:bookmarkEnd w:id="539"/>
    <w:p w14:paraId="19F92C2A" w14:textId="69E4728A" w:rsidR="00F8043D" w:rsidRPr="00F8043D" w:rsidRDefault="00F8043D" w:rsidP="00A04E26">
      <w:pPr>
        <w:rPr>
          <w:rFonts w:cstheme="minorHAnsi"/>
        </w:rPr>
      </w:pPr>
      <w:r w:rsidRPr="00B25CD1">
        <w:rPr>
          <w:rFonts w:cstheme="minorHAnsi"/>
        </w:rPr>
        <w:t xml:space="preserve">For vessels, polyethylene silage plastic wrap (125 µm thick) can be cut to size to suit the vessel type and is deployed by divers in association with a topside support team (Mitchell 2007). The plastic is passed from one side of the vessel to the other, overlapped and secured tightly using PVC tape or ropes to create a dark watertight environment. Commercial encapsulation tools, such as </w:t>
      </w:r>
      <w:hyperlink r:id="rId185" w:history="1">
        <w:r w:rsidRPr="00B25CD1">
          <w:rPr>
            <w:rStyle w:val="Hyperlink"/>
            <w:rFonts w:cstheme="minorHAnsi"/>
          </w:rPr>
          <w:t>FAB Dock</w:t>
        </w:r>
      </w:hyperlink>
      <w:r w:rsidRPr="00B25CD1">
        <w:rPr>
          <w:rFonts w:cstheme="minorHAnsi"/>
        </w:rPr>
        <w:t>, are available which can be applied to a vessel arriving in port, or to a vessel at anchor, alongside a wharf or in a marina berth.</w:t>
      </w:r>
      <w:r w:rsidRPr="00B25CD1">
        <w:t xml:space="preserve"> Commercially available floating boat docks up to 30 m have been shown to be useful for emergency treatment of biofouling on small vessels. </w:t>
      </w:r>
      <w:bookmarkStart w:id="540" w:name="_Hlk189225766"/>
      <w:r w:rsidRPr="00B25CD1">
        <w:rPr>
          <w:rFonts w:cstheme="minorHAnsi"/>
        </w:rPr>
        <w:t xml:space="preserve">Wrapping of vessels &gt;25 metres is labour intensive and may take up to two days to deploy. The time needed for effective treatment is around 7 days, which may be too long when rapid treatment and vessel turnaround time is crucial. Wraps on wharfs can also be damaged by berthed vessels </w:t>
      </w:r>
      <w:r w:rsidRPr="00B25CD1">
        <w:rPr>
          <w:rFonts w:cstheme="minorHAnsi"/>
        </w:rPr>
        <w:fldChar w:fldCharType="begin"/>
      </w:r>
      <w:r w:rsidRPr="00B25CD1">
        <w:rPr>
          <w:rFonts w:cstheme="minorHAnsi"/>
        </w:rPr>
        <w:instrText xml:space="preserve"> ADDIN EN.CITE &lt;EndNote&gt;&lt;Cite&gt;&lt;Author&gt;Coutts&lt;/Author&gt;&lt;Year&gt;2007&lt;/Year&gt;&lt;RecNum&gt;5415&lt;/RecNum&gt;&lt;DisplayText&gt;(Coutts &amp;amp; Forrest 2007)&lt;/DisplayText&gt;&lt;record&gt;&lt;rec-number&gt;5415&lt;/rec-number&gt;&lt;foreign-keys&gt;&lt;key app="EN" db-id="5pw5zxs03zavz2esrer5zreaaer2f9v0wf9p" timestamp="1708635588" guid="cc163492-851c-46f3-a988-92f7bc3cc021"&gt;5415&lt;/key&gt;&lt;/foreign-keys&gt;&lt;ref-type name="Journal Article"&gt;17&lt;/ref-type&gt;&lt;contributors&gt;&lt;authors&gt;&lt;author&gt;Coutts, Ashley D. M.&lt;/author&gt;&lt;author&gt;Forrest, Barrie M.&lt;/author&gt;&lt;/authors&gt;&lt;/contributors&gt;&lt;titles&gt;&lt;title&gt;&lt;style face="normal" font="default" size="100%"&gt;Development and application of tools for incursion response: lessons learned from the management of the fouling pest &lt;/style&gt;&lt;style face="italic" font="default" size="100%"&gt;Didemnum vexillum&lt;/style&gt;&lt;/title&gt;&lt;secondary-title&gt;Journal of Experimental Marine Biology and Ecology&lt;/secondary-title&gt;&lt;/titles&gt;&lt;periodical&gt;&lt;full-title&gt;Journal of Experimental Marine Biology and Ecology&lt;/full-title&gt;&lt;/periodical&gt;&lt;pages&gt;154-162&lt;/pages&gt;&lt;volume&gt;342&lt;/volume&gt;&lt;number&gt;1&lt;/number&gt;&lt;section&gt;154&lt;/section&gt;&lt;dates&gt;&lt;year&gt;2007&lt;/year&gt;&lt;/dates&gt;&lt;isbn&gt;00220981&lt;/isbn&gt;&lt;urls&gt;&lt;/urls&gt;&lt;electronic-resource-num&gt;10.1016/j.jembe.2006.10.042&lt;/electronic-resource-num&gt;&lt;/record&gt;&lt;/Cite&gt;&lt;/EndNote&gt;</w:instrText>
      </w:r>
      <w:r w:rsidRPr="00B25CD1">
        <w:rPr>
          <w:rFonts w:cstheme="minorHAnsi"/>
        </w:rPr>
        <w:fldChar w:fldCharType="separate"/>
      </w:r>
      <w:r w:rsidRPr="00B25CD1">
        <w:rPr>
          <w:rFonts w:cstheme="minorHAnsi"/>
          <w:noProof/>
        </w:rPr>
        <w:t>(Coutts &amp; Forrest 2007)</w:t>
      </w:r>
      <w:r w:rsidRPr="00B25CD1">
        <w:rPr>
          <w:rFonts w:cstheme="minorHAnsi"/>
        </w:rPr>
        <w:fldChar w:fldCharType="end"/>
      </w:r>
      <w:r w:rsidRPr="00B25CD1">
        <w:rPr>
          <w:rFonts w:cstheme="minorHAnsi"/>
        </w:rPr>
        <w:t>.</w:t>
      </w:r>
    </w:p>
    <w:p w14:paraId="0FCC3E45" w14:textId="28A1314E" w:rsidR="00EF3DCF" w:rsidRPr="00846769" w:rsidRDefault="005B7FD2" w:rsidP="00EF3DCF">
      <w:bookmarkStart w:id="541" w:name="_Hlk189221370"/>
      <w:bookmarkEnd w:id="538"/>
      <w:bookmarkEnd w:id="540"/>
      <w:r>
        <w:t>During an ascidian incursion in New Zealand, divers encapsulated wharf piles</w:t>
      </w:r>
      <w:r w:rsidR="00EF3DCF" w:rsidRPr="00846769">
        <w:t xml:space="preserve"> using </w:t>
      </w:r>
      <w:r>
        <w:t xml:space="preserve">sheets of polyethylene silage plastic wrap (125 </w:t>
      </w:r>
      <w:r>
        <w:rPr>
          <w:rFonts w:cstheme="minorHAnsi"/>
        </w:rPr>
        <w:t>µ</w:t>
      </w:r>
      <w:r>
        <w:t xml:space="preserve">m thick) and </w:t>
      </w:r>
      <w:r w:rsidR="00EF3DCF" w:rsidRPr="00846769">
        <w:t>rolls of black polyethylene (1 m wide × 50 µm thick) by wrapping around the piles in a circular motion overlapping each successive wrap by ~400 mm (</w:t>
      </w:r>
      <w:r w:rsidR="00192097" w:rsidRPr="00B95B90">
        <w:fldChar w:fldCharType="begin"/>
      </w:r>
      <w:r w:rsidR="00192097" w:rsidRPr="00B95B90">
        <w:instrText xml:space="preserve"> REF _Ref172533691 \h </w:instrText>
      </w:r>
      <w:r w:rsidR="00B95B90">
        <w:instrText xml:space="preserve"> \* MERGEFORMAT </w:instrText>
      </w:r>
      <w:r w:rsidR="00192097" w:rsidRPr="00B95B90">
        <w:fldChar w:fldCharType="separate"/>
      </w:r>
      <w:r w:rsidR="00192097" w:rsidRPr="00B95B90">
        <w:t>Figure 7</w:t>
      </w:r>
      <w:r w:rsidR="00192097" w:rsidRPr="00B95B90">
        <w:fldChar w:fldCharType="end"/>
      </w:r>
      <w:r w:rsidR="00EF3DCF" w:rsidRPr="00B95B90">
        <w:t xml:space="preserve">; Coutts </w:t>
      </w:r>
      <w:r w:rsidR="001961B3" w:rsidRPr="00B95B90">
        <w:t xml:space="preserve">&amp; </w:t>
      </w:r>
      <w:r w:rsidR="00EF3DCF" w:rsidRPr="00B95B90">
        <w:t xml:space="preserve">Forrest 2007). </w:t>
      </w:r>
      <w:r w:rsidR="00EF3DCF" w:rsidRPr="00B95B90">
        <w:rPr>
          <w:rFonts w:cstheme="minorHAnsi"/>
        </w:rPr>
        <w:t>Sharp</w:t>
      </w:r>
      <w:r w:rsidR="00EF3DCF" w:rsidRPr="00846769">
        <w:rPr>
          <w:rFonts w:cstheme="minorHAnsi"/>
        </w:rPr>
        <w:t xml:space="preserve"> objects on the hull or pylon, such as propeller blades, oysters, or fixings, should be wrapped separately or covered with tubing or cloth before encapsulation to prevent tears in the plastic. </w:t>
      </w:r>
    </w:p>
    <w:p w14:paraId="72E18B2A" w14:textId="4EAEDA3B" w:rsidR="00192097" w:rsidRPr="00846769" w:rsidRDefault="00192097" w:rsidP="00192097">
      <w:pPr>
        <w:pStyle w:val="Caption"/>
      </w:pPr>
      <w:bookmarkStart w:id="542" w:name="_Ref172533691"/>
      <w:bookmarkStart w:id="543" w:name="_Toc191999520"/>
      <w:bookmarkEnd w:id="541"/>
      <w:r w:rsidRPr="00846769">
        <w:lastRenderedPageBreak/>
        <w:t xml:space="preserve">Figure </w:t>
      </w:r>
      <w:r w:rsidRPr="00846769">
        <w:fldChar w:fldCharType="begin"/>
      </w:r>
      <w:r w:rsidRPr="00846769">
        <w:instrText xml:space="preserve"> SEQ Figure \* ARABIC </w:instrText>
      </w:r>
      <w:r w:rsidRPr="00846769">
        <w:fldChar w:fldCharType="separate"/>
      </w:r>
      <w:r w:rsidRPr="00846769">
        <w:t>7</w:t>
      </w:r>
      <w:r w:rsidRPr="00846769">
        <w:fldChar w:fldCharType="end"/>
      </w:r>
      <w:bookmarkEnd w:id="542"/>
      <w:r w:rsidRPr="00846769">
        <w:t xml:space="preserve"> A schematic of the polyethylene wrapping method used to treat wharf piles</w:t>
      </w:r>
      <w:bookmarkEnd w:id="543"/>
    </w:p>
    <w:p w14:paraId="6CB2A133" w14:textId="77777777" w:rsidR="00EF3DCF" w:rsidRPr="00846769" w:rsidRDefault="00EF3DCF" w:rsidP="00A04E26">
      <w:pPr>
        <w:keepNext/>
        <w:spacing w:after="120"/>
      </w:pPr>
      <w:r w:rsidRPr="00846769">
        <w:rPr>
          <w:rFonts w:cstheme="minorHAnsi"/>
          <w:noProof/>
          <w:lang w:eastAsia="en-AU"/>
        </w:rPr>
        <w:drawing>
          <wp:inline distT="0" distB="0" distL="0" distR="0" wp14:anchorId="41C92C6B" wp14:editId="05887252">
            <wp:extent cx="5354320" cy="5354320"/>
            <wp:effectExtent l="0" t="0" r="0" b="0"/>
            <wp:docPr id="935800565" name="Picture 935800565" descr="A coloured diagram of scuba divers wrapping a wharf pile with plastic wrapping from bottom to top. The wrapping is overlapped by 400mm and sealed with pvc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00565" name="Picture 935800565" descr="A coloured diagram of scuba divers wrapping a wharf pile with plastic wrapping from bottom to top. The wrapping is overlapped by 400mm and sealed with pvc tap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354320" cy="5354320"/>
                    </a:xfrm>
                    <a:prstGeom prst="rect">
                      <a:avLst/>
                    </a:prstGeom>
                    <a:noFill/>
                    <a:ln>
                      <a:noFill/>
                    </a:ln>
                  </pic:spPr>
                </pic:pic>
              </a:graphicData>
            </a:graphic>
          </wp:inline>
        </w:drawing>
      </w:r>
    </w:p>
    <w:p w14:paraId="58940679" w14:textId="3CEBF27A" w:rsidR="00EF3DCF" w:rsidRPr="00846769" w:rsidRDefault="00EF3DCF" w:rsidP="00EF3DCF">
      <w:pPr>
        <w:pStyle w:val="FigureTableNoteSource"/>
      </w:pPr>
      <w:r w:rsidRPr="00B95B90">
        <w:t xml:space="preserve">Source: Coutts </w:t>
      </w:r>
      <w:r w:rsidR="001961B3" w:rsidRPr="00B95B90">
        <w:t>&amp;</w:t>
      </w:r>
      <w:r w:rsidRPr="00B95B90">
        <w:t xml:space="preserve"> Forrest (2007)</w:t>
      </w:r>
    </w:p>
    <w:p w14:paraId="1C158AA8" w14:textId="7EDF7C28" w:rsidR="005B7FD2" w:rsidRPr="00F8043D" w:rsidRDefault="00EF3DCF" w:rsidP="000E260A">
      <w:pPr>
        <w:rPr>
          <w:rFonts w:cstheme="minorHAnsi"/>
        </w:rPr>
      </w:pPr>
      <w:bookmarkStart w:id="544" w:name="_Hlk189221927"/>
      <w:r w:rsidRPr="00846769">
        <w:rPr>
          <w:rFonts w:cstheme="minorHAnsi"/>
        </w:rPr>
        <w:t xml:space="preserve">If properly deployed, the wrap should contain the pest species and its larvae. </w:t>
      </w:r>
      <w:bookmarkEnd w:id="544"/>
      <w:r w:rsidRPr="00846769">
        <w:rPr>
          <w:rFonts w:cstheme="minorHAnsi"/>
        </w:rPr>
        <w:t xml:space="preserve">Extreme care should be taken to ensure that biofouling is not dislodged when the wrap is deployed. </w:t>
      </w:r>
      <w:r w:rsidR="005B7FD2">
        <w:rPr>
          <w:rFonts w:cstheme="minorHAnsi"/>
        </w:rPr>
        <w:t>Generally, the</w:t>
      </w:r>
      <w:r w:rsidR="005B7FD2" w:rsidRPr="00846769">
        <w:rPr>
          <w:rFonts w:cstheme="minorHAnsi"/>
        </w:rPr>
        <w:t xml:space="preserve"> </w:t>
      </w:r>
      <w:r w:rsidRPr="00846769">
        <w:rPr>
          <w:rFonts w:cstheme="minorHAnsi"/>
        </w:rPr>
        <w:t xml:space="preserve">wrap must remain in place for at least </w:t>
      </w:r>
      <w:r w:rsidR="005B7FD2">
        <w:rPr>
          <w:rFonts w:cstheme="minorHAnsi"/>
        </w:rPr>
        <w:t>seven</w:t>
      </w:r>
      <w:r w:rsidRPr="00846769">
        <w:rPr>
          <w:rFonts w:cstheme="minorHAnsi"/>
        </w:rPr>
        <w:t xml:space="preserve"> days if no biocide is used to achieve the desired effect</w:t>
      </w:r>
      <w:r w:rsidR="001961B3" w:rsidRPr="00846769">
        <w:rPr>
          <w:rFonts w:cstheme="minorHAnsi"/>
        </w:rPr>
        <w:t xml:space="preserve">, and likely longer for invasive marine </w:t>
      </w:r>
      <w:r w:rsidR="001961B3" w:rsidRPr="005F7F32">
        <w:rPr>
          <w:rFonts w:cstheme="minorHAnsi"/>
        </w:rPr>
        <w:t>bivalves</w:t>
      </w:r>
      <w:r w:rsidRPr="005F7F32">
        <w:rPr>
          <w:rFonts w:cstheme="minorHAnsi"/>
        </w:rPr>
        <w:t xml:space="preserve"> </w:t>
      </w:r>
      <w:r w:rsidRPr="00B25CD1">
        <w:rPr>
          <w:rFonts w:cstheme="minorHAnsi"/>
        </w:rPr>
        <w:t>(</w:t>
      </w:r>
      <w:r w:rsidRPr="00B25CD1">
        <w:rPr>
          <w:lang w:eastAsia="ja-JP"/>
        </w:rPr>
        <w:t xml:space="preserve">Inglis, </w:t>
      </w:r>
      <w:proofErr w:type="spellStart"/>
      <w:r w:rsidRPr="00B25CD1">
        <w:rPr>
          <w:lang w:eastAsia="ja-JP"/>
        </w:rPr>
        <w:t>Floerl</w:t>
      </w:r>
      <w:proofErr w:type="spellEnd"/>
      <w:r w:rsidRPr="00B25CD1">
        <w:rPr>
          <w:lang w:eastAsia="ja-JP"/>
        </w:rPr>
        <w:t xml:space="preserve"> &amp; Woods </w:t>
      </w:r>
      <w:r w:rsidRPr="00B25CD1">
        <w:rPr>
          <w:rFonts w:cstheme="minorHAnsi"/>
        </w:rPr>
        <w:t>2012).</w:t>
      </w:r>
      <w:r w:rsidRPr="00846769">
        <w:rPr>
          <w:rFonts w:cstheme="minorHAnsi"/>
        </w:rPr>
        <w:t xml:space="preserve"> </w:t>
      </w:r>
    </w:p>
    <w:p w14:paraId="5068B7BF" w14:textId="03DC4196" w:rsidR="000E260A" w:rsidRPr="00846769" w:rsidRDefault="0071389C" w:rsidP="000E260A">
      <w:pPr>
        <w:rPr>
          <w:rFonts w:cstheme="minorHAnsi"/>
        </w:rPr>
      </w:pPr>
      <w:r>
        <w:rPr>
          <w:rFonts w:cstheme="minorHAnsi"/>
        </w:rPr>
        <w:t xml:space="preserve">Wrappings can themselves be colonised by biofouling species </w:t>
      </w:r>
      <w:r>
        <w:rPr>
          <w:rFonts w:cstheme="minorHAnsi"/>
        </w:rPr>
        <w:fldChar w:fldCharType="begin"/>
      </w:r>
      <w:r>
        <w:rPr>
          <w:rFonts w:cstheme="minorHAnsi"/>
        </w:rPr>
        <w:instrText xml:space="preserve"> ADDIN EN.CITE &lt;EndNote&gt;&lt;Cite&gt;&lt;Author&gt;Coutts&lt;/Author&gt;&lt;Year&gt;2007&lt;/Year&gt;&lt;RecNum&gt;5415&lt;/RecNum&gt;&lt;DisplayText&gt;(Coutts &amp;amp; Forrest 2007)&lt;/DisplayText&gt;&lt;record&gt;&lt;rec-number&gt;5415&lt;/rec-number&gt;&lt;foreign-keys&gt;&lt;key app="EN" db-id="5pw5zxs03zavz2esrer5zreaaer2f9v0wf9p" timestamp="1708635588" guid="cc163492-851c-46f3-a988-92f7bc3cc021"&gt;5415&lt;/key&gt;&lt;/foreign-keys&gt;&lt;ref-type name="Journal Article"&gt;17&lt;/ref-type&gt;&lt;contributors&gt;&lt;authors&gt;&lt;author&gt;Coutts, Ashley D. M.&lt;/author&gt;&lt;author&gt;Forrest, Barrie M.&lt;/author&gt;&lt;/authors&gt;&lt;/contributors&gt;&lt;titles&gt;&lt;title&gt;&lt;style face="normal" font="default" size="100%"&gt;Development and application of tools for incursion response: lessons learned from the management of the fouling pest &lt;/style&gt;&lt;style face="italic" font="default" size="100%"&gt;Didemnum vexillum&lt;/style&gt;&lt;/title&gt;&lt;secondary-title&gt;Journal of Experimental Marine Biology and Ecology&lt;/secondary-title&gt;&lt;/titles&gt;&lt;periodical&gt;&lt;full-title&gt;Journal of Experimental Marine Biology and Ecology&lt;/full-title&gt;&lt;/periodical&gt;&lt;pages&gt;154-162&lt;/pages&gt;&lt;volume&gt;342&lt;/volume&gt;&lt;number&gt;1&lt;/number&gt;&lt;section&gt;154&lt;/section&gt;&lt;dates&gt;&lt;year&gt;2007&lt;/year&gt;&lt;/dates&gt;&lt;isbn&gt;00220981&lt;/isbn&gt;&lt;urls&gt;&lt;/urls&gt;&lt;electronic-resource-num&gt;10.1016/j.jembe.2006.10.042&lt;/electronic-resource-num&gt;&lt;/record&gt;&lt;/Cite&gt;&lt;/EndNote&gt;</w:instrText>
      </w:r>
      <w:r>
        <w:rPr>
          <w:rFonts w:cstheme="minorHAnsi"/>
        </w:rPr>
        <w:fldChar w:fldCharType="separate"/>
      </w:r>
      <w:r>
        <w:rPr>
          <w:rFonts w:cstheme="minorHAnsi"/>
          <w:noProof/>
        </w:rPr>
        <w:t>(Coutts &amp; Forrest 2007)</w:t>
      </w:r>
      <w:r>
        <w:rPr>
          <w:rFonts w:cstheme="minorHAnsi"/>
        </w:rPr>
        <w:fldChar w:fldCharType="end"/>
      </w:r>
      <w:r>
        <w:rPr>
          <w:rFonts w:cstheme="minorHAnsi"/>
        </w:rPr>
        <w:t xml:space="preserve">. Encapsulation is not effective if substrates underneath structures such as pilings are not also treated, and therefore encapsulation should be complemented with smothering and other treatments </w:t>
      </w:r>
      <w:r>
        <w:rPr>
          <w:rFonts w:cstheme="minorHAnsi"/>
        </w:rPr>
        <w:fldChar w:fldCharType="begin">
          <w:fldData xml:space="preserve">PEVuZE5vdGU+PENpdGU+PEF1dGhvcj5Db3V0dHM8L0F1dGhvcj48WWVhcj4yMDA3PC9ZZWFyPjxS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</w:fldData>
        </w:fldChar>
      </w:r>
      <w:r>
        <w:rPr>
          <w:rFonts w:cstheme="minorHAnsi"/>
        </w:rPr>
        <w:instrText xml:space="preserve"> ADDIN EN.CITE </w:instrText>
      </w:r>
      <w:r>
        <w:rPr>
          <w:rFonts w:cstheme="minorHAnsi"/>
        </w:rPr>
        <w:fldChar w:fldCharType="begin">
          <w:fldData xml:space="preserve">PEVuZE5vdGU+PENpdGU+PEF1dGhvcj5Db3V0dHM8L0F1dGhvcj48WWVhcj4yMDA3PC9ZZWFyPjxS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(Coutts &amp; Forrest 2007; Deibel et al. 2014)</w:t>
      </w:r>
      <w:r>
        <w:rPr>
          <w:rFonts w:cstheme="minorHAnsi"/>
        </w:rPr>
        <w:fldChar w:fldCharType="end"/>
      </w:r>
      <w:r>
        <w:rPr>
          <w:rFonts w:cstheme="minorHAnsi"/>
        </w:rPr>
        <w:t>.</w:t>
      </w:r>
      <w:r w:rsidR="000E260A" w:rsidRPr="00846769">
        <w:rPr>
          <w:rFonts w:cstheme="minorHAnsi"/>
        </w:rPr>
        <w:t>Wrapping also produces large amounts of plastic waste. This waste must be disposed of in landfill or an approved solid waste treatment facility.</w:t>
      </w:r>
      <w:bookmarkStart w:id="545" w:name="_Hlk189222497"/>
      <w:r w:rsidR="00B670E2" w:rsidRPr="00846769">
        <w:rPr>
          <w:rFonts w:cstheme="minorHAnsi"/>
        </w:rPr>
        <w:t xml:space="preserve"> Consideration also needs to be given for any protected species that could be impacted by wrapping, such as EPBC Act listed species. </w:t>
      </w:r>
      <w:r w:rsidR="000E260A" w:rsidRPr="00846769">
        <w:rPr>
          <w:rFonts w:cstheme="minorHAnsi"/>
        </w:rPr>
        <w:t>Relevant state or territory agencies should be consulted about the suitability of wrapping and encapsulation method for a vessel or structure.</w:t>
      </w:r>
    </w:p>
    <w:p w14:paraId="78257752" w14:textId="1CD77005" w:rsidR="000E260A" w:rsidRPr="00846769" w:rsidRDefault="000E260A" w:rsidP="000E260A">
      <w:pPr>
        <w:pStyle w:val="Heading5"/>
        <w:numPr>
          <w:ilvl w:val="3"/>
          <w:numId w:val="4"/>
        </w:numPr>
      </w:pPr>
      <w:bookmarkStart w:id="546" w:name="_Smothering"/>
      <w:bookmarkEnd w:id="545"/>
      <w:bookmarkEnd w:id="546"/>
      <w:r w:rsidRPr="00846769">
        <w:lastRenderedPageBreak/>
        <w:t>Smothering</w:t>
      </w:r>
    </w:p>
    <w:p w14:paraId="185A1EB5" w14:textId="3A56BD88" w:rsidR="000E260A" w:rsidRPr="00846769" w:rsidRDefault="000E260A" w:rsidP="000E260A">
      <w:bookmarkStart w:id="547" w:name="_Hlk189225990"/>
      <w:r w:rsidRPr="00846769">
        <w:t>Like wrapping and encapsulation, smothering benthic habitats by covering them with plastic, geotextile fabric, or burial with sediment (such as dredge spoil) can effectively treat relatively localised infestations. Smothering:</w:t>
      </w:r>
    </w:p>
    <w:p w14:paraId="5458C837" w14:textId="51A1345A" w:rsidR="000E260A" w:rsidRPr="00846769" w:rsidRDefault="00A804C4" w:rsidP="000E260A">
      <w:pPr>
        <w:pStyle w:val="ListBullet"/>
      </w:pPr>
      <w:r>
        <w:t xml:space="preserve">Has </w:t>
      </w:r>
      <w:r w:rsidR="000E260A" w:rsidRPr="00846769">
        <w:t>low selectivity, but impacts are localised</w:t>
      </w:r>
    </w:p>
    <w:p w14:paraId="6D05C43D" w14:textId="77777777" w:rsidR="000E260A" w:rsidRPr="00846769" w:rsidRDefault="000E260A" w:rsidP="000E260A">
      <w:pPr>
        <w:pStyle w:val="ListBullet"/>
      </w:pPr>
      <w:r w:rsidRPr="00846769">
        <w:t>leaves no residues</w:t>
      </w:r>
    </w:p>
    <w:p w14:paraId="11464555" w14:textId="3BD3D1F5" w:rsidR="000E260A" w:rsidRPr="00846769" w:rsidRDefault="00A804C4" w:rsidP="000E260A">
      <w:pPr>
        <w:pStyle w:val="ListBullet"/>
      </w:pPr>
      <w:r>
        <w:t xml:space="preserve">is </w:t>
      </w:r>
      <w:r w:rsidR="000E260A" w:rsidRPr="00846769">
        <w:t xml:space="preserve">applicable to </w:t>
      </w:r>
      <w:r w:rsidR="000E260A" w:rsidRPr="00846769">
        <w:rPr>
          <w:iCs/>
        </w:rPr>
        <w:t>s</w:t>
      </w:r>
      <w:r w:rsidR="000E260A" w:rsidRPr="00846769">
        <w:t>essile or sedentary species (on surfaces that can be covered)</w:t>
      </w:r>
      <w:r w:rsidR="006E42A0" w:rsidRPr="00846769">
        <w:t xml:space="preserve"> and benthic species</w:t>
      </w:r>
    </w:p>
    <w:p w14:paraId="4FDE9A61" w14:textId="00596F97" w:rsidR="000E260A" w:rsidRPr="00846769" w:rsidRDefault="00A804C4" w:rsidP="000E260A">
      <w:pPr>
        <w:pStyle w:val="ListBullet"/>
      </w:pPr>
      <w:r>
        <w:t xml:space="preserve">is </w:t>
      </w:r>
      <w:r w:rsidR="000E260A" w:rsidRPr="00846769">
        <w:t xml:space="preserve">relatively affordable. </w:t>
      </w:r>
    </w:p>
    <w:p w14:paraId="67A822DB" w14:textId="3E5D6444" w:rsidR="00304EB8" w:rsidRPr="00B25CD1" w:rsidRDefault="00C82788">
      <w:pPr>
        <w:pStyle w:val="ListBullet"/>
        <w:numPr>
          <w:ilvl w:val="0"/>
          <w:numId w:val="0"/>
        </w:numPr>
      </w:pPr>
      <w:bookmarkStart w:id="548" w:name="_Hlk189259637"/>
      <w:bookmarkEnd w:id="547"/>
      <w:r w:rsidRPr="00B25CD1">
        <w:t>The material used to smother the surface must be continuous, without gaps or breaks in material to avoid escape of larvae</w:t>
      </w:r>
      <w:bookmarkEnd w:id="548"/>
      <w:r w:rsidRPr="00B25CD1">
        <w:t>. Tolerances to burial by sediment is variable between marine pests and some can tolerate prolonged periods (&gt;2 weeks) of burial (</w:t>
      </w:r>
      <w:r w:rsidRPr="00B25CD1">
        <w:rPr>
          <w:lang w:eastAsia="ja-JP"/>
        </w:rPr>
        <w:t>Glasby, Creese &amp; Gibson</w:t>
      </w:r>
      <w:r w:rsidRPr="00B25CD1">
        <w:t xml:space="preserve"> 2005). </w:t>
      </w:r>
      <w:r w:rsidR="00304EB8" w:rsidRPr="00B25CD1">
        <w:t>Smothering</w:t>
      </w:r>
      <w:r w:rsidR="00C73D8F" w:rsidRPr="00B25CD1">
        <w:t xml:space="preserve"> </w:t>
      </w:r>
      <w:r w:rsidR="00304EB8" w:rsidRPr="00B25CD1">
        <w:t>as a control method has not been specifically tested on invasive marine bivalves</w:t>
      </w:r>
      <w:r w:rsidR="00C73D8F" w:rsidRPr="00B25CD1">
        <w:t xml:space="preserve">. However, gas impermeable benthic barriers have demonstrated suppression of invasive </w:t>
      </w:r>
      <w:r w:rsidR="00304EB8" w:rsidRPr="00B25CD1">
        <w:t xml:space="preserve">freshwater </w:t>
      </w:r>
      <w:r w:rsidR="00C73D8F" w:rsidRPr="00B25CD1">
        <w:t xml:space="preserve">bivalves </w:t>
      </w:r>
      <w:r w:rsidR="00304EB8" w:rsidRPr="00B25CD1">
        <w:t xml:space="preserve">in the USA, including the zebra mussel, </w:t>
      </w:r>
      <w:proofErr w:type="spellStart"/>
      <w:r w:rsidR="00304EB8" w:rsidRPr="00B25CD1">
        <w:rPr>
          <w:i/>
          <w:iCs/>
        </w:rPr>
        <w:t>Dreissena</w:t>
      </w:r>
      <w:proofErr w:type="spellEnd"/>
      <w:r w:rsidR="00304EB8" w:rsidRPr="00B25CD1">
        <w:rPr>
          <w:i/>
          <w:iCs/>
        </w:rPr>
        <w:t xml:space="preserve"> polymorpha, </w:t>
      </w:r>
      <w:r w:rsidR="00304EB8" w:rsidRPr="00B25CD1">
        <w:t xml:space="preserve">and the freshwater gold clam, </w:t>
      </w:r>
      <w:r w:rsidR="00304EB8" w:rsidRPr="00B25CD1">
        <w:rPr>
          <w:i/>
          <w:iCs/>
        </w:rPr>
        <w:t>Corbicula fluminea</w:t>
      </w:r>
      <w:r w:rsidR="00C73D8F" w:rsidRPr="00B25CD1">
        <w:rPr>
          <w:i/>
          <w:iCs/>
        </w:rPr>
        <w:t xml:space="preserve"> </w:t>
      </w:r>
      <w:r w:rsidR="00C73D8F" w:rsidRPr="00B25CD1">
        <w:t xml:space="preserve">(Conry et al. 2024; Wittmann et al. 2012). Conry et al. (2024) </w:t>
      </w:r>
      <w:r w:rsidR="00726611" w:rsidRPr="00B25CD1">
        <w:t>installed</w:t>
      </w:r>
      <w:r w:rsidR="00C73D8F" w:rsidRPr="00B25CD1">
        <w:t xml:space="preserve"> a polyvinyl chloride benthic barrier covering an area of ~3,900 m</w:t>
      </w:r>
      <w:r w:rsidR="00C73D8F" w:rsidRPr="00B25CD1">
        <w:rPr>
          <w:vertAlign w:val="superscript"/>
        </w:rPr>
        <w:t>2</w:t>
      </w:r>
      <w:r w:rsidR="00C73D8F" w:rsidRPr="00B25CD1">
        <w:t xml:space="preserve"> </w:t>
      </w:r>
      <w:r w:rsidR="00726611" w:rsidRPr="00B25CD1">
        <w:t>on</w:t>
      </w:r>
      <w:r w:rsidR="00C73D8F" w:rsidRPr="00B25CD1">
        <w:t xml:space="preserve"> the shoreline and littoral zone of a freshwater lake in Lake Waco, Texas. The barrier was left in place for five months with frequent monitoring, and most </w:t>
      </w:r>
      <w:r w:rsidR="00726611" w:rsidRPr="00B25CD1">
        <w:rPr>
          <w:i/>
          <w:iCs/>
        </w:rPr>
        <w:t xml:space="preserve">D. polymorpha </w:t>
      </w:r>
      <w:r w:rsidR="00C73D8F" w:rsidRPr="00B25CD1">
        <w:t xml:space="preserve">were killed </w:t>
      </w:r>
      <w:r w:rsidR="00726611" w:rsidRPr="00B25CD1">
        <w:t>by</w:t>
      </w:r>
      <w:r w:rsidR="00C73D8F" w:rsidRPr="00B25CD1">
        <w:t xml:space="preserve"> the barrier </w:t>
      </w:r>
      <w:r w:rsidR="00726611" w:rsidRPr="00B25CD1">
        <w:t>with lasting effects over five years</w:t>
      </w:r>
      <w:r w:rsidR="00F247D7">
        <w:t>,</w:t>
      </w:r>
      <w:r w:rsidR="00726611" w:rsidRPr="00B25CD1">
        <w:t xml:space="preserve"> </w:t>
      </w:r>
      <w:r w:rsidR="00C73D8F" w:rsidRPr="00B25CD1">
        <w:t xml:space="preserve">but </w:t>
      </w:r>
      <w:r w:rsidR="00F247D7">
        <w:t xml:space="preserve">the treatment </w:t>
      </w:r>
      <w:r w:rsidR="00C73D8F" w:rsidRPr="00B25CD1">
        <w:t xml:space="preserve">did not </w:t>
      </w:r>
      <w:r w:rsidR="00726611" w:rsidRPr="00B25CD1">
        <w:t>achieve</w:t>
      </w:r>
      <w:r w:rsidR="00C73D8F" w:rsidRPr="00B25CD1">
        <w:t xml:space="preserve"> 100% mortality. </w:t>
      </w:r>
      <w:r w:rsidR="00726611" w:rsidRPr="00B25CD1">
        <w:t xml:space="preserve">These studies are on freshwater bivalves in enclosed freshwater lakes, so the effects of smothering on marine bivalves in marine environments may not show the same results. </w:t>
      </w:r>
    </w:p>
    <w:p w14:paraId="23272D18" w14:textId="1FDC6CEE" w:rsidR="00C82788" w:rsidRPr="00B25CD1" w:rsidRDefault="00C82788" w:rsidP="00A04E26">
      <w:pPr>
        <w:pStyle w:val="ListBullet"/>
        <w:numPr>
          <w:ilvl w:val="0"/>
          <w:numId w:val="0"/>
        </w:numPr>
      </w:pPr>
      <w:r w:rsidRPr="00B25CD1">
        <w:t xml:space="preserve">Anaerobic mats may be used as a treatment for benthic organisms and can have similar effects to wrapping. Jute mats have been used to cover and kill the invasive algae </w:t>
      </w:r>
      <w:r w:rsidRPr="00B25CD1">
        <w:rPr>
          <w:i/>
          <w:iCs/>
        </w:rPr>
        <w:t xml:space="preserve">Caulerpa taxifolia </w:t>
      </w:r>
      <w:r w:rsidRPr="00B25CD1">
        <w:t xml:space="preserve">in </w:t>
      </w:r>
      <w:r w:rsidR="00070E64" w:rsidRPr="00B25CD1">
        <w:t>New South Wales and</w:t>
      </w:r>
      <w:r w:rsidRPr="00B25CD1">
        <w:t xml:space="preserve"> subsequently killed all other marine benthic organisms (Creese, Davis &amp; Glasby 2004).</w:t>
      </w:r>
    </w:p>
    <w:p w14:paraId="6A267E19" w14:textId="664BB356" w:rsidR="000E260A" w:rsidRPr="00B25CD1" w:rsidRDefault="00C82788" w:rsidP="00A04E26">
      <w:pPr>
        <w:pStyle w:val="ListBullet"/>
        <w:numPr>
          <w:ilvl w:val="0"/>
          <w:numId w:val="0"/>
        </w:numPr>
      </w:pPr>
      <w:r w:rsidRPr="00B25CD1">
        <w:t xml:space="preserve">The application of smother material to be used is dependent on the seabed or substrate. For example, smothering of flat or gently sloping soft-sediment seabeds with uncontaminated dredge spoil </w:t>
      </w:r>
      <w:r w:rsidR="009B15CE" w:rsidRPr="00A04E26">
        <w:t>had varying effects on</w:t>
      </w:r>
      <w:r w:rsidR="0095789F" w:rsidRPr="00B25CD1">
        <w:t xml:space="preserve"> </w:t>
      </w:r>
      <w:r w:rsidRPr="00B25CD1">
        <w:rPr>
          <w:i/>
          <w:iCs/>
        </w:rPr>
        <w:t>D. vexillum</w:t>
      </w:r>
      <w:r w:rsidRPr="00B25CD1" w:rsidDel="00CF30FC">
        <w:t xml:space="preserve"> </w:t>
      </w:r>
      <w:r w:rsidRPr="00B25CD1">
        <w:t xml:space="preserve">in New Zealand (Coutts 2006; Coutts &amp; Forrest 2007). Geotextile fabric sheets proved to be more suitable for steep gradient rip-rap seabeds as </w:t>
      </w:r>
      <w:r w:rsidR="00F247D7">
        <w:t>geotextile sheets</w:t>
      </w:r>
      <w:r w:rsidR="00F247D7" w:rsidRPr="00B25CD1">
        <w:t xml:space="preserve"> </w:t>
      </w:r>
      <w:r w:rsidRPr="00B25CD1">
        <w:t xml:space="preserve">are unable to hold dredge spoil. </w:t>
      </w:r>
    </w:p>
    <w:p w14:paraId="27F7ABE1" w14:textId="0ACB443B" w:rsidR="00A24071" w:rsidRPr="00B25CD1" w:rsidRDefault="000D7E11" w:rsidP="000D7E11">
      <w:pPr>
        <w:pStyle w:val="Heading4"/>
        <w:numPr>
          <w:ilvl w:val="2"/>
          <w:numId w:val="4"/>
        </w:numPr>
      </w:pPr>
      <w:bookmarkStart w:id="549" w:name="_Chemical_treatment"/>
      <w:bookmarkEnd w:id="549"/>
      <w:r w:rsidRPr="00B25CD1">
        <w:t>Chemical treatment</w:t>
      </w:r>
    </w:p>
    <w:p w14:paraId="343ADD03" w14:textId="0BF9C93B" w:rsidR="00A24071" w:rsidRPr="00846769" w:rsidRDefault="00A24071" w:rsidP="00A04E26">
      <w:pPr>
        <w:pStyle w:val="ListBullet"/>
        <w:numPr>
          <w:ilvl w:val="0"/>
          <w:numId w:val="0"/>
        </w:numPr>
        <w:spacing w:before="0" w:after="200"/>
      </w:pPr>
      <w:r w:rsidRPr="00B25CD1">
        <w:t xml:space="preserve">The dynamic nature of marine environments means that any biocides or chemical agents, such as chlorine, salt, or pesticides released into them are rapidly diluted and dispersed. This is problematic when the agent must be above a threshold level to be lethal. Very </w:t>
      </w:r>
      <w:r w:rsidR="00F247D7">
        <w:t xml:space="preserve">high </w:t>
      </w:r>
      <w:r w:rsidRPr="00B25CD1">
        <w:t xml:space="preserve">concentrations may need to be </w:t>
      </w:r>
      <w:proofErr w:type="gramStart"/>
      <w:r w:rsidRPr="00B25CD1">
        <w:t>released</w:t>
      </w:r>
      <w:proofErr w:type="gramEnd"/>
      <w:r w:rsidRPr="00B25CD1">
        <w:t xml:space="preserve"> or the area may need to be enclosed for the treatment to be effective (</w:t>
      </w:r>
      <w:r w:rsidR="005B6836" w:rsidRPr="00B25CD1">
        <w:t xml:space="preserve">Anderson 2005; </w:t>
      </w:r>
      <w:r w:rsidRPr="00B25CD1">
        <w:t>Ferguson 2000). Conversely, where</w:t>
      </w:r>
      <w:r w:rsidRPr="00846769">
        <w:t xml:space="preserve"> the agent is effective at very low concentrations, rapid dispersion by water may achieve broad dispersal. </w:t>
      </w:r>
    </w:p>
    <w:p w14:paraId="4A45F352" w14:textId="694B6D26" w:rsidR="0086431A" w:rsidRPr="00846769" w:rsidRDefault="0086431A" w:rsidP="00A24071">
      <w:pPr>
        <w:pStyle w:val="ListBullet"/>
        <w:numPr>
          <w:ilvl w:val="0"/>
          <w:numId w:val="0"/>
        </w:numPr>
      </w:pPr>
      <w:r w:rsidRPr="00846769">
        <w:t>Continuous exposure to chemical treatments forces the closure of the bivalve shells cutting off oxygen and food sources. Bivalves can withstand functioning under anaerobic conditions</w:t>
      </w:r>
      <w:r w:rsidR="0084608B">
        <w:t xml:space="preserve"> for </w:t>
      </w:r>
      <w:proofErr w:type="gramStart"/>
      <w:r w:rsidR="0084608B">
        <w:t xml:space="preserve">a period </w:t>
      </w:r>
      <w:r w:rsidR="0084608B">
        <w:lastRenderedPageBreak/>
        <w:t>of time</w:t>
      </w:r>
      <w:proofErr w:type="gramEnd"/>
      <w:r w:rsidR="0084608B">
        <w:t xml:space="preserve">. </w:t>
      </w:r>
      <w:r w:rsidRPr="00846769">
        <w:t>Intermittent exposure</w:t>
      </w:r>
      <w:r w:rsidR="0084608B">
        <w:t xml:space="preserve"> to chemical treatment</w:t>
      </w:r>
      <w:r w:rsidRPr="00846769">
        <w:t xml:space="preserve"> is therefore unlikely to be effective and continuous treatment is required.    </w:t>
      </w:r>
    </w:p>
    <w:p w14:paraId="513D8226" w14:textId="15E7AAFC" w:rsidR="00A24071" w:rsidRPr="00846769" w:rsidRDefault="00A24071" w:rsidP="00A24071">
      <w:pPr>
        <w:rPr>
          <w:rFonts w:cstheme="minorHAnsi"/>
        </w:rPr>
      </w:pPr>
      <w:r w:rsidRPr="00846769">
        <w:rPr>
          <w:rFonts w:cstheme="minorHAnsi"/>
        </w:rPr>
        <w:t>The major considerations for the use of chemical treatments in water bodies</w:t>
      </w:r>
      <w:r w:rsidR="005B6836" w:rsidRPr="00846769">
        <w:rPr>
          <w:rFonts w:cstheme="minorHAnsi"/>
        </w:rPr>
        <w:t xml:space="preserve"> include the following:</w:t>
      </w:r>
    </w:p>
    <w:p w14:paraId="3FB6BF46" w14:textId="77777777" w:rsidR="00A24071" w:rsidRPr="00846769" w:rsidRDefault="00A24071" w:rsidP="00A24071">
      <w:pPr>
        <w:pStyle w:val="ListBullet"/>
      </w:pPr>
      <w:r w:rsidRPr="00846769">
        <w:t>volume of water that needs to be treated (a function of the area, depth, and degree of flushing of the waterway)</w:t>
      </w:r>
    </w:p>
    <w:p w14:paraId="60D4C79B" w14:textId="77777777" w:rsidR="00A24071" w:rsidRPr="00846769" w:rsidRDefault="00A24071" w:rsidP="00A24071">
      <w:pPr>
        <w:pStyle w:val="ListBullet"/>
      </w:pPr>
      <w:r w:rsidRPr="00846769">
        <w:t>presence, susceptibility, and value of non-target organisms that may also be affected</w:t>
      </w:r>
    </w:p>
    <w:p w14:paraId="5DFA63B7" w14:textId="52BA9F6E" w:rsidR="00A24071" w:rsidRPr="00846769" w:rsidRDefault="00A24071" w:rsidP="00A24071">
      <w:pPr>
        <w:pStyle w:val="ListBullet"/>
      </w:pPr>
      <w:r w:rsidRPr="00846769">
        <w:t xml:space="preserve">water quality (e.g. organic matter may consume </w:t>
      </w:r>
      <w:r w:rsidR="00F247D7">
        <w:t xml:space="preserve">or bind some </w:t>
      </w:r>
      <w:r w:rsidRPr="00846769">
        <w:t>chemical</w:t>
      </w:r>
      <w:r w:rsidR="00F247D7">
        <w:t>s</w:t>
      </w:r>
      <w:r w:rsidRPr="00846769">
        <w:t>)</w:t>
      </w:r>
    </w:p>
    <w:p w14:paraId="69D05E96" w14:textId="77777777" w:rsidR="00A24071" w:rsidRPr="00846769" w:rsidRDefault="00A24071" w:rsidP="00A24071">
      <w:pPr>
        <w:pStyle w:val="ListBullet"/>
      </w:pPr>
      <w:r w:rsidRPr="00846769">
        <w:t>residual effects of any toxicants on the surrounding environment and human health</w:t>
      </w:r>
    </w:p>
    <w:p w14:paraId="79C98B09" w14:textId="77777777" w:rsidR="00A24071" w:rsidRPr="00846769" w:rsidRDefault="00A24071" w:rsidP="00A24071">
      <w:pPr>
        <w:pStyle w:val="ListBullet"/>
      </w:pPr>
      <w:r w:rsidRPr="00846769">
        <w:t>safety management when handling large volumes of chemicals.</w:t>
      </w:r>
    </w:p>
    <w:p w14:paraId="43E7E3B6" w14:textId="0CC3822E" w:rsidR="00A24071" w:rsidRPr="00846769" w:rsidRDefault="00A24071" w:rsidP="00A24071">
      <w:pPr>
        <w:pStyle w:val="ListBullet"/>
        <w:numPr>
          <w:ilvl w:val="0"/>
          <w:numId w:val="0"/>
        </w:numPr>
      </w:pPr>
      <w:r w:rsidRPr="00846769">
        <w:t xml:space="preserve">Incident </w:t>
      </w:r>
      <w:r w:rsidR="00A46A3D" w:rsidRPr="00846769">
        <w:t>m</w:t>
      </w:r>
      <w:r w:rsidRPr="00846769">
        <w:t xml:space="preserve">anagers should consider the use of chemical control in aquaculture and the potential for negative effects on future marketability of a product or useability of the infrastructure, </w:t>
      </w:r>
      <w:r w:rsidR="0004422F">
        <w:t>e.g.</w:t>
      </w:r>
      <w:r w:rsidR="008C6900" w:rsidRPr="00846769">
        <w:t xml:space="preserve"> </w:t>
      </w:r>
      <w:r w:rsidRPr="00846769">
        <w:t>copper compounds may inhibit phytoplankton production in ponds.</w:t>
      </w:r>
      <w:r w:rsidR="0086431A" w:rsidRPr="00846769">
        <w:t xml:space="preserve"> </w:t>
      </w:r>
    </w:p>
    <w:p w14:paraId="74E1D97A" w14:textId="6E218AA7" w:rsidR="00E636CF" w:rsidRPr="00846769" w:rsidRDefault="00E636CF" w:rsidP="00E636CF">
      <w:r w:rsidRPr="00DD01E4">
        <w:t>An extensive range of chemicals have been trialled in the laboratory for their efficacy against marine pests (</w:t>
      </w:r>
      <w:proofErr w:type="spellStart"/>
      <w:r w:rsidRPr="00DD01E4">
        <w:t>McEnnulty</w:t>
      </w:r>
      <w:proofErr w:type="spellEnd"/>
      <w:r w:rsidRPr="00DD01E4">
        <w:t xml:space="preserve"> et al. 2001). </w:t>
      </w:r>
      <w:bookmarkStart w:id="550" w:name="_Hlk189250527"/>
      <w:r w:rsidRPr="00DD01E4">
        <w:t>Several</w:t>
      </w:r>
      <w:r w:rsidRPr="00846769">
        <w:t xml:space="preserve"> effective chemicals </w:t>
      </w:r>
      <w:r w:rsidR="0044180A" w:rsidRPr="00846769">
        <w:t xml:space="preserve">for invasive marine bivalves </w:t>
      </w:r>
      <w:r w:rsidRPr="00846769">
        <w:t>are presented below in more detail</w:t>
      </w:r>
      <w:r w:rsidR="0044180A" w:rsidRPr="00846769">
        <w:t>.</w:t>
      </w:r>
      <w:bookmarkEnd w:id="550"/>
    </w:p>
    <w:p w14:paraId="1761132F" w14:textId="77777777" w:rsidR="00E636CF" w:rsidRPr="00846769" w:rsidRDefault="00E636CF" w:rsidP="00E636CF">
      <w:bookmarkStart w:id="551" w:name="_Hlk189251222"/>
      <w:r w:rsidRPr="00846769">
        <w:t xml:space="preserve">Chemicals that have been evaluated for their efficacy against various marine organisms comprise two forms: </w:t>
      </w:r>
    </w:p>
    <w:p w14:paraId="0229C147" w14:textId="4B287D58" w:rsidR="00E636CF" w:rsidRPr="00846769" w:rsidRDefault="00E636CF" w:rsidP="00E636CF">
      <w:pPr>
        <w:pStyle w:val="ListBullet"/>
      </w:pPr>
      <w:r w:rsidRPr="00846769">
        <w:t>oxidising biocides</w:t>
      </w:r>
      <w:r w:rsidR="00A06B9B">
        <w:t xml:space="preserve"> and agents</w:t>
      </w:r>
      <w:r w:rsidRPr="00846769">
        <w:t>:</w:t>
      </w:r>
    </w:p>
    <w:p w14:paraId="16E8740C" w14:textId="1BDC5033" w:rsidR="00E636CF" w:rsidRPr="00846769" w:rsidRDefault="00E636CF" w:rsidP="00E636CF">
      <w:pPr>
        <w:pStyle w:val="ListBullet2"/>
      </w:pPr>
      <w:r w:rsidRPr="00846769">
        <w:t>chlorine (gas, sodium or calcium hypochlorite</w:t>
      </w:r>
      <w:r w:rsidR="0084608B">
        <w:t>, or chlorine dioxide</w:t>
      </w:r>
      <w:r w:rsidRPr="00846769">
        <w:t>)</w:t>
      </w:r>
    </w:p>
    <w:p w14:paraId="6EB8AD20" w14:textId="1F875333" w:rsidR="00E636CF" w:rsidRPr="00846769" w:rsidRDefault="00E636CF" w:rsidP="00E636CF">
      <w:pPr>
        <w:pStyle w:val="ListBullet2"/>
      </w:pPr>
      <w:r w:rsidRPr="00846769">
        <w:t>bromine</w:t>
      </w:r>
      <w:r w:rsidR="00A06B9B">
        <w:t xml:space="preserve"> and </w:t>
      </w:r>
      <w:proofErr w:type="spellStart"/>
      <w:r w:rsidR="00A06B9B">
        <w:t>organobromines</w:t>
      </w:r>
      <w:proofErr w:type="spellEnd"/>
    </w:p>
    <w:p w14:paraId="3DD6A162" w14:textId="77777777" w:rsidR="00E636CF" w:rsidRPr="00846769" w:rsidRDefault="00E636CF" w:rsidP="00E636CF">
      <w:pPr>
        <w:pStyle w:val="ListBullet2"/>
      </w:pPr>
      <w:r w:rsidRPr="00846769">
        <w:t>active halogen compounds</w:t>
      </w:r>
    </w:p>
    <w:p w14:paraId="6DF9F0B5" w14:textId="77777777" w:rsidR="00E636CF" w:rsidRPr="00846769" w:rsidRDefault="00E636CF" w:rsidP="00E636CF">
      <w:pPr>
        <w:pStyle w:val="ListBullet2"/>
      </w:pPr>
      <w:r w:rsidRPr="00846769">
        <w:t>ozone</w:t>
      </w:r>
    </w:p>
    <w:p w14:paraId="2B3F2349" w14:textId="6DFD87C5" w:rsidR="00A06B9B" w:rsidRDefault="00E636CF" w:rsidP="0084608B">
      <w:pPr>
        <w:pStyle w:val="ListBullet2"/>
      </w:pPr>
      <w:r w:rsidRPr="00846769">
        <w:t>hydrogen peroxide</w:t>
      </w:r>
    </w:p>
    <w:p w14:paraId="68CAF958" w14:textId="123E1C22" w:rsidR="00C75554" w:rsidRPr="00846769" w:rsidRDefault="00A06B9B" w:rsidP="00A06B9B">
      <w:pPr>
        <w:pStyle w:val="ListBullet2"/>
      </w:pPr>
      <w:r w:rsidRPr="00846769">
        <w:t xml:space="preserve">mild acids (such as </w:t>
      </w:r>
      <w:r>
        <w:t>acetic acid</w:t>
      </w:r>
      <w:r w:rsidRPr="00846769">
        <w:t>)</w:t>
      </w:r>
    </w:p>
    <w:p w14:paraId="2FC7C902" w14:textId="77777777" w:rsidR="00E636CF" w:rsidRPr="00846769" w:rsidRDefault="00E636CF" w:rsidP="00E636CF">
      <w:pPr>
        <w:pStyle w:val="ListBullet"/>
      </w:pPr>
      <w:r w:rsidRPr="00846769">
        <w:t>non</w:t>
      </w:r>
      <w:r w:rsidRPr="00846769">
        <w:noBreakHyphen/>
        <w:t>oxidisin</w:t>
      </w:r>
      <w:r w:rsidRPr="00C80491">
        <w:t xml:space="preserve">g </w:t>
      </w:r>
      <w:r w:rsidRPr="00B25CD1">
        <w:t>biocides (Jenner et al. 1998):</w:t>
      </w:r>
    </w:p>
    <w:p w14:paraId="1E770EF2" w14:textId="77777777" w:rsidR="00E636CF" w:rsidRPr="00846769" w:rsidRDefault="00E636CF" w:rsidP="00E636CF">
      <w:pPr>
        <w:pStyle w:val="ListBullet2"/>
      </w:pPr>
      <w:r w:rsidRPr="00846769">
        <w:t>aldehydes</w:t>
      </w:r>
    </w:p>
    <w:p w14:paraId="58851CC0" w14:textId="77777777" w:rsidR="00E636CF" w:rsidRPr="00846769" w:rsidRDefault="00E636CF" w:rsidP="00E636CF">
      <w:pPr>
        <w:pStyle w:val="ListBullet2"/>
      </w:pPr>
      <w:r w:rsidRPr="00846769">
        <w:t>amines</w:t>
      </w:r>
    </w:p>
    <w:p w14:paraId="60C4D81E" w14:textId="77777777" w:rsidR="00E636CF" w:rsidRPr="00846769" w:rsidRDefault="00E636CF" w:rsidP="00E636CF">
      <w:pPr>
        <w:pStyle w:val="ListBullet2"/>
      </w:pPr>
      <w:r w:rsidRPr="00846769">
        <w:t>organometals</w:t>
      </w:r>
    </w:p>
    <w:p w14:paraId="7E3A5E66" w14:textId="1F14F1B3" w:rsidR="00E636CF" w:rsidRDefault="00E636CF" w:rsidP="00E636CF">
      <w:pPr>
        <w:pStyle w:val="ListBullet2"/>
      </w:pPr>
      <w:r w:rsidRPr="00846769">
        <w:t>brine or lime</w:t>
      </w:r>
    </w:p>
    <w:p w14:paraId="3980CEAA" w14:textId="3C33DE53" w:rsidR="00A06B9B" w:rsidRDefault="00A06B9B" w:rsidP="00A06B9B">
      <w:pPr>
        <w:pStyle w:val="ListBullet"/>
      </w:pPr>
      <w:r>
        <w:t>Detergents and disinfectants</w:t>
      </w:r>
    </w:p>
    <w:p w14:paraId="0685091A" w14:textId="66395F68" w:rsidR="00A06B9B" w:rsidRPr="00846769" w:rsidRDefault="00A06B9B" w:rsidP="00A06B9B">
      <w:pPr>
        <w:pStyle w:val="ListBullet2"/>
      </w:pPr>
      <w:r w:rsidRPr="00846769">
        <w:t>quaternary ammonium compounds</w:t>
      </w:r>
      <w:r w:rsidR="005631FD">
        <w:t>.</w:t>
      </w:r>
    </w:p>
    <w:p w14:paraId="38ECF0E2" w14:textId="6C6A7C28" w:rsidR="00E636CF" w:rsidRPr="00846769" w:rsidRDefault="00E636CF" w:rsidP="00E636CF">
      <w:pPr>
        <w:pStyle w:val="Heading5"/>
        <w:numPr>
          <w:ilvl w:val="3"/>
          <w:numId w:val="4"/>
        </w:numPr>
      </w:pPr>
      <w:bookmarkStart w:id="552" w:name="_Permits_to_use"/>
      <w:bookmarkEnd w:id="551"/>
      <w:bookmarkEnd w:id="552"/>
      <w:r w:rsidRPr="00846769">
        <w:t>Permits to use chemical treatments</w:t>
      </w:r>
    </w:p>
    <w:p w14:paraId="6BCE0EDC" w14:textId="01891FA5" w:rsidR="008C6900" w:rsidRPr="00846769" w:rsidRDefault="008C6900" w:rsidP="008C6900">
      <w:r w:rsidRPr="00846769">
        <w:t xml:space="preserve">The Australian Pesticides and Veterinary Medicines Authority (APVMA) is the Commonwealth authority responsible for </w:t>
      </w:r>
      <w:r w:rsidR="005A2093">
        <w:t xml:space="preserve">the </w:t>
      </w:r>
      <w:r w:rsidRPr="00846769">
        <w:t xml:space="preserve">assessment and registration of all agricultural and veterinary chemical products in the Australian marketplace. The APVMA contains a list of all approved chemical products that are available in Australia and can be found via the </w:t>
      </w:r>
      <w:hyperlink r:id="rId187">
        <w:r w:rsidRPr="00846769">
          <w:rPr>
            <w:rStyle w:val="Hyperlink"/>
          </w:rPr>
          <w:t xml:space="preserve">APVMA </w:t>
        </w:r>
        <w:proofErr w:type="spellStart"/>
        <w:r w:rsidRPr="00846769">
          <w:rPr>
            <w:rStyle w:val="Hyperlink"/>
          </w:rPr>
          <w:t>PubCRIS</w:t>
        </w:r>
        <w:proofErr w:type="spellEnd"/>
        <w:r w:rsidRPr="00846769">
          <w:rPr>
            <w:rStyle w:val="Hyperlink"/>
          </w:rPr>
          <w:t xml:space="preserve"> database search webpage</w:t>
        </w:r>
      </w:hyperlink>
      <w:r w:rsidRPr="00846769">
        <w:t>. Any required variations to be made to these chemicals must be approved by APVMA.</w:t>
      </w:r>
    </w:p>
    <w:p w14:paraId="3E50DA1D" w14:textId="18A91C73" w:rsidR="008C6900" w:rsidRPr="00846769" w:rsidRDefault="008C6900" w:rsidP="008C6900">
      <w:r w:rsidRPr="00846769">
        <w:lastRenderedPageBreak/>
        <w:t>In most states and territories, registered chemical products must only be used for the purposes specified on the label. Any use of chemicals for the control of invasive marine bivalves is likely to differ from that specified on the label. In these cases, permits need to be sought from APVMA to use chemicals in a different way. APVMA can also consider applications for permits allowing limited use of an unregistered chemical product.</w:t>
      </w:r>
      <w:r w:rsidR="002E0F77" w:rsidRPr="00846769">
        <w:t xml:space="preserve"> The time it will take for a permit to be issued will depend on the nature of the application, </w:t>
      </w:r>
      <w:r w:rsidR="005A2093">
        <w:t>existing risks</w:t>
      </w:r>
      <w:r w:rsidR="002E0F77" w:rsidRPr="00846769">
        <w:t xml:space="preserve">, and </w:t>
      </w:r>
      <w:r w:rsidR="005A2093">
        <w:t>whether</w:t>
      </w:r>
      <w:r w:rsidR="002E0F77" w:rsidRPr="00846769">
        <w:t xml:space="preserve"> the APVMA need</w:t>
      </w:r>
      <w:r w:rsidR="005A2093">
        <w:t>s</w:t>
      </w:r>
      <w:r w:rsidR="002E0F77" w:rsidRPr="00846769">
        <w:t xml:space="preserve"> to seek additional information. For emergency use permits, it can take up to two weeks for permits to be processed, while minor use permits can take up to three months. </w:t>
      </w:r>
    </w:p>
    <w:p w14:paraId="3ECC5431" w14:textId="043779F5" w:rsidR="008C6900" w:rsidRPr="00846769" w:rsidRDefault="008C6900" w:rsidP="008C6900">
      <w:r w:rsidRPr="00846769">
        <w:t xml:space="preserve">In addition to seeking APVMA approval for use of chemicals to control </w:t>
      </w:r>
      <w:r w:rsidR="002E0F77" w:rsidRPr="00846769">
        <w:t xml:space="preserve">invasive </w:t>
      </w:r>
      <w:r w:rsidRPr="00846769">
        <w:t xml:space="preserve">marine bivalves, there will often be other stakeholders </w:t>
      </w:r>
      <w:r w:rsidR="005A2093">
        <w:t>who</w:t>
      </w:r>
      <w:r w:rsidR="005A2093" w:rsidRPr="00846769">
        <w:t xml:space="preserve"> </w:t>
      </w:r>
      <w:r w:rsidRPr="00846769">
        <w:t xml:space="preserve">need to be consulted and consent </w:t>
      </w:r>
      <w:r w:rsidR="005A2093">
        <w:t>to chemical use,</w:t>
      </w:r>
      <w:r w:rsidRPr="00846769">
        <w:t xml:space="preserve"> such as port authorities, local governments</w:t>
      </w:r>
      <w:r w:rsidR="002E0F77" w:rsidRPr="00846769">
        <w:t>,</w:t>
      </w:r>
      <w:r w:rsidRPr="00846769">
        <w:t xml:space="preserve"> </w:t>
      </w:r>
      <w:r w:rsidR="002E0F77" w:rsidRPr="00846769">
        <w:t xml:space="preserve">environmental government agencies, </w:t>
      </w:r>
      <w:r w:rsidRPr="00846769">
        <w:t>and national park</w:t>
      </w:r>
      <w:r w:rsidR="002E0F77" w:rsidRPr="00846769">
        <w:t xml:space="preserve"> managers</w:t>
      </w:r>
      <w:r w:rsidRPr="00846769">
        <w:t xml:space="preserve">. </w:t>
      </w:r>
    </w:p>
    <w:p w14:paraId="303D1DFF" w14:textId="7F0F1746" w:rsidR="00A24071" w:rsidRPr="00846769" w:rsidRDefault="008C6900" w:rsidP="000D7E11">
      <w:pPr>
        <w:pStyle w:val="Heading5"/>
        <w:numPr>
          <w:ilvl w:val="3"/>
          <w:numId w:val="4"/>
        </w:numPr>
      </w:pPr>
      <w:r w:rsidRPr="00846769">
        <w:t>Industrial detergent, disinfectant, or de-scaler</w:t>
      </w:r>
    </w:p>
    <w:p w14:paraId="446EAD06" w14:textId="7EB214E5" w:rsidR="00884F7E" w:rsidRPr="00846769" w:rsidRDefault="008C6900" w:rsidP="008C6900">
      <w:r w:rsidRPr="00846769">
        <w:t xml:space="preserve">Disinfectants and detergents are generic terms used to describe chemical agents or formulations designed to kill microorganisms on surfaces. Quaternary ammonium compounds are found in a variety of cleaning and disinfection productions and have been trialled against </w:t>
      </w:r>
      <w:r w:rsidR="00FE103E" w:rsidRPr="00846769">
        <w:t xml:space="preserve">invasive </w:t>
      </w:r>
      <w:r w:rsidRPr="00846769">
        <w:t xml:space="preserve">marine bivalves (Cahill et al. 2021). Commercial marine detergents, disinfectants, and de-scalers, such as Conquest®, </w:t>
      </w:r>
      <w:proofErr w:type="spellStart"/>
      <w:r w:rsidRPr="00846769">
        <w:t>Quatsan</w:t>
      </w:r>
      <w:proofErr w:type="spellEnd"/>
      <w:r w:rsidRPr="00846769">
        <w:t xml:space="preserve">® or </w:t>
      </w:r>
      <w:proofErr w:type="spellStart"/>
      <w:r w:rsidRPr="00846769">
        <w:t>Rydlyme</w:t>
      </w:r>
      <w:proofErr w:type="spellEnd"/>
      <w:r w:rsidRPr="00846769">
        <w:rPr>
          <w:rFonts w:cstheme="minorHAnsi"/>
        </w:rPr>
        <w:t>®,</w:t>
      </w:r>
      <w:r w:rsidRPr="00846769">
        <w:t xml:space="preserve"> respectively, deteriorate and/or dissolve biofouling and are biodegradable.</w:t>
      </w:r>
    </w:p>
    <w:p w14:paraId="753CA66D" w14:textId="17D109ED" w:rsidR="00FE103E" w:rsidRPr="00846769" w:rsidRDefault="00FE103E" w:rsidP="008C6900">
      <w:r w:rsidRPr="00846769">
        <w:t xml:space="preserve">Conquest® is a highly effective detergent and </w:t>
      </w:r>
      <w:proofErr w:type="spellStart"/>
      <w:r w:rsidR="008C6900" w:rsidRPr="00846769">
        <w:t>Quatsa</w:t>
      </w:r>
      <w:r w:rsidRPr="00846769">
        <w:t>n</w:t>
      </w:r>
      <w:proofErr w:type="spellEnd"/>
      <w:r w:rsidRPr="00846769">
        <w:t>®</w:t>
      </w:r>
      <w:r w:rsidR="008C6900" w:rsidRPr="00846769">
        <w:t xml:space="preserve"> </w:t>
      </w:r>
      <w:r w:rsidRPr="00846769">
        <w:t xml:space="preserve">is highly effective disinfectant that can cause </w:t>
      </w:r>
      <w:r w:rsidRPr="00B25CD1">
        <w:t xml:space="preserve">100% mortality of the fouling mussels </w:t>
      </w:r>
      <w:r w:rsidRPr="00B25CD1">
        <w:rPr>
          <w:i/>
          <w:iCs/>
        </w:rPr>
        <w:t xml:space="preserve">Mytilus </w:t>
      </w:r>
      <w:proofErr w:type="spellStart"/>
      <w:r w:rsidRPr="00B25CD1">
        <w:rPr>
          <w:i/>
          <w:iCs/>
        </w:rPr>
        <w:t>galloprovincialis</w:t>
      </w:r>
      <w:proofErr w:type="spellEnd"/>
      <w:r w:rsidRPr="00B25CD1">
        <w:t xml:space="preserve"> within 14 hours at concentrations of 1% and above (Lewis &amp; Dimas 2007). Similar dosages could be effective against other </w:t>
      </w:r>
      <w:proofErr w:type="spellStart"/>
      <w:r w:rsidRPr="00B25CD1">
        <w:t>mytilid</w:t>
      </w:r>
      <w:proofErr w:type="spellEnd"/>
      <w:r w:rsidRPr="00B25CD1">
        <w:t xml:space="preserve"> mussels like </w:t>
      </w:r>
      <w:r w:rsidRPr="00B25CD1">
        <w:rPr>
          <w:i/>
          <w:iCs/>
        </w:rPr>
        <w:t xml:space="preserve">Mytella strigata. </w:t>
      </w:r>
      <w:r w:rsidR="00884F7E" w:rsidRPr="00B25CD1">
        <w:t>However,</w:t>
      </w:r>
      <w:r w:rsidRPr="00B25CD1">
        <w:t xml:space="preserve"> 100 ppt </w:t>
      </w:r>
      <w:proofErr w:type="spellStart"/>
      <w:r w:rsidRPr="00B25CD1">
        <w:t>Quatsan</w:t>
      </w:r>
      <w:proofErr w:type="spellEnd"/>
      <w:r w:rsidRPr="00B25CD1">
        <w:t xml:space="preserve">® for up to 12 hours was ineffective against adult </w:t>
      </w:r>
      <w:r w:rsidRPr="00B25CD1">
        <w:rPr>
          <w:i/>
          <w:iCs/>
        </w:rPr>
        <w:t xml:space="preserve">Saccostrea glomerata </w:t>
      </w:r>
      <w:r w:rsidRPr="00B25CD1">
        <w:t>(Neil &amp; Stafford 2005), suggesting that stronger concentrations may be needed for more resilient bivalves or is an ineffective</w:t>
      </w:r>
      <w:r w:rsidRPr="00846769">
        <w:t xml:space="preserve"> treatment option for them. Specific detergent regimes will be needed before treating an invasive marine bivalve.</w:t>
      </w:r>
    </w:p>
    <w:p w14:paraId="1744B31C" w14:textId="087CDD06" w:rsidR="008C6900" w:rsidRPr="00846769" w:rsidRDefault="008C6900" w:rsidP="008C6900">
      <w:proofErr w:type="spellStart"/>
      <w:r w:rsidRPr="00846769">
        <w:t>Rydlyme</w:t>
      </w:r>
      <w:proofErr w:type="spellEnd"/>
      <w:r w:rsidRPr="00846769">
        <w:rPr>
          <w:rFonts w:cstheme="minorHAnsi"/>
        </w:rPr>
        <w:t>®</w:t>
      </w:r>
      <w:r w:rsidRPr="00846769">
        <w:t xml:space="preserve"> at 25% concentration for 14 hours is the recommended application time to dissolve significant mussel growth </w:t>
      </w:r>
      <w:r w:rsidRPr="005F7F32">
        <w:t>(Lewis &amp; Dimas 2007). A linear</w:t>
      </w:r>
      <w:r w:rsidRPr="00846769">
        <w:t xml:space="preserve"> relationship between the level of fouling and the volume of </w:t>
      </w:r>
      <w:proofErr w:type="spellStart"/>
      <w:r w:rsidRPr="00846769">
        <w:t>Rydlyme</w:t>
      </w:r>
      <w:proofErr w:type="spellEnd"/>
      <w:r w:rsidRPr="00846769">
        <w:rPr>
          <w:rFonts w:cstheme="minorHAnsi"/>
        </w:rPr>
        <w:t>®</w:t>
      </w:r>
      <w:r w:rsidRPr="00846769">
        <w:t xml:space="preserve"> required to digest fouling has been developed </w:t>
      </w:r>
      <w:r w:rsidRPr="005F7F32">
        <w:t xml:space="preserve">for this treatment (Lewis &amp; Dimas 2007). </w:t>
      </w:r>
      <w:proofErr w:type="spellStart"/>
      <w:r w:rsidRPr="005F7F32">
        <w:t>Rydlyme</w:t>
      </w:r>
      <w:proofErr w:type="spellEnd"/>
      <w:r w:rsidRPr="00846769">
        <w:rPr>
          <w:rFonts w:cstheme="minorHAnsi"/>
        </w:rPr>
        <w:t>®</w:t>
      </w:r>
      <w:r w:rsidRPr="00846769">
        <w:t xml:space="preserve"> may dissolve growth in this period, whereas other preparations may weaken it but not dissolve it.</w:t>
      </w:r>
    </w:p>
    <w:p w14:paraId="4197F7E3" w14:textId="77777777" w:rsidR="008C6900" w:rsidRPr="00846769" w:rsidRDefault="008C6900" w:rsidP="008C6900">
      <w:r w:rsidRPr="00846769">
        <w:t>Consultation with vessel or infrastructure owners needs to be considered as some of these preparations have been associated with damage to internal seawater systems. Toxicity of detergents, disinfectants, and de-scalers need to be considered prior to use.</w:t>
      </w:r>
    </w:p>
    <w:p w14:paraId="2C3563DC" w14:textId="0080D161" w:rsidR="008C6900" w:rsidRPr="00846769" w:rsidRDefault="0086431A" w:rsidP="000D7E11">
      <w:pPr>
        <w:pStyle w:val="Heading5"/>
        <w:numPr>
          <w:ilvl w:val="3"/>
          <w:numId w:val="4"/>
        </w:numPr>
      </w:pPr>
      <w:r w:rsidRPr="00846769">
        <w:lastRenderedPageBreak/>
        <w:t>Chlorine</w:t>
      </w:r>
    </w:p>
    <w:p w14:paraId="6FD5197F" w14:textId="5C27C990" w:rsidR="0086431A" w:rsidRPr="00846769" w:rsidRDefault="0086431A" w:rsidP="0086431A">
      <w:pPr>
        <w:keepNext/>
        <w:keepLines/>
      </w:pPr>
      <w:r w:rsidRPr="00846769">
        <w:t xml:space="preserve">Chlorination is the most common form of chemical </w:t>
      </w:r>
      <w:r w:rsidR="00F201D1">
        <w:t>treatment</w:t>
      </w:r>
      <w:r w:rsidR="00F201D1" w:rsidRPr="00846769">
        <w:t xml:space="preserve"> </w:t>
      </w:r>
      <w:r w:rsidRPr="00846769">
        <w:t xml:space="preserve">used in enclosed water systems because of its </w:t>
      </w:r>
      <w:r w:rsidR="005A2093">
        <w:t>cost</w:t>
      </w:r>
      <w:r w:rsidRPr="00846769">
        <w:t xml:space="preserve">, availability, and wide-spectrum efficacy. </w:t>
      </w:r>
      <w:bookmarkStart w:id="553" w:name="_Hlk189257520"/>
      <w:r w:rsidRPr="00846769">
        <w:t>Chlorine breaks down naturally and has minimal long-term effects on the environment. Exposure to light, elevated temperatures, and reaction with organic compounds in the water accelerates the reduction in chlorine concentration. For this reason, it is important to monitor levels of ‘free available chlorine’ in the treated area, as often as every fifteen to thirty minutes initially.</w:t>
      </w:r>
      <w:bookmarkEnd w:id="553"/>
    </w:p>
    <w:p w14:paraId="5D400429" w14:textId="7D6C78B1" w:rsidR="0086431A" w:rsidRPr="00846769" w:rsidRDefault="00F201D1" w:rsidP="0086431A">
      <w:pPr>
        <w:keepNext/>
      </w:pPr>
      <w:r>
        <w:t>Chlorination</w:t>
      </w:r>
      <w:r w:rsidR="0086431A" w:rsidRPr="00846769">
        <w:t xml:space="preserve"> does have some inherent problems associated with its use:</w:t>
      </w:r>
    </w:p>
    <w:p w14:paraId="7BEC8FCD" w14:textId="77777777" w:rsidR="0086431A" w:rsidRPr="00B25CD1" w:rsidRDefault="0086431A" w:rsidP="0086431A">
      <w:pPr>
        <w:pStyle w:val="ListBullet"/>
        <w:keepLines/>
      </w:pPr>
      <w:r w:rsidRPr="00B25CD1">
        <w:t>impacts on non-target organisms</w:t>
      </w:r>
    </w:p>
    <w:p w14:paraId="3D55B5CA" w14:textId="36C348F5" w:rsidR="0086431A" w:rsidRPr="00B25CD1" w:rsidRDefault="0086431A" w:rsidP="0086431A">
      <w:pPr>
        <w:pStyle w:val="ListBullet"/>
        <w:keepLines/>
      </w:pPr>
      <w:r w:rsidRPr="00B25CD1">
        <w:t>non-uniform distribution of residual chlorine (</w:t>
      </w:r>
      <w:r w:rsidR="00DD01E4" w:rsidRPr="00B25CD1">
        <w:t xml:space="preserve">Rajagopal et al. 2003a; Rajagopal et al. 2003b; </w:t>
      </w:r>
      <w:r w:rsidRPr="00B25CD1">
        <w:t>Rajagopal et al. 2006)</w:t>
      </w:r>
    </w:p>
    <w:p w14:paraId="1C2BEC36" w14:textId="77777777" w:rsidR="0086431A" w:rsidRPr="00B25CD1" w:rsidRDefault="0086431A" w:rsidP="0086431A">
      <w:pPr>
        <w:pStyle w:val="ListBullet"/>
        <w:keepLines/>
      </w:pPr>
      <w:r w:rsidRPr="00B25CD1">
        <w:t>hazards of handling chlorine gas cylinders or concentrated chlorine solution</w:t>
      </w:r>
    </w:p>
    <w:p w14:paraId="5C4A0E76" w14:textId="14F013E0" w:rsidR="008C6900" w:rsidRPr="00B25CD1" w:rsidRDefault="0086431A" w:rsidP="000D7E11">
      <w:pPr>
        <w:pStyle w:val="ListBullet"/>
        <w:keepLines/>
      </w:pPr>
      <w:r w:rsidRPr="00B25CD1">
        <w:t>difficulty in maintaining chlorination plants in the operational area.</w:t>
      </w:r>
    </w:p>
    <w:p w14:paraId="1D60AEAC" w14:textId="6BA99353" w:rsidR="0086431A" w:rsidRPr="00B25CD1" w:rsidRDefault="0086431A" w:rsidP="008C6900">
      <w:pPr>
        <w:pStyle w:val="ListBullet"/>
        <w:numPr>
          <w:ilvl w:val="0"/>
          <w:numId w:val="0"/>
        </w:numPr>
      </w:pPr>
      <w:r w:rsidRPr="00B25CD1">
        <w:t>Morrisey et al. (2016) recommended that a dose of 200 ppm chlorine for at least four hours is effective</w:t>
      </w:r>
      <w:r w:rsidR="007F2EA0" w:rsidRPr="00B25CD1">
        <w:t xml:space="preserve"> against invasive marine bivalves</w:t>
      </w:r>
      <w:r w:rsidRPr="00B25CD1">
        <w:t xml:space="preserve">. This dose and length of time was effective against </w:t>
      </w:r>
      <w:r w:rsidRPr="00B25CD1">
        <w:rPr>
          <w:i/>
        </w:rPr>
        <w:t>M.</w:t>
      </w:r>
      <w:r w:rsidR="00F247D7">
        <w:rPr>
          <w:i/>
        </w:rPr>
        <w:t> </w:t>
      </w:r>
      <w:r w:rsidRPr="00B25CD1">
        <w:rPr>
          <w:i/>
        </w:rPr>
        <w:t xml:space="preserve">gigas </w:t>
      </w:r>
      <w:r w:rsidRPr="00B25CD1">
        <w:t xml:space="preserve">and </w:t>
      </w:r>
      <w:r w:rsidR="005A2093" w:rsidRPr="00B25CD1">
        <w:t xml:space="preserve">may </w:t>
      </w:r>
      <w:r w:rsidRPr="00B25CD1">
        <w:t xml:space="preserve">be for other bivalves. </w:t>
      </w:r>
      <w:r w:rsidR="00081D7E" w:rsidRPr="00B25CD1">
        <w:t xml:space="preserve">However, in </w:t>
      </w:r>
      <w:r w:rsidR="00081D7E" w:rsidRPr="00B25CD1">
        <w:rPr>
          <w:i/>
          <w:iCs/>
        </w:rPr>
        <w:t xml:space="preserve">Mytilopsis sallei, </w:t>
      </w:r>
      <w:r w:rsidR="00081D7E" w:rsidRPr="00B25CD1">
        <w:t xml:space="preserve">longer chlorine treatments may be needed </w:t>
      </w:r>
      <w:r w:rsidR="00F247D7">
        <w:t xml:space="preserve">because </w:t>
      </w:r>
      <w:r w:rsidR="00081D7E" w:rsidRPr="00B25CD1">
        <w:t>four hour</w:t>
      </w:r>
      <w:r w:rsidR="007F2EA0" w:rsidRPr="00B25CD1">
        <w:t>s</w:t>
      </w:r>
      <w:r w:rsidR="00081D7E" w:rsidRPr="00B25CD1">
        <w:t xml:space="preserve"> was not effective (Bax et al. 2002).</w:t>
      </w:r>
    </w:p>
    <w:p w14:paraId="0ECB6BE9" w14:textId="571994E9" w:rsidR="00081D7E" w:rsidRPr="00B25CD1" w:rsidRDefault="0086431A" w:rsidP="00081D7E">
      <w:r w:rsidRPr="00B25CD1">
        <w:t xml:space="preserve">Chlorine was </w:t>
      </w:r>
      <w:r w:rsidR="007F2EA0" w:rsidRPr="00B25CD1">
        <w:t>used to assist with eradication</w:t>
      </w:r>
      <w:r w:rsidRPr="00B25CD1">
        <w:t xml:space="preserve"> of </w:t>
      </w:r>
      <w:r w:rsidRPr="00B25CD1">
        <w:rPr>
          <w:i/>
        </w:rPr>
        <w:t>M</w:t>
      </w:r>
      <w:r w:rsidR="007F2EA0" w:rsidRPr="00B25CD1">
        <w:rPr>
          <w:i/>
        </w:rPr>
        <w:t>.</w:t>
      </w:r>
      <w:r w:rsidRPr="00B25CD1">
        <w:rPr>
          <w:i/>
        </w:rPr>
        <w:t xml:space="preserve"> sallei </w:t>
      </w:r>
      <w:r w:rsidRPr="00B25CD1">
        <w:t>after its incursion into three locked marinas in Darwin</w:t>
      </w:r>
      <w:r w:rsidR="007F2EA0" w:rsidRPr="00B25CD1">
        <w:t>, Northern Territory</w:t>
      </w:r>
      <w:r w:rsidRPr="00B25CD1">
        <w:t xml:space="preserve"> (Ferguson 2000). The entire 600 million litres of sea water in the 12-hectare Cullen Bay Marina and Lock</w:t>
      </w:r>
      <w:r w:rsidR="00081D7E" w:rsidRPr="00B25CD1">
        <w:t xml:space="preserve"> in Darwin</w:t>
      </w:r>
      <w:r w:rsidRPr="00B25CD1">
        <w:t xml:space="preserve"> were treated with liquid sodium hypochlorite. Chlorine was selected because it had been successfully used to control a related mussel</w:t>
      </w:r>
      <w:r w:rsidR="00F247D7">
        <w:t>,</w:t>
      </w:r>
      <w:r w:rsidRPr="00B25CD1">
        <w:t xml:space="preserve"> </w:t>
      </w:r>
      <w:proofErr w:type="spellStart"/>
      <w:r w:rsidRPr="00B25CD1">
        <w:rPr>
          <w:i/>
        </w:rPr>
        <w:t>Dreissena</w:t>
      </w:r>
      <w:proofErr w:type="spellEnd"/>
      <w:r w:rsidRPr="00B25CD1">
        <w:rPr>
          <w:i/>
        </w:rPr>
        <w:t xml:space="preserve"> polymorpha</w:t>
      </w:r>
      <w:r w:rsidR="00F247D7">
        <w:rPr>
          <w:i/>
        </w:rPr>
        <w:t>,</w:t>
      </w:r>
      <w:r w:rsidRPr="00B25CD1">
        <w:rPr>
          <w:i/>
        </w:rPr>
        <w:t xml:space="preserve"> </w:t>
      </w:r>
      <w:r w:rsidRPr="00B25CD1">
        <w:t xml:space="preserve">in the USA (Bax et al. 2002). Several thousand tonnes of sodium hypochlorite were added directly to Cullen Bay Marina to achieve a concentration of 10 mg/L. Large pumps were used to control chlorine dispersion and avoid stratification. Laboratory trials indicated that mortality was likely if the concentration of chlorine could be increased to 24 mg/L and maintained for &gt;90 hours (Bax et al. 2002). A concentration this high for that long was unachievable because of the volume of water that required treating. Therefore, powdered copper sulphate (equivalent to 0.5 mg/L in solution) was subsequently used in conjunction with the sodium hypochlorite in the marina to kill the mussels. The treatment regime was used for six days, and the mussels were eliminated successfully. </w:t>
      </w:r>
    </w:p>
    <w:p w14:paraId="6471F62F" w14:textId="6E725D67" w:rsidR="00081D7E" w:rsidRPr="00846769" w:rsidRDefault="00081D7E" w:rsidP="00081D7E">
      <w:pPr>
        <w:rPr>
          <w:rFonts w:cstheme="minorHAnsi"/>
        </w:rPr>
      </w:pPr>
      <w:r w:rsidRPr="00B25CD1">
        <w:rPr>
          <w:rFonts w:cstheme="minorHAnsi"/>
        </w:rPr>
        <w:t xml:space="preserve">Although successful in eradicating </w:t>
      </w:r>
      <w:r w:rsidRPr="00B25CD1">
        <w:rPr>
          <w:rFonts w:cstheme="minorHAnsi"/>
          <w:i/>
          <w:iCs/>
        </w:rPr>
        <w:t>M. sallei</w:t>
      </w:r>
      <w:r w:rsidRPr="00B25CD1">
        <w:rPr>
          <w:rFonts w:cstheme="minorHAnsi"/>
        </w:rPr>
        <w:t xml:space="preserve">, the high concentration of chlorine used for that length of time killed all marine organisms in the </w:t>
      </w:r>
      <w:r w:rsidR="00F201D1" w:rsidRPr="00B25CD1">
        <w:rPr>
          <w:rFonts w:cstheme="minorHAnsi"/>
        </w:rPr>
        <w:t>marina and</w:t>
      </w:r>
      <w:r w:rsidRPr="00B25CD1">
        <w:rPr>
          <w:rFonts w:cstheme="minorHAnsi"/>
        </w:rPr>
        <w:t xml:space="preserve"> demonstrates potential ecological impacts. However, this was balanced against the potential negative impact </w:t>
      </w:r>
      <w:r w:rsidRPr="00B25CD1">
        <w:rPr>
          <w:rFonts w:cstheme="minorHAnsi"/>
          <w:i/>
          <w:iCs/>
        </w:rPr>
        <w:t xml:space="preserve">M. sallei </w:t>
      </w:r>
      <w:r w:rsidRPr="00B25CD1">
        <w:rPr>
          <w:rFonts w:cstheme="minorHAnsi"/>
        </w:rPr>
        <w:t>could have on the environment, fisheries, and marine infrastructure if the invasive mussel population were to become established (Summerson et al. 2013).</w:t>
      </w:r>
    </w:p>
    <w:p w14:paraId="118603FE" w14:textId="156A33E6" w:rsidR="00081D7E" w:rsidRPr="00846769" w:rsidRDefault="00081D7E" w:rsidP="00081D7E">
      <w:pPr>
        <w:pStyle w:val="Heading5"/>
        <w:numPr>
          <w:ilvl w:val="3"/>
          <w:numId w:val="4"/>
        </w:numPr>
      </w:pPr>
      <w:r w:rsidRPr="00846769">
        <w:t>Acetic acid</w:t>
      </w:r>
    </w:p>
    <w:p w14:paraId="0E372F38" w14:textId="4E1F9B18" w:rsidR="00081D7E" w:rsidRPr="00846769" w:rsidRDefault="00081D7E" w:rsidP="00081D7E">
      <w:bookmarkStart w:id="554" w:name="_Hlk189257195"/>
      <w:r w:rsidRPr="00846769">
        <w:t xml:space="preserve">Acetic acid has low selectivity and is suitable for immersion and enhancing the effect of desiccation, wrapping, and encapsulating. Immersion at 4% acetic acid (in sea water) for 1 minute removes soft-bodied fouling organisms from shellfish seed </w:t>
      </w:r>
      <w:r w:rsidRPr="00400F7D">
        <w:t>stock (Forrest, Hopkins &amp; Gardner 2007).</w:t>
      </w:r>
      <w:r w:rsidRPr="005F7F32">
        <w:t xml:space="preserve"> </w:t>
      </w:r>
      <w:bookmarkStart w:id="555" w:name="_Hlk189257251"/>
      <w:bookmarkEnd w:id="554"/>
      <w:r w:rsidRPr="005F7F32">
        <w:t xml:space="preserve">Effectiveness of acetic acid is dependent on concentration and immersion time. Low concentrations of acetic acid </w:t>
      </w:r>
      <w:r w:rsidRPr="005F7F32">
        <w:lastRenderedPageBreak/>
        <w:t>(4%) are equivalent to domestic vinegar and do not represent significant environmental or occupational risks if handled appropriately (Forrest, Hopkins &amp; Gardner 2007).</w:t>
      </w:r>
      <w:r w:rsidRPr="00846769">
        <w:t xml:space="preserve"> When treating aquaculture stock, it is important to understand the minimum time required to remove the marine pest and minimise stock mortality.</w:t>
      </w:r>
      <w:bookmarkEnd w:id="555"/>
    </w:p>
    <w:p w14:paraId="761B2319" w14:textId="70D2018C" w:rsidR="00081D7E" w:rsidRPr="00B25CD1" w:rsidRDefault="00081D7E" w:rsidP="00081D7E">
      <w:r w:rsidRPr="00846769">
        <w:t xml:space="preserve">Exposure to 100 ppt acetic acid for 12 hours </w:t>
      </w:r>
      <w:r w:rsidRPr="00DD01E4">
        <w:t xml:space="preserve">killed around 75% of the oyster </w:t>
      </w:r>
      <w:r w:rsidRPr="00DD01E4">
        <w:rPr>
          <w:i/>
          <w:iCs/>
        </w:rPr>
        <w:t>S</w:t>
      </w:r>
      <w:r w:rsidR="0096081C" w:rsidRPr="00DD01E4">
        <w:rPr>
          <w:i/>
          <w:iCs/>
        </w:rPr>
        <w:t xml:space="preserve">. </w:t>
      </w:r>
      <w:r w:rsidRPr="00DD01E4">
        <w:rPr>
          <w:i/>
          <w:iCs/>
        </w:rPr>
        <w:t xml:space="preserve">glomerata </w:t>
      </w:r>
      <w:r w:rsidRPr="00DD01E4">
        <w:t xml:space="preserve">(Neil &amp; </w:t>
      </w:r>
      <w:r w:rsidRPr="00B25CD1">
        <w:t xml:space="preserve">Stafford 2005). Although </w:t>
      </w:r>
      <w:r w:rsidRPr="00B25CD1">
        <w:rPr>
          <w:i/>
          <w:iCs/>
        </w:rPr>
        <w:t xml:space="preserve">S. glomerata </w:t>
      </w:r>
      <w:r w:rsidRPr="00B25CD1">
        <w:t xml:space="preserve">is native to Australia, the concentration and exposure time used by Neil and Stafford (2005) could be applied to other bivalves, including other oysters such as </w:t>
      </w:r>
      <w:r w:rsidRPr="00B25CD1">
        <w:rPr>
          <w:i/>
          <w:iCs/>
        </w:rPr>
        <w:t xml:space="preserve">M. gigas </w:t>
      </w:r>
      <w:r w:rsidRPr="00B25CD1">
        <w:t xml:space="preserve">and </w:t>
      </w:r>
      <w:r w:rsidRPr="00B25CD1">
        <w:rPr>
          <w:i/>
          <w:iCs/>
        </w:rPr>
        <w:t>M. bilineata</w:t>
      </w:r>
      <w:r w:rsidRPr="00B25CD1">
        <w:t xml:space="preserve">. Similar work with acetic acid showed that encapsulation with 40 ppt acetic acid resulted in 100% mortality of the mussel </w:t>
      </w:r>
      <w:proofErr w:type="spellStart"/>
      <w:r w:rsidRPr="00B25CD1">
        <w:rPr>
          <w:i/>
          <w:iCs/>
        </w:rPr>
        <w:t>Semimytilus</w:t>
      </w:r>
      <w:proofErr w:type="spellEnd"/>
      <w:r w:rsidRPr="00B25CD1">
        <w:rPr>
          <w:i/>
          <w:iCs/>
        </w:rPr>
        <w:t xml:space="preserve"> </w:t>
      </w:r>
      <w:proofErr w:type="spellStart"/>
      <w:r w:rsidRPr="00B25CD1">
        <w:rPr>
          <w:i/>
          <w:iCs/>
        </w:rPr>
        <w:t>algosus</w:t>
      </w:r>
      <w:proofErr w:type="spellEnd"/>
      <w:r w:rsidRPr="00B25CD1">
        <w:t xml:space="preserve"> within 24 hours (</w:t>
      </w:r>
      <w:proofErr w:type="spellStart"/>
      <w:r w:rsidRPr="00B25CD1">
        <w:t>Keanly</w:t>
      </w:r>
      <w:proofErr w:type="spellEnd"/>
      <w:r w:rsidRPr="00B25CD1">
        <w:t xml:space="preserve"> &amp; Robinson 2020).</w:t>
      </w:r>
    </w:p>
    <w:p w14:paraId="7B484406" w14:textId="55CB751D" w:rsidR="00081D7E" w:rsidRPr="00B25CD1" w:rsidRDefault="00081D7E" w:rsidP="00081D7E">
      <w:pPr>
        <w:pStyle w:val="Heading5"/>
        <w:numPr>
          <w:ilvl w:val="3"/>
          <w:numId w:val="4"/>
        </w:numPr>
      </w:pPr>
      <w:r w:rsidRPr="00B25CD1">
        <w:t>Copper sulphate</w:t>
      </w:r>
    </w:p>
    <w:p w14:paraId="307C857F" w14:textId="6385BD34" w:rsidR="00A24071" w:rsidRPr="00846769" w:rsidRDefault="00081D7E" w:rsidP="00A04E26">
      <w:pPr>
        <w:pStyle w:val="ListBullet"/>
        <w:numPr>
          <w:ilvl w:val="0"/>
          <w:numId w:val="0"/>
        </w:numPr>
        <w:spacing w:before="0" w:after="200"/>
      </w:pPr>
      <w:r w:rsidRPr="00B25CD1">
        <w:t xml:space="preserve">This treatment will be most suited to closed waterways, internal water systems and aquaculture equipment removed from the water. A trial of copper sulphate (Cu 1.5 mg/L) used in combination with chlorine in the infested Cullen Bay Marina, Darwin, resulted in 100% mortality of </w:t>
      </w:r>
      <w:r w:rsidRPr="00B25CD1">
        <w:rPr>
          <w:i/>
        </w:rPr>
        <w:t>M. sallei</w:t>
      </w:r>
      <w:r w:rsidRPr="00B25CD1">
        <w:t>. Copper sulphate powder was dissolved in a road construction watering truck tank and hosed over the water surface of the ‘mixed’ marina (</w:t>
      </w:r>
      <w:proofErr w:type="spellStart"/>
      <w:r w:rsidRPr="00B25CD1">
        <w:rPr>
          <w:lang w:eastAsia="ja-JP"/>
        </w:rPr>
        <w:t>McEnnulty</w:t>
      </w:r>
      <w:proofErr w:type="spellEnd"/>
      <w:r w:rsidRPr="00B25CD1">
        <w:rPr>
          <w:lang w:eastAsia="ja-JP"/>
        </w:rPr>
        <w:t xml:space="preserve">, Jones &amp; Bax </w:t>
      </w:r>
      <w:r w:rsidRPr="00B25CD1">
        <w:t>2001). Copper</w:t>
      </w:r>
      <w:r w:rsidRPr="00846769">
        <w:t xml:space="preserve"> sulphate’s low specificity and persistence in the environment should be considered when weighing up treatment options. Copper sulphate can have environmental impacts and may be regulated by legislation or by the waterway managers. Copper may remain in the system and be reactivated when conditions permit, and even low concentrations can affect phytoplankton.</w:t>
      </w:r>
    </w:p>
    <w:p w14:paraId="23A31184" w14:textId="0D45AA79" w:rsidR="00CA4FFA" w:rsidRPr="00846769" w:rsidRDefault="00CA4FFA" w:rsidP="00CA4FFA">
      <w:pPr>
        <w:pStyle w:val="Heading5"/>
        <w:numPr>
          <w:ilvl w:val="3"/>
          <w:numId w:val="4"/>
        </w:numPr>
      </w:pPr>
      <w:proofErr w:type="spellStart"/>
      <w:r w:rsidRPr="00846769">
        <w:t>BioBullets</w:t>
      </w:r>
      <w:proofErr w:type="spellEnd"/>
    </w:p>
    <w:p w14:paraId="246C3D59" w14:textId="67D53639" w:rsidR="00CA4FFA" w:rsidRPr="00846769" w:rsidRDefault="000D7E11" w:rsidP="000D7E11">
      <w:r w:rsidRPr="00846769">
        <w:t xml:space="preserve">A commercial biotechnology company, </w:t>
      </w:r>
      <w:hyperlink r:id="rId188" w:history="1">
        <w:proofErr w:type="spellStart"/>
        <w:r w:rsidRPr="00846769">
          <w:t>BioBullets</w:t>
        </w:r>
        <w:proofErr w:type="spellEnd"/>
      </w:hyperlink>
      <w:r w:rsidRPr="00846769">
        <w:t xml:space="preserve">, manufactures encapsulated actives specific for controlling bivalve molluscs. The active chemicals are not supplied; instead, dosing programmes are tailored depending on the target organism and its environment. In principle, </w:t>
      </w:r>
      <w:proofErr w:type="spellStart"/>
      <w:r w:rsidRPr="00846769">
        <w:t>BioBullets</w:t>
      </w:r>
      <w:proofErr w:type="spellEnd"/>
      <w:r w:rsidRPr="00846769">
        <w:t xml:space="preserve"> are encapsulated active compounds designed to mimic natural food items that are taken up by filter feeding bivalves. They are considered safe for use in drinking water facilities, do not bioaccumulate, and degrade within the environment within a few hours of entering the water. Laboratory exposures demonstrated that two formulations effectively controlled the invasive Gulf wedge clam </w:t>
      </w:r>
      <w:proofErr w:type="spellStart"/>
      <w:r w:rsidRPr="00846769">
        <w:rPr>
          <w:i/>
          <w:iCs/>
        </w:rPr>
        <w:t>Rangia</w:t>
      </w:r>
      <w:proofErr w:type="spellEnd"/>
      <w:r w:rsidRPr="00846769">
        <w:rPr>
          <w:i/>
          <w:iCs/>
        </w:rPr>
        <w:t xml:space="preserve"> cuneata</w:t>
      </w:r>
      <w:r w:rsidRPr="00846769">
        <w:t>. A single dose of 2</w:t>
      </w:r>
      <w:r w:rsidR="003E0CB9">
        <w:rPr>
          <w:rFonts w:cstheme="minorHAnsi"/>
        </w:rPr>
        <w:t>‒</w:t>
      </w:r>
      <w:r w:rsidRPr="00846769">
        <w:t xml:space="preserve">6 mg/L of the active ingredient in a static system achieved 90% morality after 30 days of </w:t>
      </w:r>
      <w:r w:rsidRPr="00B25CD1">
        <w:t xml:space="preserve">exposure (Tang &amp; Aldridge 2019). </w:t>
      </w:r>
      <w:proofErr w:type="spellStart"/>
      <w:r w:rsidRPr="00B25CD1">
        <w:t>BioBullets</w:t>
      </w:r>
      <w:proofErr w:type="spellEnd"/>
      <w:r w:rsidRPr="00DD01E4">
        <w:t xml:space="preserve"> are promising as a treatment option, however, </w:t>
      </w:r>
      <w:r w:rsidR="00375ED3">
        <w:t>this method</w:t>
      </w:r>
      <w:r w:rsidRPr="00DD01E4">
        <w:t xml:space="preserve"> remains to be fully assessed under field conditions in the marine environment. It may also be ineffective at treating bivalve populations in large open systems. It could be effective however at controlling populations in closed or semi-closed systems. For instance, Tang and Aldridge (2019) estimate</w:t>
      </w:r>
      <w:r w:rsidRPr="00846769">
        <w:t xml:space="preserve"> that </w:t>
      </w:r>
      <w:proofErr w:type="gramStart"/>
      <w:r w:rsidRPr="00846769">
        <w:t>in order to</w:t>
      </w:r>
      <w:proofErr w:type="gramEnd"/>
      <w:r w:rsidRPr="00846769">
        <w:t xml:space="preserve"> treat the entire 10.4 km drainage channel occupied by </w:t>
      </w:r>
      <w:r w:rsidRPr="00846769">
        <w:rPr>
          <w:i/>
          <w:iCs/>
        </w:rPr>
        <w:t xml:space="preserve">R. cuneata </w:t>
      </w:r>
      <w:r w:rsidRPr="00846769">
        <w:t xml:space="preserve">in the United Kingdom would require 4.7 tonnes of </w:t>
      </w:r>
      <w:proofErr w:type="spellStart"/>
      <w:r w:rsidRPr="00846769">
        <w:t>BioBullets</w:t>
      </w:r>
      <w:proofErr w:type="spellEnd"/>
      <w:r w:rsidRPr="00846769">
        <w:t xml:space="preserve"> with an active concentration of 10 mg/L. </w:t>
      </w:r>
      <w:r w:rsidRPr="00DD01E4">
        <w:t>Tang and Aldridge (2019) concluded</w:t>
      </w:r>
      <w:r w:rsidRPr="00846769">
        <w:t xml:space="preserve"> that this is ecologically and logistically feasible. </w:t>
      </w:r>
    </w:p>
    <w:p w14:paraId="1C8D0F16" w14:textId="28CD6665" w:rsidR="00CA4FFA" w:rsidRPr="00846769" w:rsidRDefault="00CA4FFA" w:rsidP="00CA4FFA">
      <w:pPr>
        <w:pStyle w:val="Heading5"/>
        <w:numPr>
          <w:ilvl w:val="3"/>
          <w:numId w:val="4"/>
        </w:numPr>
      </w:pPr>
      <w:bookmarkStart w:id="556" w:name="_Osmotic_treatment"/>
      <w:bookmarkEnd w:id="556"/>
      <w:r w:rsidRPr="00846769">
        <w:t>Osmotic treatment</w:t>
      </w:r>
    </w:p>
    <w:p w14:paraId="62555FF1" w14:textId="60C95643" w:rsidR="00CA4FFA" w:rsidRPr="00846769" w:rsidRDefault="00F201D1" w:rsidP="00CA4FFA">
      <w:bookmarkStart w:id="557" w:name="_Hlk189257923"/>
      <w:r>
        <w:t>Osmotic treatment is the m</w:t>
      </w:r>
      <w:r w:rsidR="00CA4FFA" w:rsidRPr="00846769">
        <w:t xml:space="preserve">anipulation of salinity levels </w:t>
      </w:r>
      <w:r>
        <w:t>and</w:t>
      </w:r>
      <w:r w:rsidR="00CA4FFA" w:rsidRPr="00846769">
        <w:t xml:space="preserve"> has been used in several marine pest incursions. Depending on the marine pest’s tolerance, exposure to hyposaline (via addition of freshwater) or hypersaline (via addition of </w:t>
      </w:r>
      <w:r w:rsidR="0096081C" w:rsidRPr="00846769">
        <w:t>salt</w:t>
      </w:r>
      <w:r w:rsidR="00CA4FFA" w:rsidRPr="00846769">
        <w:t xml:space="preserve">) conditions can disrupt the osmotic balance resulting in death. It can take the form of immersion of infested structures or equipment in fresh water, </w:t>
      </w:r>
      <w:r w:rsidR="00CA4FFA" w:rsidRPr="00846769">
        <w:lastRenderedPageBreak/>
        <w:t>manipulation of salinity in enclosed water bodies through re</w:t>
      </w:r>
      <w:r w:rsidR="00CA4FFA" w:rsidRPr="00846769">
        <w:noBreakHyphen/>
        <w:t xml:space="preserve">diversion of fresh or salt water, or through </w:t>
      </w:r>
      <w:bookmarkStart w:id="558" w:name="_Hlk158882190"/>
      <w:r w:rsidR="00CA4FFA" w:rsidRPr="00846769">
        <w:t xml:space="preserve">application of large quantities of salt </w:t>
      </w:r>
      <w:r w:rsidRPr="00846769">
        <w:t>near</w:t>
      </w:r>
      <w:r w:rsidR="00CA4FFA" w:rsidRPr="00846769">
        <w:t xml:space="preserve"> the target organism</w:t>
      </w:r>
      <w:bookmarkEnd w:id="558"/>
      <w:r w:rsidR="00CA4FFA" w:rsidRPr="00846769">
        <w:t>.</w:t>
      </w:r>
    </w:p>
    <w:p w14:paraId="1BAFCE6D" w14:textId="015ED581" w:rsidR="0096081C" w:rsidRPr="00846769" w:rsidRDefault="0096081C" w:rsidP="00CA4FFA">
      <w:bookmarkStart w:id="559" w:name="_Hlk189257942"/>
      <w:bookmarkEnd w:id="557"/>
      <w:r w:rsidRPr="00846769">
        <w:t>Salt is inexpensive, easy to obtain, safe to handle, and can be applied on a large scale with the appropriate resources such as a barge, backhoe, hopper, or diver guidance. This technique becomes less efficient as the area being treated increases or when applied to steep slopes and high</w:t>
      </w:r>
      <w:r w:rsidRPr="00846769">
        <w:noBreakHyphen/>
        <w:t>relief habitats (such as rocky reef). Salt treatment is not suitable for application in high-energy environments since salt would be rapidly dispersed by ocean</w:t>
      </w:r>
      <w:r w:rsidRPr="00846769">
        <w:noBreakHyphen/>
        <w:t>generated swell. The efficacy depends on absolute salinity change and the rate of change in salinity</w:t>
      </w:r>
      <w:r w:rsidR="005438AD">
        <w:t xml:space="preserve"> as well as the species’ tolerance</w:t>
      </w:r>
      <w:r w:rsidRPr="00846769">
        <w:t xml:space="preserve">. The rate of salinity change is likely to be slow for large treatment volumes, so treatments are likely to be most effective for small, enclosed areas. Whilst application of salt can be effective, it can also be detrimental to other species and should be considered when planning response activities. </w:t>
      </w:r>
    </w:p>
    <w:p w14:paraId="1A33D37B" w14:textId="04AAF793" w:rsidR="00CA4FFA" w:rsidRPr="00846769" w:rsidRDefault="00CA4FFA" w:rsidP="00CA4FFA">
      <w:bookmarkStart w:id="560" w:name="_Hlk189257989"/>
      <w:bookmarkEnd w:id="559"/>
      <w:r w:rsidRPr="00846769">
        <w:t>The salinity tolerance of a species can vary according to life-stages and may also be affected by other factors such as temperature, nutrient, or oxygen levels. The efficacy of salinity manipulation for invasive marine bivalves will depend on their ability to withstand prolonged exposure to an altered regime.</w:t>
      </w:r>
    </w:p>
    <w:bookmarkEnd w:id="560"/>
    <w:p w14:paraId="2650AE4E" w14:textId="798E0564" w:rsidR="00CA4FFA" w:rsidRPr="00B25CD1" w:rsidRDefault="00CA4FFA" w:rsidP="00CA4FFA">
      <w:r w:rsidRPr="00846769">
        <w:t xml:space="preserve">Osmotic treatments may only be effective on larval life stages of </w:t>
      </w:r>
      <w:r w:rsidR="0096081C" w:rsidRPr="00846769">
        <w:t xml:space="preserve">invasive </w:t>
      </w:r>
      <w:r w:rsidRPr="00846769">
        <w:t xml:space="preserve">marine bivalves because they typically have a narrower environmental tolerance than adults. Many adult bivalves occupy estuarine systems that frequently naturally experience freshwater pulses, particularly after periods of heavy rain, and have tolerance of a broad range of salinity. </w:t>
      </w:r>
      <w:r w:rsidRPr="00846769">
        <w:rPr>
          <w:i/>
          <w:iCs/>
        </w:rPr>
        <w:t xml:space="preserve">Potamocorbula amurensis </w:t>
      </w:r>
      <w:r w:rsidRPr="00846769">
        <w:t xml:space="preserve">has been demonstrated to tolerate 10 ppt step changes in salinity. </w:t>
      </w:r>
      <w:r w:rsidRPr="00B25CD1">
        <w:t xml:space="preserve">Some bivalves such as </w:t>
      </w:r>
      <w:r w:rsidRPr="00B25CD1">
        <w:rPr>
          <w:i/>
          <w:iCs/>
        </w:rPr>
        <w:t>M</w:t>
      </w:r>
      <w:r w:rsidR="0096081C" w:rsidRPr="00B25CD1">
        <w:rPr>
          <w:i/>
          <w:iCs/>
        </w:rPr>
        <w:t>.</w:t>
      </w:r>
      <w:r w:rsidRPr="00B25CD1">
        <w:rPr>
          <w:i/>
          <w:iCs/>
        </w:rPr>
        <w:t xml:space="preserve"> sallei </w:t>
      </w:r>
      <w:r w:rsidRPr="00B25CD1">
        <w:t xml:space="preserve">have also been recorded in freshwater systems kilometres from the coast (Tan &amp; Morton 2006) rendering hyposaline treatments ineffective. </w:t>
      </w:r>
    </w:p>
    <w:p w14:paraId="4C05FA14" w14:textId="6B86F4A0" w:rsidR="005631FD" w:rsidRPr="00A04E26" w:rsidRDefault="005631FD" w:rsidP="005631FD">
      <w:pPr>
        <w:pStyle w:val="Heading5"/>
        <w:numPr>
          <w:ilvl w:val="3"/>
          <w:numId w:val="4"/>
        </w:numPr>
      </w:pPr>
      <w:r w:rsidRPr="00A04E26">
        <w:t>Combined chemical and physical treatment</w:t>
      </w:r>
    </w:p>
    <w:p w14:paraId="1C57BC0A" w14:textId="77777777" w:rsidR="005631FD" w:rsidRPr="00A04E26" w:rsidRDefault="005631FD" w:rsidP="005631FD">
      <w:pPr>
        <w:rPr>
          <w:rFonts w:cstheme="minorHAnsi"/>
        </w:rPr>
      </w:pPr>
      <w:r w:rsidRPr="00A04E26">
        <w:rPr>
          <w:rFonts w:cstheme="minorHAnsi"/>
        </w:rPr>
        <w:t xml:space="preserve">Some bivalves are especially tolerant of anoxic environments and wrapping and encapsulation alone may not be an effective method to destroy them in a time-efficient way. Speed of effectiveness of wrapping and encapsulation can be improved through the addition of biocides such as chlorine or acetic acid </w:t>
      </w:r>
      <w:r w:rsidRPr="00A04E26">
        <w:rPr>
          <w:rFonts w:cstheme="minorHAnsi"/>
          <w:noProof/>
        </w:rPr>
        <w:t>(</w:t>
      </w:r>
      <w:r w:rsidRPr="00B25CD1">
        <w:rPr>
          <w:rFonts w:cstheme="minorHAnsi"/>
          <w:noProof/>
        </w:rPr>
        <w:t>Ammon et al. 2019)</w:t>
      </w:r>
      <w:r w:rsidRPr="00B25CD1">
        <w:rPr>
          <w:rFonts w:cstheme="minorHAnsi"/>
        </w:rPr>
        <w:t>.</w:t>
      </w:r>
      <w:r w:rsidRPr="00A04E26">
        <w:rPr>
          <w:rFonts w:cstheme="minorHAnsi"/>
        </w:rPr>
        <w:t xml:space="preserve"> Chlorine is a biocide commonly used in wrapping and encapsulation that is generally used at &gt;200 ppm for at least 24 hours </w:t>
      </w:r>
      <w:r w:rsidRPr="00A04E26">
        <w:rPr>
          <w:rFonts w:cstheme="minorHAnsi"/>
          <w:noProof/>
        </w:rPr>
        <w:t>(Ammon et al. 2019)</w:t>
      </w:r>
      <w:r w:rsidRPr="00A04E26">
        <w:rPr>
          <w:rFonts w:cstheme="minorHAnsi"/>
        </w:rPr>
        <w:t>. Concentrations must be measured regularly to ensure that active concentration is maintained because active chlorine levels drop dramatically in presence of large amounts of organic matter.</w:t>
      </w:r>
    </w:p>
    <w:p w14:paraId="2D80300E" w14:textId="1648DF79" w:rsidR="005631FD" w:rsidRPr="00846769" w:rsidRDefault="005631FD" w:rsidP="00CA4FFA">
      <w:r w:rsidRPr="00A04E26">
        <w:rPr>
          <w:rFonts w:cstheme="minorHAnsi"/>
        </w:rPr>
        <w:t>Commercially available</w:t>
      </w:r>
      <w:r w:rsidRPr="00A04E26">
        <w:t xml:space="preserve"> floating boat docks up to 30 metres have been shown to be useful for emergency treatment of biofouling on small vessels. The addition of chlorine (e.g. ‘</w:t>
      </w:r>
      <w:proofErr w:type="spellStart"/>
      <w:r w:rsidRPr="00A04E26">
        <w:t>dichlor</w:t>
      </w:r>
      <w:proofErr w:type="spellEnd"/>
      <w:r w:rsidRPr="00A04E26">
        <w:t xml:space="preserve">’) at an initial concentration of 200 mg/L killed all fouling organisms on a vessel within six days and was effective for 90% of the study’s target organisms, with </w:t>
      </w:r>
      <w:r w:rsidRPr="00A04E26">
        <w:rPr>
          <w:i/>
          <w:iCs/>
        </w:rPr>
        <w:t xml:space="preserve">M. gigas </w:t>
      </w:r>
      <w:r w:rsidRPr="00A04E26">
        <w:t>oyster attached to the hull killed within six days (Morrisey et al. 2016). These types of floating docks could be a good alternative to wrapping for treating small vessels during an emergency response.</w:t>
      </w:r>
    </w:p>
    <w:p w14:paraId="06143235" w14:textId="38E36211" w:rsidR="00E83644" w:rsidRPr="00846769" w:rsidRDefault="000D7E11" w:rsidP="00A04E26">
      <w:pPr>
        <w:pStyle w:val="Heading4"/>
        <w:numPr>
          <w:ilvl w:val="2"/>
          <w:numId w:val="4"/>
        </w:numPr>
        <w:tabs>
          <w:tab w:val="left" w:pos="2552"/>
        </w:tabs>
      </w:pPr>
      <w:bookmarkStart w:id="561" w:name="_Biological_and_ecological"/>
      <w:bookmarkEnd w:id="561"/>
      <w:r w:rsidRPr="00846769">
        <w:t xml:space="preserve">Biological and ecological </w:t>
      </w:r>
      <w:r w:rsidR="00E83644" w:rsidRPr="00846769">
        <w:t>control</w:t>
      </w:r>
      <w:bookmarkStart w:id="562" w:name="_Hlk61878803"/>
    </w:p>
    <w:p w14:paraId="0C2A6231" w14:textId="36A8AD4C" w:rsidR="00E83644" w:rsidRPr="00B25CD1" w:rsidRDefault="00E83644" w:rsidP="00E83644">
      <w:r w:rsidRPr="00846769">
        <w:t>Biological and ecological control occurs by the manipulation of environmental conditions to create an adverse habitat for a species</w:t>
      </w:r>
      <w:r w:rsidR="0096081C" w:rsidRPr="00846769">
        <w:t>’</w:t>
      </w:r>
      <w:r w:rsidRPr="00846769">
        <w:t xml:space="preserve"> survival and reproduction. They may include the use of natural predators, competitors, parasites, or pathogens to suppress population growth. Biological and ecological control are not a rapid response operation as an extensive and lengthy review process </w:t>
      </w:r>
      <w:r w:rsidRPr="00846769">
        <w:lastRenderedPageBreak/>
        <w:t xml:space="preserve">must occur before a biological control agent can be released into the environment. The introduction of non-native species or exotic disease to effect control is not advised due to the potential issues posed by these additional introductions, especially given that impacts are likely to be irreversible </w:t>
      </w:r>
      <w:r w:rsidRPr="00B25CD1">
        <w:fldChar w:fldCharType="begin">
          <w:fldData xml:space="preserve">PEVuZE5vdGU+PENpdGU+PEF1dGhvcj5HaWFrb3VtaTwvQXV0aG9yPjxZZWFyPjIwMTk8L1llYXI+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=
</w:fldData>
        </w:fldChar>
      </w:r>
      <w:r w:rsidRPr="00B25CD1">
        <w:instrText xml:space="preserve"> ADDIN EN.CITE </w:instrText>
      </w:r>
      <w:r w:rsidRPr="00B25CD1">
        <w:fldChar w:fldCharType="begin">
          <w:fldData xml:space="preserve">PEVuZE5vdGU+PENpdGU+PEF1dGhvcj5HaWFrb3VtaTwvQXV0aG9yPjxZZWFyPjIwMTk8L1llYXI+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=
</w:fldData>
        </w:fldChar>
      </w:r>
      <w:r w:rsidRPr="00B25CD1">
        <w:instrText xml:space="preserve"> ADDIN EN.CITE.DATA </w:instrText>
      </w:r>
      <w:r w:rsidRPr="00B25CD1">
        <w:fldChar w:fldCharType="end"/>
      </w:r>
      <w:r w:rsidRPr="00B25CD1">
        <w:fldChar w:fldCharType="separate"/>
      </w:r>
      <w:r w:rsidRPr="00B25CD1">
        <w:t>(Giakoumi</w:t>
      </w:r>
      <w:r w:rsidRPr="00B25CD1">
        <w:rPr>
          <w:i/>
        </w:rPr>
        <w:t xml:space="preserve"> </w:t>
      </w:r>
      <w:r w:rsidRPr="00B25CD1">
        <w:rPr>
          <w:iCs/>
        </w:rPr>
        <w:t xml:space="preserve">et al. </w:t>
      </w:r>
      <w:r w:rsidRPr="00B25CD1">
        <w:t>2019)</w:t>
      </w:r>
      <w:r w:rsidRPr="00B25CD1">
        <w:fldChar w:fldCharType="end"/>
      </w:r>
      <w:r w:rsidRPr="00B25CD1">
        <w:t xml:space="preserve">. Promoting predation or herbivory by native species, or utilising endemic diseases, are more acceptable approaches but could still produce undesirable impacts, and their efficacy is unclear </w:t>
      </w:r>
      <w:r w:rsidRPr="00B25CD1">
        <w:fldChar w:fldCharType="begin">
          <w:fldData xml:space="preserve">PEVuZE5vdGU+PENpdGU+PEF1dGhvcj5HaWFrb3VtaTwvQXV0aG9yPjxZZWFyPjIwMTk8L1llYXI+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</w:fldData>
        </w:fldChar>
      </w:r>
      <w:r w:rsidRPr="00B25CD1">
        <w:instrText xml:space="preserve"> ADDIN EN.CITE </w:instrText>
      </w:r>
      <w:r w:rsidRPr="00B25CD1">
        <w:fldChar w:fldCharType="begin">
          <w:fldData xml:space="preserve">PEVuZE5vdGU+PENpdGU+PEF1dGhvcj5HaWFrb3VtaTwvQXV0aG9yPjxZZWFyPjIwMTk8L1llYXI+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</w:fldData>
        </w:fldChar>
      </w:r>
      <w:r w:rsidRPr="00B25CD1">
        <w:instrText xml:space="preserve"> ADDIN EN.CITE.DATA </w:instrText>
      </w:r>
      <w:r w:rsidRPr="00B25CD1">
        <w:fldChar w:fldCharType="end"/>
      </w:r>
      <w:r w:rsidRPr="00B25CD1">
        <w:fldChar w:fldCharType="separate"/>
      </w:r>
      <w:r w:rsidRPr="00B25CD1">
        <w:t>(Smith 2016)</w:t>
      </w:r>
      <w:r w:rsidRPr="00B25CD1">
        <w:fldChar w:fldCharType="end"/>
      </w:r>
      <w:r w:rsidRPr="00B25CD1">
        <w:t>.</w:t>
      </w:r>
    </w:p>
    <w:p w14:paraId="449DFBA6" w14:textId="7DA846CC" w:rsidR="000D7E11" w:rsidRPr="00846769" w:rsidRDefault="000D7E11" w:rsidP="000D7E11">
      <w:r w:rsidRPr="00B25CD1">
        <w:t xml:space="preserve">Natural predation on established populations of invasive </w:t>
      </w:r>
      <w:r w:rsidR="00414C8D" w:rsidRPr="00B25CD1">
        <w:t xml:space="preserve">marine </w:t>
      </w:r>
      <w:r w:rsidRPr="00B25CD1">
        <w:t xml:space="preserve">bivalves may be effective but is not amenable to control by response personnel. Astudillo et al. (2018) tested the potential of top-down biocontrol from the predatory whelk </w:t>
      </w:r>
      <w:proofErr w:type="spellStart"/>
      <w:r w:rsidRPr="00B25CD1">
        <w:rPr>
          <w:i/>
          <w:iCs/>
        </w:rPr>
        <w:t>Reishia</w:t>
      </w:r>
      <w:proofErr w:type="spellEnd"/>
      <w:r w:rsidRPr="00B25CD1">
        <w:rPr>
          <w:i/>
          <w:iCs/>
        </w:rPr>
        <w:t xml:space="preserve"> </w:t>
      </w:r>
      <w:proofErr w:type="spellStart"/>
      <w:r w:rsidRPr="00B25CD1">
        <w:rPr>
          <w:i/>
          <w:iCs/>
        </w:rPr>
        <w:t>clavigera</w:t>
      </w:r>
      <w:proofErr w:type="spellEnd"/>
      <w:r w:rsidRPr="00B25CD1">
        <w:rPr>
          <w:i/>
          <w:iCs/>
        </w:rPr>
        <w:t xml:space="preserve"> </w:t>
      </w:r>
      <w:r w:rsidRPr="00B25CD1">
        <w:t>on invasive</w:t>
      </w:r>
      <w:r w:rsidRPr="00246AE3">
        <w:t xml:space="preserve"> populations of </w:t>
      </w:r>
      <w:r w:rsidRPr="00246AE3">
        <w:rPr>
          <w:i/>
          <w:iCs/>
        </w:rPr>
        <w:t>M</w:t>
      </w:r>
      <w:r w:rsidR="00414C8D" w:rsidRPr="00246AE3">
        <w:rPr>
          <w:i/>
          <w:iCs/>
        </w:rPr>
        <w:t>.</w:t>
      </w:r>
      <w:r w:rsidRPr="00246AE3">
        <w:rPr>
          <w:i/>
          <w:iCs/>
        </w:rPr>
        <w:t xml:space="preserve"> sallei </w:t>
      </w:r>
      <w:r w:rsidRPr="00246AE3">
        <w:t xml:space="preserve">in Hong Kong. While </w:t>
      </w:r>
      <w:r w:rsidRPr="00246AE3">
        <w:rPr>
          <w:i/>
          <w:iCs/>
        </w:rPr>
        <w:t xml:space="preserve">R. </w:t>
      </w:r>
      <w:proofErr w:type="spellStart"/>
      <w:r w:rsidRPr="00246AE3">
        <w:rPr>
          <w:i/>
          <w:iCs/>
        </w:rPr>
        <w:t>clavirgera</w:t>
      </w:r>
      <w:proofErr w:type="spellEnd"/>
      <w:r w:rsidRPr="00246AE3">
        <w:rPr>
          <w:i/>
          <w:iCs/>
        </w:rPr>
        <w:t xml:space="preserve"> </w:t>
      </w:r>
      <w:r w:rsidRPr="00246AE3">
        <w:t xml:space="preserve">preferentially predated on </w:t>
      </w:r>
      <w:r w:rsidRPr="00246AE3">
        <w:rPr>
          <w:i/>
          <w:iCs/>
        </w:rPr>
        <w:t>M. sallei</w:t>
      </w:r>
      <w:r w:rsidRPr="00246AE3">
        <w:t xml:space="preserve">, this was driven by predation vulnerability and may not be an appropriate </w:t>
      </w:r>
      <w:r w:rsidR="00375ED3">
        <w:t xml:space="preserve">management </w:t>
      </w:r>
      <w:r w:rsidRPr="00246AE3">
        <w:t>method (Astudillo et al. 2018).</w:t>
      </w:r>
      <w:r w:rsidRPr="00846769">
        <w:t xml:space="preserve"> </w:t>
      </w:r>
    </w:p>
    <w:bookmarkEnd w:id="562"/>
    <w:p w14:paraId="5ACCEA51" w14:textId="77777777" w:rsidR="000D7E11" w:rsidRPr="00846769" w:rsidRDefault="000D7E11" w:rsidP="000D7E11">
      <w:pPr>
        <w:sectPr w:rsidR="000D7E11" w:rsidRPr="00846769" w:rsidSect="004F44BF">
          <w:footnotePr>
            <w:numFmt w:val="lowerLetter"/>
          </w:footnotePr>
          <w:type w:val="continuous"/>
          <w:pgSz w:w="11906" w:h="16838"/>
          <w:pgMar w:top="1440" w:right="1440" w:bottom="1440" w:left="1440" w:header="709" w:footer="709" w:gutter="0"/>
          <w:cols w:space="708"/>
          <w:docGrid w:linePitch="360"/>
        </w:sectPr>
      </w:pPr>
    </w:p>
    <w:p w14:paraId="554000CC" w14:textId="2A1333BB" w:rsidR="009968F1" w:rsidRPr="00846769" w:rsidRDefault="009968F1" w:rsidP="009968F1">
      <w:pPr>
        <w:pStyle w:val="Caption"/>
      </w:pPr>
      <w:bookmarkStart w:id="563" w:name="_Hemigrapsus_takanoi_1"/>
      <w:bookmarkStart w:id="564" w:name="_Ref171934847"/>
      <w:bookmarkStart w:id="565" w:name="_Toc191999500"/>
      <w:bookmarkEnd w:id="563"/>
      <w:r w:rsidRPr="00846769">
        <w:lastRenderedPageBreak/>
        <w:t xml:space="preserve">Table </w:t>
      </w:r>
      <w:r w:rsidR="00232FA0" w:rsidRPr="00846769">
        <w:fldChar w:fldCharType="begin"/>
      </w:r>
      <w:r w:rsidR="00232FA0" w:rsidRPr="00846769">
        <w:instrText xml:space="preserve"> SEQ Table \* ARABIC </w:instrText>
      </w:r>
      <w:r w:rsidR="00232FA0" w:rsidRPr="00846769">
        <w:fldChar w:fldCharType="separate"/>
      </w:r>
      <w:r w:rsidR="005E4F41">
        <w:rPr>
          <w:noProof/>
        </w:rPr>
        <w:t>5</w:t>
      </w:r>
      <w:r w:rsidR="00232FA0" w:rsidRPr="00846769">
        <w:fldChar w:fldCharType="end"/>
      </w:r>
      <w:bookmarkEnd w:id="564"/>
      <w:r w:rsidRPr="00846769">
        <w:t xml:space="preserve"> Examples of treatment methods used to control some invasive marine bivalves</w:t>
      </w:r>
      <w:bookmarkEnd w:id="565"/>
      <w:r w:rsidRPr="00846769">
        <w:t xml:space="preserve"> </w:t>
      </w:r>
    </w:p>
    <w:tbl>
      <w:tblPr>
        <w:tblStyle w:val="TableGrid"/>
        <w:tblW w:w="14175" w:type="dxa"/>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268"/>
        <w:gridCol w:w="3969"/>
        <w:gridCol w:w="3969"/>
        <w:gridCol w:w="3969"/>
      </w:tblGrid>
      <w:tr w:rsidR="000D7E11" w:rsidRPr="00846769" w14:paraId="309E848A" w14:textId="77777777" w:rsidTr="00A04E26">
        <w:trPr>
          <w:cantSplit/>
          <w:trHeight w:val="344"/>
          <w:tblHeader/>
        </w:trPr>
        <w:tc>
          <w:tcPr>
            <w:tcW w:w="2268" w:type="dxa"/>
            <w:shd w:val="clear" w:color="auto" w:fill="FFFFFF" w:themeFill="background1"/>
            <w:vAlign w:val="center"/>
          </w:tcPr>
          <w:p w14:paraId="53AC165F" w14:textId="3DB457B6" w:rsidR="000D7E11" w:rsidRPr="00846769" w:rsidRDefault="009B15CE" w:rsidP="006966B1">
            <w:pPr>
              <w:pStyle w:val="TableText"/>
              <w:rPr>
                <w:rFonts w:cstheme="minorHAnsi"/>
                <w:b/>
                <w:bCs/>
              </w:rPr>
            </w:pPr>
            <w:bookmarkStart w:id="566" w:name="Table_5"/>
            <w:bookmarkStart w:id="567" w:name="_Hlk61944673"/>
            <w:bookmarkEnd w:id="566"/>
            <w:r>
              <w:rPr>
                <w:rFonts w:cstheme="minorHAnsi"/>
                <w:b/>
                <w:bCs/>
              </w:rPr>
              <w:t>Bivalve</w:t>
            </w:r>
            <w:r w:rsidR="000D7E11" w:rsidRPr="00846769">
              <w:rPr>
                <w:rFonts w:cstheme="minorHAnsi"/>
                <w:b/>
                <w:bCs/>
              </w:rPr>
              <w:t xml:space="preserve"> species</w:t>
            </w:r>
          </w:p>
        </w:tc>
        <w:tc>
          <w:tcPr>
            <w:tcW w:w="3969" w:type="dxa"/>
            <w:shd w:val="clear" w:color="auto" w:fill="FFFFFF" w:themeFill="background1"/>
            <w:vAlign w:val="center"/>
          </w:tcPr>
          <w:p w14:paraId="0BE32896" w14:textId="77777777" w:rsidR="000D7E11" w:rsidRPr="00846769" w:rsidRDefault="000D7E11" w:rsidP="006966B1">
            <w:pPr>
              <w:pStyle w:val="TableText"/>
              <w:rPr>
                <w:rFonts w:cstheme="minorHAnsi"/>
                <w:b/>
                <w:bCs/>
              </w:rPr>
            </w:pPr>
            <w:r w:rsidRPr="00846769">
              <w:rPr>
                <w:rFonts w:cstheme="minorHAnsi"/>
                <w:b/>
                <w:bCs/>
              </w:rPr>
              <w:t>Physical treatment</w:t>
            </w:r>
          </w:p>
        </w:tc>
        <w:tc>
          <w:tcPr>
            <w:tcW w:w="3969" w:type="dxa"/>
            <w:shd w:val="clear" w:color="auto" w:fill="FFFFFF" w:themeFill="background1"/>
            <w:vAlign w:val="center"/>
          </w:tcPr>
          <w:p w14:paraId="2498C674" w14:textId="77777777" w:rsidR="000D7E11" w:rsidRPr="00846769" w:rsidRDefault="000D7E11" w:rsidP="006966B1">
            <w:pPr>
              <w:pStyle w:val="TableText"/>
              <w:rPr>
                <w:rFonts w:cstheme="minorHAnsi"/>
                <w:b/>
                <w:bCs/>
              </w:rPr>
            </w:pPr>
            <w:r w:rsidRPr="00846769">
              <w:rPr>
                <w:rFonts w:cstheme="minorHAnsi"/>
                <w:b/>
                <w:bCs/>
              </w:rPr>
              <w:t>Chemical treatment</w:t>
            </w:r>
          </w:p>
        </w:tc>
        <w:tc>
          <w:tcPr>
            <w:tcW w:w="3969" w:type="dxa"/>
            <w:shd w:val="clear" w:color="auto" w:fill="FFFFFF" w:themeFill="background1"/>
            <w:vAlign w:val="center"/>
          </w:tcPr>
          <w:p w14:paraId="14022051" w14:textId="77777777" w:rsidR="000D7E11" w:rsidRPr="00846769" w:rsidRDefault="000D7E11" w:rsidP="006966B1">
            <w:pPr>
              <w:pStyle w:val="TableText"/>
              <w:rPr>
                <w:rFonts w:cstheme="minorHAnsi"/>
                <w:b/>
                <w:bCs/>
              </w:rPr>
            </w:pPr>
            <w:r w:rsidRPr="00846769">
              <w:rPr>
                <w:rFonts w:cstheme="minorHAnsi"/>
                <w:b/>
                <w:bCs/>
              </w:rPr>
              <w:t>Biological/ecological control</w:t>
            </w:r>
          </w:p>
        </w:tc>
      </w:tr>
      <w:tr w:rsidR="000651E9" w:rsidRPr="00846769" w14:paraId="34C520E7" w14:textId="77777777" w:rsidTr="00A04E26">
        <w:trPr>
          <w:cantSplit/>
        </w:trPr>
        <w:tc>
          <w:tcPr>
            <w:tcW w:w="2268" w:type="dxa"/>
            <w:shd w:val="clear" w:color="auto" w:fill="FFFFFF" w:themeFill="background1"/>
          </w:tcPr>
          <w:p w14:paraId="4FAEDFF6" w14:textId="64C3EABB" w:rsidR="000651E9" w:rsidRPr="00846769" w:rsidRDefault="000651E9" w:rsidP="000651E9">
            <w:pPr>
              <w:pStyle w:val="TableText"/>
              <w:rPr>
                <w:rStyle w:val="Emphasis"/>
                <w:rFonts w:cstheme="minorHAnsi"/>
              </w:rPr>
            </w:pPr>
            <w:r w:rsidRPr="00846769">
              <w:rPr>
                <w:rStyle w:val="Emphasis"/>
                <w:rFonts w:cstheme="minorBidi"/>
              </w:rPr>
              <w:t>Magallana gigas</w:t>
            </w:r>
          </w:p>
        </w:tc>
        <w:tc>
          <w:tcPr>
            <w:tcW w:w="3969" w:type="dxa"/>
            <w:shd w:val="clear" w:color="auto" w:fill="FFFFFF" w:themeFill="background1"/>
          </w:tcPr>
          <w:p w14:paraId="3B035B8C" w14:textId="5871C19E" w:rsidR="00CF683D" w:rsidRPr="00B25CD1" w:rsidRDefault="000651E9" w:rsidP="000651E9">
            <w:pPr>
              <w:rPr>
                <w:rFonts w:cstheme="minorBidi"/>
                <w:i/>
              </w:rPr>
            </w:pPr>
            <w:r w:rsidRPr="00B25CD1">
              <w:rPr>
                <w:rFonts w:cstheme="minorBidi"/>
              </w:rPr>
              <w:t xml:space="preserve">Exposure to 43°C for 1 hour resulted in 100% mortality of </w:t>
            </w:r>
            <w:r w:rsidRPr="00B25CD1">
              <w:rPr>
                <w:rFonts w:cstheme="minorBidi"/>
                <w:i/>
              </w:rPr>
              <w:t xml:space="preserve">M. gigas </w:t>
            </w:r>
            <w:r w:rsidRPr="00B25CD1">
              <w:rPr>
                <w:rFonts w:cstheme="minorBidi"/>
              </w:rPr>
              <w:t xml:space="preserve">(Rajagopal et al. 2005). Piola and Hopkins (2012) reported 57.5°C for 60 minutes or 60°C for 30 minutes for 100% mortality of </w:t>
            </w:r>
            <w:r w:rsidRPr="00B25CD1">
              <w:rPr>
                <w:rFonts w:cstheme="minorBidi"/>
                <w:i/>
              </w:rPr>
              <w:t>M.</w:t>
            </w:r>
            <w:r w:rsidR="00375ED3">
              <w:rPr>
                <w:rFonts w:cstheme="minorBidi"/>
                <w:i/>
              </w:rPr>
              <w:t> </w:t>
            </w:r>
            <w:r w:rsidRPr="00B25CD1">
              <w:rPr>
                <w:rFonts w:cstheme="minorBidi"/>
                <w:i/>
              </w:rPr>
              <w:t>gigas</w:t>
            </w:r>
            <w:r w:rsidR="004674D6" w:rsidRPr="00B25CD1">
              <w:rPr>
                <w:rFonts w:cstheme="minorBidi"/>
                <w:i/>
              </w:rPr>
              <w:t>.</w:t>
            </w:r>
          </w:p>
          <w:p w14:paraId="02D2C154" w14:textId="5852B938" w:rsidR="004674D6" w:rsidRPr="00B25CD1" w:rsidRDefault="004674D6" w:rsidP="000651E9">
            <w:pPr>
              <w:rPr>
                <w:rFonts w:cstheme="minorBidi"/>
                <w:iCs/>
              </w:rPr>
            </w:pPr>
            <w:r w:rsidRPr="00B25CD1">
              <w:rPr>
                <w:rFonts w:cstheme="minorBidi"/>
                <w:iCs/>
              </w:rPr>
              <w:t xml:space="preserve">Blow/flame torches have been used to help kill wild </w:t>
            </w:r>
            <w:r w:rsidRPr="00B25CD1">
              <w:rPr>
                <w:rFonts w:cstheme="minorBidi"/>
                <w:i/>
              </w:rPr>
              <w:t xml:space="preserve">M. gigas </w:t>
            </w:r>
            <w:r w:rsidRPr="00B25CD1">
              <w:rPr>
                <w:rFonts w:cstheme="minorBidi"/>
                <w:iCs/>
              </w:rPr>
              <w:t>during a POMS outbreak</w:t>
            </w:r>
            <w:r w:rsidRPr="00B25CD1">
              <w:rPr>
                <w:rFonts w:cstheme="minorBidi"/>
                <w:i/>
              </w:rPr>
              <w:t xml:space="preserve"> </w:t>
            </w:r>
            <w:r w:rsidRPr="00B25CD1">
              <w:rPr>
                <w:rFonts w:cstheme="minorBidi"/>
                <w:iCs/>
              </w:rPr>
              <w:t>in South Australia.</w:t>
            </w:r>
          </w:p>
        </w:tc>
        <w:tc>
          <w:tcPr>
            <w:tcW w:w="3969" w:type="dxa"/>
            <w:shd w:val="clear" w:color="auto" w:fill="FFFFFF" w:themeFill="background1"/>
          </w:tcPr>
          <w:p w14:paraId="1232B4FE" w14:textId="4FEF0B0D" w:rsidR="000651E9" w:rsidRPr="00B25CD1" w:rsidRDefault="000651E9" w:rsidP="000651E9">
            <w:pPr>
              <w:pStyle w:val="TableText"/>
              <w:rPr>
                <w:rFonts w:cstheme="minorHAnsi"/>
                <w:szCs w:val="18"/>
              </w:rPr>
            </w:pPr>
            <w:r w:rsidRPr="00B25CD1">
              <w:rPr>
                <w:rFonts w:cstheme="minorHAnsi"/>
                <w:szCs w:val="18"/>
              </w:rPr>
              <w:t xml:space="preserve">Field application of chlorine to an encapsulated vessel at 200 ppm was effective for </w:t>
            </w:r>
            <w:r w:rsidRPr="00B25CD1">
              <w:rPr>
                <w:rFonts w:cstheme="minorHAnsi"/>
                <w:i/>
                <w:iCs/>
                <w:szCs w:val="18"/>
              </w:rPr>
              <w:t xml:space="preserve">M. gigas </w:t>
            </w:r>
            <w:r w:rsidRPr="00B25CD1">
              <w:rPr>
                <w:rFonts w:cstheme="minorHAnsi"/>
                <w:szCs w:val="18"/>
              </w:rPr>
              <w:t xml:space="preserve">in New Zealand (Morrisey et al. 2016). </w:t>
            </w:r>
          </w:p>
          <w:p w14:paraId="3E5624FA" w14:textId="77777777" w:rsidR="000651E9" w:rsidRPr="00B25CD1" w:rsidRDefault="000651E9" w:rsidP="000651E9">
            <w:pPr>
              <w:pStyle w:val="TableText"/>
              <w:rPr>
                <w:rFonts w:cstheme="minorHAnsi"/>
                <w:szCs w:val="18"/>
              </w:rPr>
            </w:pPr>
          </w:p>
          <w:p w14:paraId="09D56736" w14:textId="77777777" w:rsidR="000651E9" w:rsidRPr="00B25CD1" w:rsidRDefault="000651E9" w:rsidP="000651E9">
            <w:pPr>
              <w:pStyle w:val="TableText"/>
              <w:rPr>
                <w:rFonts w:cstheme="minorHAnsi"/>
                <w:szCs w:val="18"/>
              </w:rPr>
            </w:pPr>
            <w:r w:rsidRPr="00B25CD1">
              <w:rPr>
                <w:rFonts w:cstheme="minorHAnsi"/>
                <w:szCs w:val="18"/>
              </w:rPr>
              <w:t xml:space="preserve">Acetic acid at 100 ppt killed 75% of a related species </w:t>
            </w:r>
            <w:r w:rsidRPr="00B25CD1">
              <w:rPr>
                <w:rFonts w:cstheme="minorHAnsi"/>
                <w:i/>
                <w:iCs/>
                <w:szCs w:val="18"/>
              </w:rPr>
              <w:t xml:space="preserve">Saccostrea glomerata </w:t>
            </w:r>
            <w:r w:rsidRPr="00B25CD1">
              <w:rPr>
                <w:rFonts w:cstheme="minorHAnsi"/>
                <w:szCs w:val="18"/>
              </w:rPr>
              <w:t xml:space="preserve">within 12 hours (Neil &amp; Stafford 2005). </w:t>
            </w:r>
          </w:p>
          <w:p w14:paraId="5AE534AB" w14:textId="77777777" w:rsidR="000651E9" w:rsidRPr="00B25CD1" w:rsidRDefault="000651E9" w:rsidP="000651E9">
            <w:pPr>
              <w:pStyle w:val="TableText"/>
              <w:rPr>
                <w:rFonts w:cstheme="minorHAnsi"/>
                <w:szCs w:val="18"/>
              </w:rPr>
            </w:pPr>
          </w:p>
          <w:p w14:paraId="6A4F68A3" w14:textId="26226ADA" w:rsidR="000651E9" w:rsidRPr="00B25CD1" w:rsidRDefault="000651E9" w:rsidP="000651E9">
            <w:pPr>
              <w:rPr>
                <w:rFonts w:cstheme="minorHAnsi"/>
              </w:rPr>
            </w:pPr>
            <w:r w:rsidRPr="00B25CD1">
              <w:rPr>
                <w:rFonts w:cstheme="minorHAnsi"/>
                <w:szCs w:val="18"/>
              </w:rPr>
              <w:t xml:space="preserve">Detergent </w:t>
            </w:r>
            <w:proofErr w:type="spellStart"/>
            <w:r w:rsidRPr="00B25CD1">
              <w:rPr>
                <w:rFonts w:cstheme="minorHAnsi"/>
                <w:szCs w:val="18"/>
              </w:rPr>
              <w:t>Quatsan</w:t>
            </w:r>
            <w:proofErr w:type="spellEnd"/>
            <w:r w:rsidRPr="00B25CD1">
              <w:rPr>
                <w:rFonts w:cstheme="minorHAnsi"/>
                <w:szCs w:val="18"/>
              </w:rPr>
              <w:t xml:space="preserve">™ at 100 ppt was ineffective against </w:t>
            </w:r>
            <w:r w:rsidRPr="00B25CD1">
              <w:rPr>
                <w:rFonts w:cstheme="minorHAnsi"/>
                <w:i/>
                <w:iCs/>
                <w:szCs w:val="18"/>
              </w:rPr>
              <w:t xml:space="preserve">Saccostrea glomerata </w:t>
            </w:r>
            <w:r w:rsidRPr="00B25CD1">
              <w:rPr>
                <w:rFonts w:cstheme="minorHAnsi"/>
                <w:szCs w:val="18"/>
              </w:rPr>
              <w:t xml:space="preserve">(Neil &amp; Stafford 2005). </w:t>
            </w:r>
          </w:p>
        </w:tc>
        <w:tc>
          <w:tcPr>
            <w:tcW w:w="3969" w:type="dxa"/>
            <w:shd w:val="clear" w:color="auto" w:fill="FFFFFF" w:themeFill="background1"/>
          </w:tcPr>
          <w:p w14:paraId="036E2D1B" w14:textId="1F492448" w:rsidR="000651E9" w:rsidRPr="00846769" w:rsidRDefault="000651E9" w:rsidP="000651E9">
            <w:pPr>
              <w:rPr>
                <w:rFonts w:cstheme="minorHAnsi"/>
              </w:rPr>
            </w:pPr>
            <w:r w:rsidRPr="00846769">
              <w:rPr>
                <w:rFonts w:cstheme="minorBidi"/>
              </w:rPr>
              <w:t xml:space="preserve">Environmental levels of </w:t>
            </w:r>
            <w:proofErr w:type="spellStart"/>
            <w:r w:rsidRPr="00846769">
              <w:rPr>
                <w:rFonts w:cstheme="minorBidi"/>
              </w:rPr>
              <w:t>ostreid</w:t>
            </w:r>
            <w:proofErr w:type="spellEnd"/>
            <w:r w:rsidRPr="00846769">
              <w:rPr>
                <w:rFonts w:cstheme="minorBidi"/>
              </w:rPr>
              <w:t xml:space="preserve"> herpesvirus-1 microvariant (OsHV-1 </w:t>
            </w:r>
            <w:r w:rsidRPr="00846769">
              <w:rPr>
                <w:rFonts w:ascii="Calibri" w:hAnsi="Calibri" w:cs="Calibri"/>
              </w:rPr>
              <w:t>µ</w:t>
            </w:r>
            <w:r w:rsidRPr="00846769">
              <w:rPr>
                <w:rFonts w:cstheme="minorBidi"/>
              </w:rPr>
              <w:t xml:space="preserve">var) have been ineffective at controlling wild populations of </w:t>
            </w:r>
            <w:r w:rsidRPr="00846769">
              <w:rPr>
                <w:rFonts w:cstheme="minorBidi"/>
                <w:i/>
              </w:rPr>
              <w:t xml:space="preserve">M. gigas </w:t>
            </w:r>
            <w:r w:rsidRPr="00846769">
              <w:rPr>
                <w:rFonts w:cstheme="minorBidi"/>
              </w:rPr>
              <w:t>in New South Wales.</w:t>
            </w:r>
          </w:p>
        </w:tc>
      </w:tr>
      <w:tr w:rsidR="000651E9" w:rsidRPr="00846769" w14:paraId="040F57AA" w14:textId="77777777" w:rsidTr="00A04E26">
        <w:trPr>
          <w:cantSplit/>
        </w:trPr>
        <w:tc>
          <w:tcPr>
            <w:tcW w:w="2268" w:type="dxa"/>
            <w:shd w:val="clear" w:color="auto" w:fill="FFFFFF" w:themeFill="background1"/>
          </w:tcPr>
          <w:p w14:paraId="1A9F06F4" w14:textId="4D04E745" w:rsidR="000651E9" w:rsidRPr="00846769" w:rsidRDefault="000651E9" w:rsidP="000651E9">
            <w:pPr>
              <w:pStyle w:val="TableText"/>
              <w:rPr>
                <w:rStyle w:val="Emphasis"/>
                <w:rFonts w:cstheme="minorHAnsi"/>
              </w:rPr>
            </w:pPr>
            <w:r w:rsidRPr="00846769">
              <w:rPr>
                <w:rStyle w:val="Emphasis"/>
                <w:rFonts w:cstheme="minorHAnsi"/>
                <w:szCs w:val="22"/>
              </w:rPr>
              <w:t>Mytella strigata</w:t>
            </w:r>
          </w:p>
        </w:tc>
        <w:tc>
          <w:tcPr>
            <w:tcW w:w="3969" w:type="dxa"/>
            <w:shd w:val="clear" w:color="auto" w:fill="FFFFFF" w:themeFill="background1"/>
          </w:tcPr>
          <w:p w14:paraId="61DA8466" w14:textId="287E5985" w:rsidR="000651E9" w:rsidRPr="00B25CD1" w:rsidRDefault="004674D6" w:rsidP="000651E9">
            <w:pPr>
              <w:rPr>
                <w:rFonts w:cstheme="minorHAnsi"/>
              </w:rPr>
            </w:pPr>
            <w:r w:rsidRPr="00B25CD1">
              <w:rPr>
                <w:rFonts w:cstheme="minorHAnsi"/>
                <w:szCs w:val="18"/>
              </w:rPr>
              <w:t>Hand removal by divers from a vessel (CCIMPE, unpublished).</w:t>
            </w:r>
          </w:p>
        </w:tc>
        <w:tc>
          <w:tcPr>
            <w:tcW w:w="3969" w:type="dxa"/>
            <w:shd w:val="clear" w:color="auto" w:fill="FFFFFF" w:themeFill="background1"/>
          </w:tcPr>
          <w:p w14:paraId="5D4F4CFA" w14:textId="19E5BF7C" w:rsidR="004674D6" w:rsidRPr="00B25CD1" w:rsidRDefault="004674D6" w:rsidP="000651E9">
            <w:pPr>
              <w:rPr>
                <w:rFonts w:cstheme="minorHAnsi"/>
                <w:szCs w:val="18"/>
              </w:rPr>
            </w:pPr>
            <w:r w:rsidRPr="00B25CD1">
              <w:rPr>
                <w:rFonts w:cstheme="minorHAnsi"/>
              </w:rPr>
              <w:t xml:space="preserve">Conquest (&gt;5 ppm) was applied to a vessel using a cofferdam structure in place for &gt;13 hours to kill molluscs after detection of </w:t>
            </w:r>
            <w:r w:rsidRPr="00B25CD1">
              <w:rPr>
                <w:rFonts w:cstheme="minorHAnsi"/>
                <w:i/>
                <w:iCs/>
              </w:rPr>
              <w:t xml:space="preserve">M. strigata </w:t>
            </w:r>
            <w:r w:rsidRPr="00B25CD1">
              <w:rPr>
                <w:rFonts w:cstheme="minorHAnsi"/>
              </w:rPr>
              <w:t>(CCIMPE, unpublished)</w:t>
            </w:r>
            <w:r w:rsidRPr="00B25CD1">
              <w:rPr>
                <w:rFonts w:cstheme="minorHAnsi"/>
                <w:i/>
                <w:iCs/>
              </w:rPr>
              <w:t xml:space="preserve">. </w:t>
            </w:r>
            <w:r w:rsidRPr="00B25CD1">
              <w:rPr>
                <w:rFonts w:cstheme="minorHAnsi"/>
              </w:rPr>
              <w:t xml:space="preserve"> </w:t>
            </w:r>
          </w:p>
          <w:p w14:paraId="17161B05" w14:textId="7A8C985A" w:rsidR="000651E9" w:rsidRPr="00B25CD1" w:rsidRDefault="004674D6" w:rsidP="000651E9">
            <w:pPr>
              <w:rPr>
                <w:rFonts w:cstheme="minorHAnsi"/>
              </w:rPr>
            </w:pPr>
            <w:r w:rsidRPr="00B25CD1">
              <w:rPr>
                <w:rFonts w:cstheme="minorHAnsi"/>
                <w:szCs w:val="18"/>
              </w:rPr>
              <w:t>Exposure</w:t>
            </w:r>
            <w:r w:rsidR="000651E9" w:rsidRPr="00B25CD1">
              <w:rPr>
                <w:rFonts w:cstheme="minorHAnsi"/>
                <w:szCs w:val="18"/>
              </w:rPr>
              <w:t xml:space="preserve"> to &gt;10 ppt </w:t>
            </w:r>
            <w:proofErr w:type="spellStart"/>
            <w:r w:rsidR="000651E9" w:rsidRPr="00B25CD1">
              <w:rPr>
                <w:rFonts w:cstheme="minorHAnsi"/>
                <w:szCs w:val="18"/>
              </w:rPr>
              <w:t>Quatsan</w:t>
            </w:r>
            <w:proofErr w:type="spellEnd"/>
            <w:r w:rsidR="000651E9" w:rsidRPr="00B25CD1">
              <w:rPr>
                <w:rFonts w:cstheme="minorHAnsi"/>
                <w:szCs w:val="18"/>
              </w:rPr>
              <w:t xml:space="preserve">™ or Conquest™ was effective against adult </w:t>
            </w:r>
            <w:r w:rsidR="000651E9" w:rsidRPr="00B25CD1">
              <w:rPr>
                <w:rFonts w:cstheme="minorHAnsi"/>
                <w:i/>
                <w:iCs/>
                <w:szCs w:val="18"/>
              </w:rPr>
              <w:t xml:space="preserve">Mytilus </w:t>
            </w:r>
            <w:proofErr w:type="spellStart"/>
            <w:r w:rsidR="000651E9" w:rsidRPr="00B25CD1">
              <w:rPr>
                <w:rFonts w:cstheme="minorHAnsi"/>
                <w:i/>
                <w:iCs/>
                <w:szCs w:val="18"/>
              </w:rPr>
              <w:t>galloprovincialis</w:t>
            </w:r>
            <w:proofErr w:type="spellEnd"/>
            <w:r w:rsidR="000651E9" w:rsidRPr="00B25CD1">
              <w:rPr>
                <w:rFonts w:cstheme="minorHAnsi"/>
                <w:i/>
                <w:iCs/>
                <w:szCs w:val="18"/>
              </w:rPr>
              <w:t xml:space="preserve"> </w:t>
            </w:r>
            <w:r w:rsidR="000651E9" w:rsidRPr="00B25CD1">
              <w:rPr>
                <w:rFonts w:cstheme="minorHAnsi"/>
                <w:szCs w:val="18"/>
              </w:rPr>
              <w:t>(Lewis &amp; Dimas 2007).</w:t>
            </w:r>
          </w:p>
        </w:tc>
        <w:tc>
          <w:tcPr>
            <w:tcW w:w="3969" w:type="dxa"/>
            <w:shd w:val="clear" w:color="auto" w:fill="FFFFFF" w:themeFill="background1"/>
          </w:tcPr>
          <w:p w14:paraId="461739C0" w14:textId="6D6B7CCA" w:rsidR="000651E9" w:rsidRPr="00846769" w:rsidRDefault="000651E9" w:rsidP="000651E9">
            <w:pPr>
              <w:rPr>
                <w:rFonts w:cstheme="minorHAnsi"/>
              </w:rPr>
            </w:pPr>
            <w:r w:rsidRPr="00846769">
              <w:rPr>
                <w:rFonts w:cstheme="minorHAnsi"/>
                <w:szCs w:val="18"/>
              </w:rPr>
              <w:t>No data currently available</w:t>
            </w:r>
          </w:p>
        </w:tc>
      </w:tr>
      <w:tr w:rsidR="000D7E11" w:rsidRPr="00846769" w14:paraId="30173DD5" w14:textId="77777777" w:rsidTr="00A04E26">
        <w:trPr>
          <w:cantSplit/>
        </w:trPr>
        <w:tc>
          <w:tcPr>
            <w:tcW w:w="2268" w:type="dxa"/>
            <w:shd w:val="clear" w:color="auto" w:fill="FFFFFF" w:themeFill="background1"/>
          </w:tcPr>
          <w:p w14:paraId="4C4F760D" w14:textId="77777777" w:rsidR="000D7E11" w:rsidRPr="00846769" w:rsidRDefault="000D7E11" w:rsidP="006966B1">
            <w:pPr>
              <w:pStyle w:val="TableText"/>
              <w:rPr>
                <w:rStyle w:val="Emphasis"/>
                <w:rFonts w:cstheme="minorHAnsi"/>
              </w:rPr>
            </w:pPr>
            <w:r w:rsidRPr="00846769">
              <w:rPr>
                <w:rStyle w:val="Emphasis"/>
                <w:rFonts w:cstheme="minorHAnsi"/>
              </w:rPr>
              <w:t>Mytilopsis sallei</w:t>
            </w:r>
          </w:p>
        </w:tc>
        <w:tc>
          <w:tcPr>
            <w:tcW w:w="3969" w:type="dxa"/>
            <w:shd w:val="clear" w:color="auto" w:fill="FFFFFF" w:themeFill="background1"/>
          </w:tcPr>
          <w:p w14:paraId="1F70BB59" w14:textId="77777777" w:rsidR="000D7E11" w:rsidRPr="00846769" w:rsidRDefault="000D7E11" w:rsidP="006966B1">
            <w:pPr>
              <w:rPr>
                <w:rFonts w:cstheme="minorHAnsi"/>
              </w:rPr>
            </w:pPr>
            <w:r w:rsidRPr="00846769">
              <w:rPr>
                <w:rFonts w:cstheme="minorHAnsi"/>
              </w:rPr>
              <w:t xml:space="preserve">Hand removal from vessels and marina infrastructure during localised small-scale </w:t>
            </w:r>
            <w:r w:rsidRPr="00DD01E4">
              <w:rPr>
                <w:rFonts w:cstheme="minorHAnsi"/>
              </w:rPr>
              <w:t>incursions (Willan et al. 2000).</w:t>
            </w:r>
          </w:p>
        </w:tc>
        <w:tc>
          <w:tcPr>
            <w:tcW w:w="3969" w:type="dxa"/>
            <w:shd w:val="clear" w:color="auto" w:fill="FFFFFF" w:themeFill="background1"/>
          </w:tcPr>
          <w:p w14:paraId="3D242F59" w14:textId="77777777" w:rsidR="000D7E11" w:rsidRPr="00846769" w:rsidRDefault="000D7E11" w:rsidP="006966B1">
            <w:pPr>
              <w:rPr>
                <w:rFonts w:cstheme="minorHAnsi"/>
              </w:rPr>
            </w:pPr>
            <w:r w:rsidRPr="00846769">
              <w:rPr>
                <w:rFonts w:cstheme="minorHAnsi"/>
              </w:rPr>
              <w:t xml:space="preserve">Chlorine in combination with copper sulphate was successful in eradicating </w:t>
            </w:r>
            <w:r w:rsidRPr="00846769">
              <w:rPr>
                <w:rFonts w:cstheme="minorHAnsi"/>
                <w:i/>
                <w:iCs/>
              </w:rPr>
              <w:t>M</w:t>
            </w:r>
            <w:r w:rsidR="000651E9" w:rsidRPr="00846769">
              <w:rPr>
                <w:rFonts w:cstheme="minorHAnsi"/>
                <w:i/>
                <w:iCs/>
              </w:rPr>
              <w:t>.</w:t>
            </w:r>
            <w:r w:rsidRPr="00846769">
              <w:rPr>
                <w:rFonts w:cstheme="minorHAnsi"/>
                <w:i/>
                <w:iCs/>
              </w:rPr>
              <w:t xml:space="preserve"> sallei </w:t>
            </w:r>
            <w:r w:rsidRPr="00846769">
              <w:rPr>
                <w:rFonts w:cstheme="minorHAnsi"/>
              </w:rPr>
              <w:t xml:space="preserve">from locked marinas in Darwin in 1999 (Bax et al. 2002; </w:t>
            </w:r>
            <w:r w:rsidRPr="00933093">
              <w:rPr>
                <w:rFonts w:cstheme="minorHAnsi"/>
              </w:rPr>
              <w:t>Ferguson 2000).</w:t>
            </w:r>
            <w:r w:rsidRPr="00846769">
              <w:rPr>
                <w:rFonts w:cstheme="minorHAnsi"/>
              </w:rPr>
              <w:t xml:space="preserve"> Chlorine concentration was &gt;24 mg/L over 6 days. </w:t>
            </w:r>
          </w:p>
          <w:p w14:paraId="42D00B04" w14:textId="613B0F2E" w:rsidR="00C17B03" w:rsidRPr="00846769" w:rsidRDefault="00C17B03" w:rsidP="006966B1">
            <w:pPr>
              <w:rPr>
                <w:rFonts w:cstheme="minorHAnsi"/>
                <w:i/>
                <w:iCs/>
              </w:rPr>
            </w:pPr>
            <w:r w:rsidRPr="00846769">
              <w:rPr>
                <w:rFonts w:cstheme="minorHAnsi"/>
              </w:rPr>
              <w:t>Conquest (&gt;5 ppm) was applied to a vessel using a cofferdam structure in place for &gt;13 hours to kill mollusc</w:t>
            </w:r>
            <w:r w:rsidRPr="00246AE3">
              <w:rPr>
                <w:rFonts w:cstheme="minorHAnsi"/>
              </w:rPr>
              <w:t xml:space="preserve">s after detection of </w:t>
            </w:r>
            <w:r w:rsidRPr="00246AE3">
              <w:rPr>
                <w:rFonts w:cstheme="minorHAnsi"/>
                <w:i/>
                <w:iCs/>
              </w:rPr>
              <w:t xml:space="preserve">M. sallei </w:t>
            </w:r>
            <w:r w:rsidRPr="00246AE3">
              <w:rPr>
                <w:rFonts w:cstheme="minorHAnsi"/>
              </w:rPr>
              <w:t>(CCIMPE, unpublished)</w:t>
            </w:r>
            <w:r w:rsidRPr="00246AE3">
              <w:rPr>
                <w:rFonts w:cstheme="minorHAnsi"/>
                <w:i/>
                <w:iCs/>
              </w:rPr>
              <w:t>.</w:t>
            </w:r>
            <w:r w:rsidRPr="00846769">
              <w:rPr>
                <w:rFonts w:cstheme="minorHAnsi"/>
                <w:i/>
                <w:iCs/>
              </w:rPr>
              <w:t xml:space="preserve"> </w:t>
            </w:r>
            <w:r w:rsidRPr="00846769">
              <w:rPr>
                <w:rFonts w:cstheme="minorHAnsi"/>
              </w:rPr>
              <w:t xml:space="preserve"> </w:t>
            </w:r>
          </w:p>
        </w:tc>
        <w:tc>
          <w:tcPr>
            <w:tcW w:w="3969" w:type="dxa"/>
            <w:shd w:val="clear" w:color="auto" w:fill="FFFFFF" w:themeFill="background1"/>
          </w:tcPr>
          <w:p w14:paraId="42436F72" w14:textId="7CE55E0D" w:rsidR="000D7E11" w:rsidRPr="00846769" w:rsidRDefault="000D7E11" w:rsidP="006966B1">
            <w:pPr>
              <w:rPr>
                <w:rFonts w:cstheme="minorHAnsi"/>
              </w:rPr>
            </w:pPr>
            <w:r w:rsidRPr="00846769">
              <w:rPr>
                <w:rFonts w:cstheme="minorHAnsi"/>
              </w:rPr>
              <w:t xml:space="preserve">The predatory whelk </w:t>
            </w:r>
            <w:proofErr w:type="spellStart"/>
            <w:r w:rsidRPr="00846769">
              <w:rPr>
                <w:rFonts w:cstheme="minorHAnsi"/>
                <w:i/>
                <w:iCs/>
              </w:rPr>
              <w:t>Reishia</w:t>
            </w:r>
            <w:proofErr w:type="spellEnd"/>
            <w:r w:rsidRPr="00846769">
              <w:rPr>
                <w:rFonts w:cstheme="minorHAnsi"/>
                <w:i/>
                <w:iCs/>
              </w:rPr>
              <w:t xml:space="preserve"> </w:t>
            </w:r>
            <w:proofErr w:type="spellStart"/>
            <w:r w:rsidRPr="00846769">
              <w:rPr>
                <w:rFonts w:cstheme="minorHAnsi"/>
                <w:i/>
                <w:iCs/>
              </w:rPr>
              <w:t>clavigera</w:t>
            </w:r>
            <w:proofErr w:type="spellEnd"/>
            <w:r w:rsidRPr="00846769">
              <w:rPr>
                <w:rFonts w:cstheme="minorHAnsi"/>
                <w:i/>
                <w:iCs/>
              </w:rPr>
              <w:t xml:space="preserve"> </w:t>
            </w:r>
            <w:r w:rsidRPr="00846769">
              <w:rPr>
                <w:rFonts w:cstheme="minorHAnsi"/>
              </w:rPr>
              <w:t xml:space="preserve">preferentially predated on invasive populations of </w:t>
            </w:r>
            <w:r w:rsidRPr="00846769">
              <w:rPr>
                <w:rFonts w:cstheme="minorHAnsi"/>
                <w:i/>
                <w:iCs/>
              </w:rPr>
              <w:t>M</w:t>
            </w:r>
            <w:r w:rsidR="000651E9" w:rsidRPr="00846769">
              <w:rPr>
                <w:rFonts w:cstheme="minorHAnsi"/>
                <w:i/>
                <w:iCs/>
              </w:rPr>
              <w:t>.</w:t>
            </w:r>
            <w:r w:rsidRPr="00846769">
              <w:rPr>
                <w:rFonts w:cstheme="minorHAnsi"/>
                <w:i/>
                <w:iCs/>
              </w:rPr>
              <w:t xml:space="preserve"> sallei </w:t>
            </w:r>
            <w:r w:rsidRPr="00846769">
              <w:rPr>
                <w:rFonts w:cstheme="minorHAnsi"/>
              </w:rPr>
              <w:t>in Hong Kong. However, this was drive</w:t>
            </w:r>
            <w:r w:rsidR="00375ED3">
              <w:rPr>
                <w:rFonts w:cstheme="minorHAnsi"/>
              </w:rPr>
              <w:t>n</w:t>
            </w:r>
            <w:r w:rsidRPr="00846769">
              <w:rPr>
                <w:rFonts w:cstheme="minorHAnsi"/>
              </w:rPr>
              <w:t xml:space="preserve"> by predation </w:t>
            </w:r>
            <w:r w:rsidRPr="00246AE3">
              <w:rPr>
                <w:rFonts w:cstheme="minorHAnsi"/>
              </w:rPr>
              <w:t>vulnerability (Astudillo et al. 2018).</w:t>
            </w:r>
          </w:p>
        </w:tc>
      </w:tr>
      <w:tr w:rsidR="000D7E11" w:rsidRPr="00846769" w14:paraId="37B3265E" w14:textId="77777777" w:rsidTr="00A04E26">
        <w:trPr>
          <w:cantSplit/>
        </w:trPr>
        <w:tc>
          <w:tcPr>
            <w:tcW w:w="2268" w:type="dxa"/>
            <w:shd w:val="clear" w:color="auto" w:fill="FFFFFF" w:themeFill="background1"/>
          </w:tcPr>
          <w:p w14:paraId="06ABF0EB" w14:textId="77777777" w:rsidR="000D7E11" w:rsidRPr="00846769" w:rsidRDefault="000D7E11" w:rsidP="006966B1">
            <w:pPr>
              <w:pStyle w:val="TableText"/>
              <w:rPr>
                <w:rStyle w:val="Emphasis"/>
                <w:rFonts w:cstheme="minorHAnsi"/>
                <w:i w:val="0"/>
                <w:iCs w:val="0"/>
              </w:rPr>
            </w:pPr>
            <w:r w:rsidRPr="00846769">
              <w:rPr>
                <w:rStyle w:val="Emphasis"/>
                <w:rFonts w:cstheme="minorHAnsi"/>
                <w:szCs w:val="22"/>
              </w:rPr>
              <w:lastRenderedPageBreak/>
              <w:t>P</w:t>
            </w:r>
            <w:r w:rsidRPr="00846769">
              <w:rPr>
                <w:rStyle w:val="Emphasis"/>
                <w:rFonts w:cstheme="minorHAnsi"/>
              </w:rPr>
              <w:t xml:space="preserve">erna </w:t>
            </w:r>
            <w:r w:rsidRPr="00846769">
              <w:rPr>
                <w:rStyle w:val="Emphasis"/>
                <w:rFonts w:cstheme="minorHAnsi"/>
                <w:i w:val="0"/>
                <w:iCs w:val="0"/>
              </w:rPr>
              <w:t>spp.</w:t>
            </w:r>
          </w:p>
        </w:tc>
        <w:tc>
          <w:tcPr>
            <w:tcW w:w="3969" w:type="dxa"/>
            <w:shd w:val="clear" w:color="auto" w:fill="FFFFFF" w:themeFill="background1"/>
          </w:tcPr>
          <w:p w14:paraId="0D46275D" w14:textId="39B6A6DC" w:rsidR="000D7E11" w:rsidRPr="00246AE3" w:rsidRDefault="000D7E11" w:rsidP="006966B1">
            <w:pPr>
              <w:pStyle w:val="TableText"/>
              <w:rPr>
                <w:rFonts w:cstheme="minorHAnsi"/>
                <w:szCs w:val="18"/>
              </w:rPr>
            </w:pPr>
            <w:r w:rsidRPr="00246AE3">
              <w:rPr>
                <w:rFonts w:cstheme="minorHAnsi"/>
                <w:szCs w:val="18"/>
              </w:rPr>
              <w:t xml:space="preserve">Removal of </w:t>
            </w:r>
            <w:r w:rsidRPr="00246AE3">
              <w:rPr>
                <w:rFonts w:cstheme="minorHAnsi"/>
                <w:i/>
                <w:iCs/>
                <w:szCs w:val="18"/>
              </w:rPr>
              <w:t>P</w:t>
            </w:r>
            <w:r w:rsidR="000651E9" w:rsidRPr="00246AE3">
              <w:rPr>
                <w:rFonts w:cstheme="minorHAnsi"/>
                <w:i/>
                <w:iCs/>
                <w:szCs w:val="18"/>
              </w:rPr>
              <w:t>.</w:t>
            </w:r>
            <w:r w:rsidRPr="00246AE3">
              <w:rPr>
                <w:rFonts w:cstheme="minorHAnsi"/>
                <w:i/>
                <w:iCs/>
                <w:szCs w:val="18"/>
              </w:rPr>
              <w:t xml:space="preserve"> perna </w:t>
            </w:r>
            <w:r w:rsidRPr="00246AE3">
              <w:rPr>
                <w:rFonts w:cstheme="minorHAnsi"/>
                <w:szCs w:val="18"/>
              </w:rPr>
              <w:t>in New Zealand using a commercial dredge (Hopkins et al. 2011).</w:t>
            </w:r>
          </w:p>
          <w:p w14:paraId="5760D2E8" w14:textId="77777777" w:rsidR="000D7E11" w:rsidRPr="00246AE3" w:rsidRDefault="000D7E11" w:rsidP="006966B1">
            <w:pPr>
              <w:pStyle w:val="TableText"/>
              <w:rPr>
                <w:rFonts w:cstheme="minorHAnsi"/>
                <w:szCs w:val="18"/>
              </w:rPr>
            </w:pPr>
          </w:p>
          <w:p w14:paraId="3887E9FF" w14:textId="3B30AF4F" w:rsidR="000D7E11" w:rsidRPr="00246AE3" w:rsidRDefault="000D7E11" w:rsidP="006966B1">
            <w:pPr>
              <w:pStyle w:val="TableText"/>
              <w:rPr>
                <w:rFonts w:cstheme="minorHAnsi"/>
                <w:szCs w:val="18"/>
              </w:rPr>
            </w:pPr>
            <w:r w:rsidRPr="00246AE3">
              <w:rPr>
                <w:rFonts w:cstheme="minorHAnsi"/>
                <w:szCs w:val="18"/>
              </w:rPr>
              <w:t xml:space="preserve">2 mm </w:t>
            </w:r>
            <w:r w:rsidRPr="00246AE3">
              <w:rPr>
                <w:rFonts w:cstheme="minorHAnsi"/>
                <w:i/>
                <w:iCs/>
                <w:szCs w:val="18"/>
              </w:rPr>
              <w:t>P</w:t>
            </w:r>
            <w:r w:rsidR="000651E9" w:rsidRPr="00246AE3">
              <w:rPr>
                <w:rFonts w:cstheme="minorHAnsi"/>
                <w:i/>
                <w:iCs/>
                <w:szCs w:val="18"/>
              </w:rPr>
              <w:t xml:space="preserve">. </w:t>
            </w:r>
            <w:r w:rsidRPr="00246AE3">
              <w:rPr>
                <w:rFonts w:cstheme="minorHAnsi"/>
                <w:i/>
                <w:iCs/>
                <w:szCs w:val="18"/>
              </w:rPr>
              <w:t xml:space="preserve">viridis </w:t>
            </w:r>
            <w:r w:rsidRPr="00246AE3">
              <w:rPr>
                <w:rFonts w:cstheme="minorHAnsi"/>
                <w:szCs w:val="18"/>
              </w:rPr>
              <w:t xml:space="preserve">exposed to 39°C resulted in 50% mortality in 58 minutes and 100% in 73 minutes; mortality was strongly dependent on size and age of mussel. </w:t>
            </w:r>
          </w:p>
          <w:p w14:paraId="1131E03E" w14:textId="77777777" w:rsidR="00C17B03" w:rsidRPr="00246AE3" w:rsidRDefault="00C17B03" w:rsidP="006966B1">
            <w:pPr>
              <w:pStyle w:val="TableText"/>
              <w:rPr>
                <w:rFonts w:cstheme="minorHAnsi"/>
                <w:szCs w:val="18"/>
              </w:rPr>
            </w:pPr>
          </w:p>
          <w:p w14:paraId="27F0BB8E" w14:textId="4EF8FEE0" w:rsidR="00C17B03" w:rsidRPr="00246AE3" w:rsidRDefault="00C17B03" w:rsidP="006966B1">
            <w:pPr>
              <w:pStyle w:val="TableText"/>
              <w:rPr>
                <w:rFonts w:cstheme="minorHAnsi"/>
                <w:szCs w:val="18"/>
              </w:rPr>
            </w:pPr>
            <w:r w:rsidRPr="00246AE3">
              <w:rPr>
                <w:rFonts w:cstheme="minorHAnsi"/>
                <w:i/>
                <w:iCs/>
                <w:szCs w:val="18"/>
              </w:rPr>
              <w:t xml:space="preserve">P. viridis </w:t>
            </w:r>
            <w:r w:rsidRPr="00246AE3">
              <w:rPr>
                <w:rFonts w:cstheme="minorHAnsi"/>
                <w:szCs w:val="18"/>
              </w:rPr>
              <w:t xml:space="preserve">has been removed from vessels by hand using divers, </w:t>
            </w:r>
            <w:r w:rsidR="004674D6" w:rsidRPr="00246AE3">
              <w:rPr>
                <w:rFonts w:cstheme="minorHAnsi"/>
                <w:szCs w:val="18"/>
              </w:rPr>
              <w:t xml:space="preserve">or </w:t>
            </w:r>
            <w:r w:rsidRPr="00246AE3">
              <w:rPr>
                <w:rFonts w:cstheme="minorHAnsi"/>
                <w:szCs w:val="18"/>
              </w:rPr>
              <w:t>with high pressure hoses</w:t>
            </w:r>
            <w:r w:rsidR="004674D6" w:rsidRPr="00246AE3">
              <w:rPr>
                <w:rFonts w:cstheme="minorHAnsi"/>
                <w:szCs w:val="18"/>
              </w:rPr>
              <w:t xml:space="preserve"> (CCIMPE, unpublished)</w:t>
            </w:r>
            <w:r w:rsidRPr="00246AE3">
              <w:rPr>
                <w:rFonts w:cstheme="minorHAnsi"/>
                <w:szCs w:val="18"/>
              </w:rPr>
              <w:t>.</w:t>
            </w:r>
          </w:p>
          <w:p w14:paraId="51289BB3" w14:textId="77777777" w:rsidR="000D7E11" w:rsidRPr="00246AE3" w:rsidRDefault="000D7E11" w:rsidP="006966B1">
            <w:pPr>
              <w:pStyle w:val="TableText"/>
              <w:rPr>
                <w:rFonts w:cstheme="minorHAnsi"/>
                <w:szCs w:val="18"/>
              </w:rPr>
            </w:pPr>
          </w:p>
          <w:p w14:paraId="1DEA077C" w14:textId="1BF39BA5" w:rsidR="000D7E11" w:rsidRPr="00246AE3" w:rsidRDefault="000D7E11" w:rsidP="006966B1">
            <w:pPr>
              <w:pStyle w:val="TableText"/>
              <w:rPr>
                <w:rFonts w:cstheme="minorHAnsi"/>
                <w:szCs w:val="18"/>
              </w:rPr>
            </w:pPr>
            <w:r w:rsidRPr="00246AE3">
              <w:rPr>
                <w:rFonts w:cstheme="minorHAnsi"/>
                <w:i/>
                <w:iCs/>
                <w:szCs w:val="18"/>
              </w:rPr>
              <w:t>P</w:t>
            </w:r>
            <w:r w:rsidR="000651E9" w:rsidRPr="00246AE3">
              <w:rPr>
                <w:rFonts w:cstheme="minorHAnsi"/>
                <w:i/>
                <w:iCs/>
                <w:szCs w:val="18"/>
              </w:rPr>
              <w:t>.</w:t>
            </w:r>
            <w:r w:rsidRPr="00246AE3">
              <w:rPr>
                <w:rFonts w:cstheme="minorHAnsi"/>
                <w:i/>
                <w:iCs/>
                <w:szCs w:val="18"/>
              </w:rPr>
              <w:t xml:space="preserve"> can</w:t>
            </w:r>
            <w:r w:rsidR="000651E9" w:rsidRPr="00246AE3">
              <w:rPr>
                <w:rFonts w:cstheme="minorHAnsi"/>
                <w:i/>
                <w:iCs/>
                <w:szCs w:val="18"/>
              </w:rPr>
              <w:t>a</w:t>
            </w:r>
            <w:r w:rsidRPr="00246AE3">
              <w:rPr>
                <w:rFonts w:cstheme="minorHAnsi"/>
                <w:i/>
                <w:iCs/>
                <w:szCs w:val="18"/>
              </w:rPr>
              <w:t xml:space="preserve">liculus </w:t>
            </w:r>
            <w:r w:rsidRPr="00246AE3">
              <w:rPr>
                <w:rFonts w:cstheme="minorHAnsi"/>
                <w:szCs w:val="18"/>
              </w:rPr>
              <w:t>was removed by divers from a small</w:t>
            </w:r>
            <w:r w:rsidR="00375ED3">
              <w:rPr>
                <w:rFonts w:cstheme="minorHAnsi"/>
                <w:szCs w:val="18"/>
              </w:rPr>
              <w:t>,</w:t>
            </w:r>
            <w:r w:rsidRPr="00246AE3">
              <w:rPr>
                <w:rFonts w:cstheme="minorHAnsi"/>
                <w:szCs w:val="18"/>
              </w:rPr>
              <w:t xml:space="preserve"> contained infestation in South Australia</w:t>
            </w:r>
            <w:r w:rsidR="004674D6" w:rsidRPr="00246AE3">
              <w:rPr>
                <w:rFonts w:cstheme="minorHAnsi"/>
                <w:szCs w:val="18"/>
              </w:rPr>
              <w:t xml:space="preserve"> (CCIMPE, unpublished)</w:t>
            </w:r>
            <w:r w:rsidRPr="00246AE3">
              <w:rPr>
                <w:rFonts w:cstheme="minorHAnsi"/>
                <w:szCs w:val="18"/>
              </w:rPr>
              <w:t>.</w:t>
            </w:r>
          </w:p>
        </w:tc>
        <w:tc>
          <w:tcPr>
            <w:tcW w:w="3969" w:type="dxa"/>
            <w:shd w:val="clear" w:color="auto" w:fill="FFFFFF" w:themeFill="background1"/>
          </w:tcPr>
          <w:p w14:paraId="362DD147" w14:textId="2BBBD3CE" w:rsidR="000D7E11" w:rsidRPr="00246AE3" w:rsidRDefault="00744D80" w:rsidP="006966B1">
            <w:pPr>
              <w:pStyle w:val="TableText"/>
              <w:rPr>
                <w:rFonts w:cstheme="minorBidi"/>
              </w:rPr>
            </w:pPr>
            <w:r w:rsidRPr="00246AE3">
              <w:rPr>
                <w:rFonts w:cstheme="minorHAnsi"/>
              </w:rPr>
              <w:t xml:space="preserve">Conquest (&gt;5 ppm) was applied to a vessel’s in-water systems for over &gt;10 hours to kill molluscs after detection of </w:t>
            </w:r>
            <w:r w:rsidRPr="00246AE3">
              <w:rPr>
                <w:rFonts w:cstheme="minorHAnsi"/>
                <w:i/>
                <w:iCs/>
              </w:rPr>
              <w:t xml:space="preserve">P. viridis </w:t>
            </w:r>
            <w:r w:rsidRPr="00246AE3">
              <w:rPr>
                <w:rFonts w:cstheme="minorHAnsi"/>
              </w:rPr>
              <w:t>(CCIMPE, unpublished)</w:t>
            </w:r>
            <w:r w:rsidRPr="00246AE3">
              <w:rPr>
                <w:rFonts w:cstheme="minorHAnsi"/>
                <w:i/>
                <w:iCs/>
              </w:rPr>
              <w:t xml:space="preserve">. </w:t>
            </w:r>
            <w:r w:rsidRPr="00246AE3">
              <w:rPr>
                <w:rFonts w:cstheme="minorHAnsi"/>
              </w:rPr>
              <w:t xml:space="preserve"> </w:t>
            </w:r>
          </w:p>
        </w:tc>
        <w:tc>
          <w:tcPr>
            <w:tcW w:w="3969" w:type="dxa"/>
            <w:shd w:val="clear" w:color="auto" w:fill="FFFFFF" w:themeFill="background1"/>
          </w:tcPr>
          <w:p w14:paraId="16C2513C" w14:textId="77777777" w:rsidR="000D7E11" w:rsidRPr="00846769" w:rsidRDefault="000D7E11" w:rsidP="006966B1">
            <w:pPr>
              <w:pStyle w:val="TableText"/>
              <w:rPr>
                <w:rFonts w:cstheme="minorHAnsi"/>
                <w:szCs w:val="18"/>
              </w:rPr>
            </w:pPr>
            <w:r w:rsidRPr="00846769">
              <w:rPr>
                <w:rFonts w:cstheme="minorHAnsi"/>
                <w:szCs w:val="18"/>
              </w:rPr>
              <w:t>No data currently available</w:t>
            </w:r>
          </w:p>
        </w:tc>
      </w:tr>
      <w:bookmarkEnd w:id="567"/>
    </w:tbl>
    <w:p w14:paraId="5EDA486A" w14:textId="77777777" w:rsidR="000D7E11" w:rsidRPr="00846769" w:rsidRDefault="000D7E11" w:rsidP="000D7E11"/>
    <w:p w14:paraId="7719065C" w14:textId="77777777" w:rsidR="000D7E11" w:rsidRPr="00846769" w:rsidRDefault="000D7E11" w:rsidP="000D7E11">
      <w:pPr>
        <w:sectPr w:rsidR="000D7E11" w:rsidRPr="00846769" w:rsidSect="00126A8A">
          <w:footnotePr>
            <w:numFmt w:val="lowerLetter"/>
          </w:footnotePr>
          <w:pgSz w:w="16838" w:h="11906" w:orient="landscape"/>
          <w:pgMar w:top="1440" w:right="1440" w:bottom="1440" w:left="1440" w:header="709" w:footer="709" w:gutter="0"/>
          <w:cols w:space="708"/>
          <w:docGrid w:linePitch="360"/>
        </w:sectPr>
      </w:pPr>
    </w:p>
    <w:p w14:paraId="4BA0AAAA" w14:textId="1D9726C7" w:rsidR="00E83644" w:rsidRPr="00846769" w:rsidRDefault="00E83644" w:rsidP="00A04E26">
      <w:pPr>
        <w:pStyle w:val="Heading2"/>
        <w:numPr>
          <w:ilvl w:val="0"/>
          <w:numId w:val="2"/>
        </w:numPr>
        <w:ind w:left="709" w:hanging="709"/>
      </w:pPr>
      <w:bookmarkStart w:id="568" w:name="_Methods_for_treating"/>
      <w:bookmarkStart w:id="569" w:name="_Chemical_treatments"/>
      <w:bookmarkStart w:id="570" w:name="_Decontamination,_destruction,_and"/>
      <w:bookmarkStart w:id="571" w:name="_Toc191998673"/>
      <w:bookmarkEnd w:id="518"/>
      <w:bookmarkEnd w:id="568"/>
      <w:bookmarkEnd w:id="569"/>
      <w:bookmarkEnd w:id="570"/>
      <w:r w:rsidRPr="00846769">
        <w:lastRenderedPageBreak/>
        <w:t>Decontamination, destruction, and disposal</w:t>
      </w:r>
      <w:bookmarkEnd w:id="571"/>
    </w:p>
    <w:p w14:paraId="6C621EA7" w14:textId="4A95C599" w:rsidR="00E83644" w:rsidRPr="00846769" w:rsidRDefault="00E83644" w:rsidP="00E83644">
      <w:pPr>
        <w:rPr>
          <w:u w:color="0070C0"/>
        </w:rPr>
      </w:pPr>
      <w:r w:rsidRPr="00846769">
        <w:t>This section contains material summarised or adapted from the Aquatic Veterinary Emergency Plan (</w:t>
      </w:r>
      <w:hyperlink r:id="rId189" w:history="1">
        <w:r w:rsidRPr="00846769">
          <w:rPr>
            <w:color w:val="0070C0"/>
            <w:u w:val="single" w:color="0070C0"/>
          </w:rPr>
          <w:t>AQUAVETPLAN</w:t>
        </w:r>
      </w:hyperlink>
      <w:r w:rsidRPr="00846769">
        <w:t>) manuals because of similarities in decontamination, destruction</w:t>
      </w:r>
      <w:r w:rsidR="00947AE3" w:rsidRPr="00846769">
        <w:t>,</w:t>
      </w:r>
      <w:r w:rsidRPr="00846769">
        <w:t xml:space="preserve"> and disposal methods suitable for </w:t>
      </w:r>
      <w:r w:rsidR="00E3680D">
        <w:t>invasive marine bivalves</w:t>
      </w:r>
      <w:r w:rsidRPr="00846769">
        <w:t>. This section is intended to be used in conjunction with the AQUAVETPLAN manuals which detail methods of</w:t>
      </w:r>
      <w:r w:rsidRPr="00846769">
        <w:rPr>
          <w:color w:val="0070C0"/>
          <w:u w:color="0070C0"/>
        </w:rPr>
        <w:t xml:space="preserve"> </w:t>
      </w:r>
      <w:r w:rsidRPr="00846769">
        <w:rPr>
          <w:u w:color="0070C0"/>
        </w:rPr>
        <w:t>disease control:</w:t>
      </w:r>
    </w:p>
    <w:p w14:paraId="0B3EEA1A" w14:textId="77777777" w:rsidR="00E83644" w:rsidRPr="00846769" w:rsidRDefault="00E83644" w:rsidP="00E83644">
      <w:pPr>
        <w:pStyle w:val="ListBullet"/>
        <w:rPr>
          <w:u w:color="0070C0"/>
        </w:rPr>
      </w:pPr>
      <w:r w:rsidRPr="00846769">
        <w:t>decontamination (</w:t>
      </w:r>
      <w:hyperlink r:id="rId190" w:history="1">
        <w:r w:rsidRPr="00846769">
          <w:rPr>
            <w:rStyle w:val="Hyperlink"/>
          </w:rPr>
          <w:t>AQUAVETPLAN – Operational Procedures Manual – Decontamination</w:t>
        </w:r>
      </w:hyperlink>
      <w:r w:rsidRPr="00846769">
        <w:t>)</w:t>
      </w:r>
    </w:p>
    <w:p w14:paraId="07A79D9F" w14:textId="77777777" w:rsidR="00E83644" w:rsidRPr="00846769" w:rsidRDefault="00E83644" w:rsidP="00E83644">
      <w:pPr>
        <w:pStyle w:val="ListBullet"/>
        <w:rPr>
          <w:u w:color="0070C0"/>
        </w:rPr>
      </w:pPr>
      <w:r w:rsidRPr="00846769">
        <w:t>destruction (</w:t>
      </w:r>
      <w:hyperlink r:id="rId191" w:history="1">
        <w:r w:rsidRPr="00846769">
          <w:rPr>
            <w:rStyle w:val="Hyperlink"/>
          </w:rPr>
          <w:t>AQUAVETPLAN – Operational Procedures Manual – Destruction</w:t>
        </w:r>
      </w:hyperlink>
      <w:r w:rsidRPr="00846769">
        <w:t xml:space="preserve">) </w:t>
      </w:r>
    </w:p>
    <w:p w14:paraId="44569CC0" w14:textId="77777777" w:rsidR="00E83644" w:rsidRPr="00846769" w:rsidRDefault="00E83644" w:rsidP="00E83644">
      <w:pPr>
        <w:pStyle w:val="ListBullet"/>
      </w:pPr>
      <w:r w:rsidRPr="00846769">
        <w:t>disposal (</w:t>
      </w:r>
      <w:hyperlink r:id="rId192" w:history="1">
        <w:r w:rsidRPr="00846769">
          <w:rPr>
            <w:rStyle w:val="Hyperlink"/>
          </w:rPr>
          <w:t>AQUAVETPLAN – Operational Procedures Manual – Disposal</w:t>
        </w:r>
      </w:hyperlink>
      <w:r w:rsidRPr="00846769">
        <w:t xml:space="preserve">). </w:t>
      </w:r>
    </w:p>
    <w:p w14:paraId="49C8503C" w14:textId="17467365" w:rsidR="00E83644" w:rsidRPr="00846769" w:rsidRDefault="00E83644" w:rsidP="00E83644">
      <w:r w:rsidRPr="00846769">
        <w:t xml:space="preserve">See </w:t>
      </w:r>
      <w:hyperlink w:anchor="_Methods_for_containment," w:history="1">
        <w:r w:rsidRPr="00846769">
          <w:rPr>
            <w:rStyle w:val="Hyperlink"/>
          </w:rPr>
          <w:t>Section 5</w:t>
        </w:r>
        <w:r w:rsidR="0044180A" w:rsidRPr="00846769">
          <w:rPr>
            <w:rStyle w:val="Hyperlink"/>
          </w:rPr>
          <w:t>.3</w:t>
        </w:r>
      </w:hyperlink>
      <w:r w:rsidR="0044180A" w:rsidRPr="00846769">
        <w:t xml:space="preserve"> </w:t>
      </w:r>
      <w:r w:rsidRPr="00846769">
        <w:t xml:space="preserve">for </w:t>
      </w:r>
      <w:r w:rsidR="00947AE3" w:rsidRPr="00846769">
        <w:t xml:space="preserve">treatment </w:t>
      </w:r>
      <w:r w:rsidRPr="00846769">
        <w:t>methods that can assist with decontamination and destruction</w:t>
      </w:r>
      <w:r w:rsidR="00E3680D">
        <w:t xml:space="preserve"> of invasive marine bivalves</w:t>
      </w:r>
      <w:r w:rsidRPr="00846769">
        <w:t xml:space="preserve"> in addition to the above </w:t>
      </w:r>
      <w:r w:rsidR="00E3680D">
        <w:t xml:space="preserve">AQUAVETPLAN </w:t>
      </w:r>
      <w:r w:rsidRPr="00846769">
        <w:t>manuals.</w:t>
      </w:r>
    </w:p>
    <w:p w14:paraId="319F9289" w14:textId="6D62ADB5" w:rsidR="00E83644" w:rsidRPr="00846769" w:rsidRDefault="00E83644" w:rsidP="00E83644">
      <w:pPr>
        <w:pStyle w:val="Heading3"/>
        <w:numPr>
          <w:ilvl w:val="1"/>
          <w:numId w:val="4"/>
        </w:numPr>
      </w:pPr>
      <w:bookmarkStart w:id="572" w:name="_Toc191998674"/>
      <w:r w:rsidRPr="00846769">
        <w:t>Decontamination</w:t>
      </w:r>
      <w:bookmarkEnd w:id="572"/>
    </w:p>
    <w:p w14:paraId="6C4FBF53" w14:textId="4124D9FC" w:rsidR="00E83644" w:rsidRPr="00B25CD1" w:rsidRDefault="00E83644" w:rsidP="00E83644">
      <w:r w:rsidRPr="00846769">
        <w:t xml:space="preserve">Decontamination is the </w:t>
      </w:r>
      <w:r w:rsidRPr="00B25CD1">
        <w:t xml:space="preserve">cleaning or treatment of material used to remove </w:t>
      </w:r>
      <w:r w:rsidR="00E3680D" w:rsidRPr="00B25CD1">
        <w:t>invasive marine bivalves</w:t>
      </w:r>
      <w:r w:rsidRPr="00B25CD1">
        <w:t xml:space="preserve"> or render </w:t>
      </w:r>
      <w:r w:rsidR="00E3680D" w:rsidRPr="00B25CD1">
        <w:t xml:space="preserve">bivalves </w:t>
      </w:r>
      <w:r w:rsidRPr="00B25CD1">
        <w:t xml:space="preserve">non-viable, including their propagules and any parasite and pathogen that can be associated with the marine pest species </w:t>
      </w:r>
      <w:r w:rsidRPr="00B25CD1">
        <w:fldChar w:fldCharType="begin">
          <w:fldData xml:space="preserve">PEVuZE5vdGU+PENpdGU+PEF1dGhvcj5Zb3VuZzwvQXV0aG9yPjxZZWFyPjIwMTc8L1llYXI+PFJl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</w:fldData>
        </w:fldChar>
      </w:r>
      <w:r w:rsidRPr="00B25CD1">
        <w:instrText xml:space="preserve"> ADDIN EN.CITE </w:instrText>
      </w:r>
      <w:r w:rsidRPr="00B25CD1">
        <w:fldChar w:fldCharType="begin">
          <w:fldData xml:space="preserve">PEVuZE5vdGU+PENpdGU+PEF1dGhvcj5Zb3VuZzwvQXV0aG9yPjxZZWFyPjIwMTc8L1llYXI+PFJl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</w:fldData>
        </w:fldChar>
      </w:r>
      <w:r w:rsidRPr="00B25CD1">
        <w:instrText xml:space="preserve"> ADDIN EN.CITE.DATA </w:instrText>
      </w:r>
      <w:r w:rsidRPr="00B25CD1">
        <w:fldChar w:fldCharType="end"/>
      </w:r>
      <w:r w:rsidRPr="00B25CD1">
        <w:fldChar w:fldCharType="separate"/>
      </w:r>
      <w:r w:rsidRPr="00B25CD1">
        <w:t>(Young</w:t>
      </w:r>
      <w:r w:rsidRPr="00B25CD1">
        <w:rPr>
          <w:iCs/>
        </w:rPr>
        <w:t xml:space="preserve"> et al</w:t>
      </w:r>
      <w:r w:rsidRPr="00B25CD1">
        <w:rPr>
          <w:i/>
        </w:rPr>
        <w:t>.</w:t>
      </w:r>
      <w:r w:rsidRPr="00B25CD1">
        <w:t xml:space="preserve"> 2017)</w:t>
      </w:r>
      <w:r w:rsidRPr="00B25CD1">
        <w:fldChar w:fldCharType="end"/>
      </w:r>
      <w:r w:rsidRPr="00B25CD1">
        <w:t xml:space="preserve">. Some decontamination occurs </w:t>
      </w:r>
      <w:r w:rsidRPr="00B25CD1">
        <w:rPr>
          <w:i/>
        </w:rPr>
        <w:t>in situ</w:t>
      </w:r>
      <w:r w:rsidRPr="00B25CD1">
        <w:t xml:space="preserve"> and no separate disposal activities occur. Other methods, such as most physical removal, require removal and capture of </w:t>
      </w:r>
      <w:r w:rsidR="001B23E4" w:rsidRPr="00B25CD1">
        <w:t>invasive marine bivalves</w:t>
      </w:r>
      <w:r w:rsidRPr="00B25CD1">
        <w:t xml:space="preserve"> and it is vital that destruction and disposal occur. Appropriate decontamination procedures are required to allow personnel, machinery, and equipment to move safely between locations during response operations. </w:t>
      </w:r>
    </w:p>
    <w:p w14:paraId="4A6BB5E8" w14:textId="1A05DD9A" w:rsidR="00E83644" w:rsidRPr="00846769" w:rsidRDefault="00E83644" w:rsidP="00E83644">
      <w:r w:rsidRPr="00B25CD1">
        <w:t>The decontamination process comprises several stages (DAFF 202</w:t>
      </w:r>
      <w:r w:rsidR="00933093" w:rsidRPr="00B25CD1">
        <w:t>2a</w:t>
      </w:r>
      <w:r w:rsidRPr="00B25CD1">
        <w:t>):</w:t>
      </w:r>
    </w:p>
    <w:p w14:paraId="212E6EB5" w14:textId="77777777" w:rsidR="00E83644" w:rsidRPr="00846769" w:rsidRDefault="00E83644" w:rsidP="00E83644">
      <w:pPr>
        <w:pStyle w:val="ListBullet"/>
      </w:pPr>
      <w:r w:rsidRPr="00846769">
        <w:t>planning:</w:t>
      </w:r>
    </w:p>
    <w:p w14:paraId="0D59DF0A" w14:textId="77777777" w:rsidR="00E83644" w:rsidRPr="00846769" w:rsidRDefault="00E83644" w:rsidP="00E83644">
      <w:pPr>
        <w:pStyle w:val="ListBullet2"/>
      </w:pPr>
      <w:r w:rsidRPr="00846769">
        <w:t>identification and assessment of risks</w:t>
      </w:r>
    </w:p>
    <w:p w14:paraId="4BCE2879" w14:textId="77777777" w:rsidR="00E83644" w:rsidRPr="00846769" w:rsidRDefault="00E83644" w:rsidP="00E83644">
      <w:pPr>
        <w:pStyle w:val="ListBullet2"/>
      </w:pPr>
      <w:r w:rsidRPr="00846769">
        <w:t>design of efficient and effective procedures</w:t>
      </w:r>
    </w:p>
    <w:p w14:paraId="3EF37962" w14:textId="77777777" w:rsidR="00E83644" w:rsidRPr="00846769" w:rsidRDefault="00E83644" w:rsidP="00E83644">
      <w:pPr>
        <w:pStyle w:val="ListBullet2"/>
      </w:pPr>
      <w:r w:rsidRPr="00846769">
        <w:t>training of personnel</w:t>
      </w:r>
    </w:p>
    <w:p w14:paraId="1D846CC3" w14:textId="77777777" w:rsidR="00E83644" w:rsidRPr="00846769" w:rsidRDefault="00E83644" w:rsidP="00E83644">
      <w:pPr>
        <w:pStyle w:val="ListBullet"/>
      </w:pPr>
      <w:r w:rsidRPr="00846769">
        <w:t>implementation:</w:t>
      </w:r>
    </w:p>
    <w:p w14:paraId="7C4D253D" w14:textId="77777777" w:rsidR="00E83644" w:rsidRPr="00846769" w:rsidRDefault="00E83644" w:rsidP="00E83644">
      <w:pPr>
        <w:pStyle w:val="ListBullet2"/>
      </w:pPr>
      <w:r w:rsidRPr="00846769">
        <w:t>cleaning</w:t>
      </w:r>
    </w:p>
    <w:p w14:paraId="369AA267" w14:textId="77777777" w:rsidR="00E83644" w:rsidRPr="00846769" w:rsidRDefault="00E83644" w:rsidP="00E83644">
      <w:pPr>
        <w:pStyle w:val="ListBullet2"/>
      </w:pPr>
      <w:r w:rsidRPr="00846769">
        <w:t>disinfection</w:t>
      </w:r>
    </w:p>
    <w:p w14:paraId="65550C07" w14:textId="77777777" w:rsidR="00E83644" w:rsidRPr="00846769" w:rsidRDefault="00E83644" w:rsidP="00E83644">
      <w:pPr>
        <w:pStyle w:val="ListBullet2"/>
      </w:pPr>
      <w:r w:rsidRPr="00846769">
        <w:t>waste treatment and disposal.</w:t>
      </w:r>
    </w:p>
    <w:p w14:paraId="0ABB54BE" w14:textId="77777777" w:rsidR="00E83644" w:rsidRPr="00846769" w:rsidRDefault="00E83644" w:rsidP="00E83644">
      <w:pPr>
        <w:rPr>
          <w:rFonts w:cstheme="minorHAnsi"/>
        </w:rPr>
      </w:pPr>
      <w:r w:rsidRPr="00846769">
        <w:t>If decontamination is required, a plan should be developed considering the following information:</w:t>
      </w:r>
    </w:p>
    <w:p w14:paraId="4FAEBB97" w14:textId="77777777" w:rsidR="00E83644" w:rsidRPr="00846769" w:rsidRDefault="00E83644" w:rsidP="00E83644">
      <w:pPr>
        <w:pStyle w:val="ListBullet"/>
      </w:pPr>
      <w:r w:rsidRPr="00846769">
        <w:t>the nature of the pest and how is it most effectively removed</w:t>
      </w:r>
    </w:p>
    <w:p w14:paraId="7D5F5D07" w14:textId="258E7941" w:rsidR="00E83644" w:rsidRPr="00846769" w:rsidRDefault="00E83644" w:rsidP="00E83644">
      <w:pPr>
        <w:pStyle w:val="ListBullet"/>
      </w:pPr>
      <w:r w:rsidRPr="00846769">
        <w:t>type of environment, material</w:t>
      </w:r>
      <w:r w:rsidR="005C6216" w:rsidRPr="00846769">
        <w:t>,</w:t>
      </w:r>
      <w:r w:rsidRPr="00846769">
        <w:t xml:space="preserve"> or equipment requiring decontamination</w:t>
      </w:r>
    </w:p>
    <w:p w14:paraId="4E80D931" w14:textId="77777777" w:rsidR="00E83644" w:rsidRPr="00846769" w:rsidRDefault="00E83644" w:rsidP="00E83644">
      <w:pPr>
        <w:pStyle w:val="ListBullet"/>
      </w:pPr>
      <w:r w:rsidRPr="00846769">
        <w:t>water supply quality and quantity:</w:t>
      </w:r>
    </w:p>
    <w:p w14:paraId="40190C2F" w14:textId="77777777" w:rsidR="00E83644" w:rsidRPr="00846769" w:rsidRDefault="00E83644" w:rsidP="00E83644">
      <w:pPr>
        <w:pStyle w:val="ListBullet2"/>
      </w:pPr>
      <w:r w:rsidRPr="00846769">
        <w:t xml:space="preserve">organic matter rapidly inactivates </w:t>
      </w:r>
      <w:proofErr w:type="gramStart"/>
      <w:r w:rsidRPr="00846769">
        <w:t>a number of</w:t>
      </w:r>
      <w:proofErr w:type="gramEnd"/>
      <w:r w:rsidRPr="00846769">
        <w:t xml:space="preserve"> chemical disinfectants</w:t>
      </w:r>
    </w:p>
    <w:p w14:paraId="1BF549AF" w14:textId="77777777" w:rsidR="00E83644" w:rsidRPr="00846769" w:rsidRDefault="00E83644" w:rsidP="00E83644">
      <w:pPr>
        <w:pStyle w:val="ListBullet"/>
      </w:pPr>
      <w:r w:rsidRPr="00846769">
        <w:lastRenderedPageBreak/>
        <w:t>available options for disinfection:</w:t>
      </w:r>
    </w:p>
    <w:p w14:paraId="2C18738D" w14:textId="77777777" w:rsidR="00E83644" w:rsidRPr="00846769" w:rsidRDefault="00E83644" w:rsidP="00E83644">
      <w:pPr>
        <w:pStyle w:val="ListBullet2"/>
      </w:pPr>
      <w:r w:rsidRPr="00846769">
        <w:t>including disinfectant chemical compatibility if multiple agents are in use</w:t>
      </w:r>
    </w:p>
    <w:p w14:paraId="4115ABCF" w14:textId="77777777" w:rsidR="00E83644" w:rsidRPr="00846769" w:rsidRDefault="00E83644" w:rsidP="00E83644">
      <w:pPr>
        <w:pStyle w:val="ListBullet"/>
      </w:pPr>
      <w:r w:rsidRPr="00846769">
        <w:t>risks to the safety of personnel and equipment:</w:t>
      </w:r>
    </w:p>
    <w:p w14:paraId="776CF7E4" w14:textId="77777777" w:rsidR="00E83644" w:rsidRPr="00846769" w:rsidRDefault="00E83644" w:rsidP="00E83644">
      <w:pPr>
        <w:pStyle w:val="ListBullet2"/>
      </w:pPr>
      <w:r w:rsidRPr="00846769">
        <w:t>disinfectants can be corrosive, and most are irritants to people</w:t>
      </w:r>
    </w:p>
    <w:p w14:paraId="2A6EE1E9" w14:textId="77777777" w:rsidR="00E83644" w:rsidRPr="00846769" w:rsidRDefault="00E83644" w:rsidP="00E83644">
      <w:pPr>
        <w:pStyle w:val="ListBullet"/>
      </w:pPr>
      <w:r w:rsidRPr="00846769">
        <w:t>environmental pollution risks:</w:t>
      </w:r>
    </w:p>
    <w:p w14:paraId="7ADD79B0" w14:textId="77777777" w:rsidR="00E83644" w:rsidRPr="00846769" w:rsidRDefault="00E83644" w:rsidP="00E83644">
      <w:pPr>
        <w:pStyle w:val="ListBullet2"/>
      </w:pPr>
      <w:r w:rsidRPr="00846769">
        <w:t>most disinfectants are toxic to aquatic life, although some are degraded quickly</w:t>
      </w:r>
    </w:p>
    <w:p w14:paraId="1D92512C" w14:textId="77777777" w:rsidR="00E83644" w:rsidRPr="00846769" w:rsidRDefault="00E83644" w:rsidP="00E83644">
      <w:pPr>
        <w:pStyle w:val="ListBullet"/>
      </w:pPr>
      <w:r w:rsidRPr="00846769">
        <w:t>relevant legislation or regulations that must be complied with.</w:t>
      </w:r>
    </w:p>
    <w:p w14:paraId="1140BEC2" w14:textId="0DBCE0F5" w:rsidR="00E83644" w:rsidRPr="00846769" w:rsidRDefault="00E83644" w:rsidP="00E83644">
      <w:r w:rsidRPr="00846769">
        <w:t xml:space="preserve">Effective cleaning is responsible for more than 90% of the success of decontamination. However, accumulations of soil, dirt, organic matter, or biofouling provide an effective barrier which may protect </w:t>
      </w:r>
      <w:r w:rsidR="001B23E4">
        <w:t>invasive marine bivalves</w:t>
      </w:r>
      <w:r w:rsidRPr="00846769">
        <w:t xml:space="preserve"> from disinfecting agents. Wash water may still contain viable </w:t>
      </w:r>
      <w:r w:rsidR="001B23E4">
        <w:t>gametes or larvae</w:t>
      </w:r>
      <w:r w:rsidR="001B23E4" w:rsidRPr="00846769">
        <w:t xml:space="preserve"> </w:t>
      </w:r>
      <w:r w:rsidRPr="00846769">
        <w:t>and must be disposed of appropriately. Effectiveness of cleaning compounds and disinfectants will depend on:</w:t>
      </w:r>
    </w:p>
    <w:p w14:paraId="7BE2CDAC" w14:textId="77777777" w:rsidR="00E83644" w:rsidRPr="00846769" w:rsidRDefault="00E83644" w:rsidP="00E83644">
      <w:pPr>
        <w:pStyle w:val="ListBullet"/>
      </w:pPr>
      <w:r w:rsidRPr="00846769">
        <w:t>water quality (such as suspended matter) and hardness</w:t>
      </w:r>
    </w:p>
    <w:p w14:paraId="46F93E56" w14:textId="77777777" w:rsidR="00E83644" w:rsidRPr="00846769" w:rsidRDefault="00E83644" w:rsidP="00E83644">
      <w:pPr>
        <w:pStyle w:val="ListBullet"/>
      </w:pPr>
      <w:r w:rsidRPr="00846769">
        <w:t>concentration and contact time</w:t>
      </w:r>
    </w:p>
    <w:p w14:paraId="62D95703" w14:textId="77777777" w:rsidR="00E83644" w:rsidRPr="00846769" w:rsidRDefault="00E83644" w:rsidP="00E83644">
      <w:pPr>
        <w:pStyle w:val="ListBullet"/>
      </w:pPr>
      <w:r w:rsidRPr="00846769">
        <w:t xml:space="preserve">temperature and </w:t>
      </w:r>
      <w:proofErr w:type="spellStart"/>
      <w:r w:rsidRPr="00846769">
        <w:t>pH.</w:t>
      </w:r>
      <w:proofErr w:type="spellEnd"/>
    </w:p>
    <w:p w14:paraId="549CBD85" w14:textId="57561795" w:rsidR="00E83644" w:rsidRPr="00846769" w:rsidRDefault="00E83644" w:rsidP="00E83644">
      <w:pPr>
        <w:pStyle w:val="Heading3"/>
        <w:numPr>
          <w:ilvl w:val="1"/>
          <w:numId w:val="4"/>
        </w:numPr>
      </w:pPr>
      <w:bookmarkStart w:id="573" w:name="_Toc191998675"/>
      <w:r w:rsidRPr="00846769">
        <w:t>Destruction</w:t>
      </w:r>
      <w:bookmarkEnd w:id="573"/>
    </w:p>
    <w:p w14:paraId="200EA056" w14:textId="758C8598" w:rsidR="00E83644" w:rsidRPr="00846769" w:rsidRDefault="00E83644" w:rsidP="00E83644">
      <w:r w:rsidRPr="00846769">
        <w:t xml:space="preserve">Destruction occurs to aid in disposal of a captured </w:t>
      </w:r>
      <w:r w:rsidR="001B23E4">
        <w:t>invasive marine bivalve</w:t>
      </w:r>
      <w:r w:rsidRPr="00846769">
        <w:t xml:space="preserve"> or to control the spread of disease (in case of disease management) via methods employed during containment, control</w:t>
      </w:r>
      <w:r w:rsidR="005C6216" w:rsidRPr="00846769">
        <w:t xml:space="preserve">, or eradication </w:t>
      </w:r>
      <w:r w:rsidRPr="00846769">
        <w:t xml:space="preserve">efforts. For example, destruction may be required after the collection of </w:t>
      </w:r>
      <w:proofErr w:type="gramStart"/>
      <w:r w:rsidRPr="00846769">
        <w:t>vessel</w:t>
      </w:r>
      <w:proofErr w:type="gramEnd"/>
      <w:r w:rsidRPr="00846769">
        <w:t xml:space="preserve"> fouling material, aquaculture, stock</w:t>
      </w:r>
      <w:r w:rsidR="00211BE5" w:rsidRPr="00846769">
        <w:t>,</w:t>
      </w:r>
      <w:r w:rsidRPr="00846769">
        <w:t xml:space="preserve"> or equipment. However, destruction of stock or equipment may not always be required since removal from water will ultimately result in death for the </w:t>
      </w:r>
      <w:r w:rsidR="001B23E4">
        <w:t xml:space="preserve">invasive marine bivalve (see </w:t>
      </w:r>
      <w:hyperlink w:anchor="_Desiccation_and_water" w:history="1">
        <w:r w:rsidR="001B23E4" w:rsidRPr="001B23E4">
          <w:rPr>
            <w:rStyle w:val="Hyperlink"/>
          </w:rPr>
          <w:t>Section 5.3.1.9</w:t>
        </w:r>
      </w:hyperlink>
      <w:r w:rsidR="001B23E4">
        <w:t>)</w:t>
      </w:r>
      <w:r w:rsidRPr="00846769">
        <w:t xml:space="preserve">. </w:t>
      </w:r>
      <w:r w:rsidR="001B23E4">
        <w:t xml:space="preserve">In aquaculture contexts, tolerance to desiccation should be considered for both the bivalve and the farmed aquaculture stock </w:t>
      </w:r>
      <w:r w:rsidRPr="00846769">
        <w:t>prior to removal from the water. Treatment for closely related marine pest and stock species may result in the death of the stock. For example, a</w:t>
      </w:r>
      <w:r w:rsidR="00211BE5" w:rsidRPr="00846769">
        <w:t>n invasive</w:t>
      </w:r>
      <w:r w:rsidRPr="00846769">
        <w:t xml:space="preserve"> marine bivalve and cultured bivalve stock may have similar desiccation tolerance and be destroyed at the same time when removed from the water.</w:t>
      </w:r>
    </w:p>
    <w:p w14:paraId="6C29CDA5" w14:textId="7A89234D" w:rsidR="00E83644" w:rsidRPr="00846769" w:rsidRDefault="001B23E4" w:rsidP="00E83644">
      <w:r>
        <w:t>Invasive marine bivalves</w:t>
      </w:r>
      <w:r w:rsidR="00E83644" w:rsidRPr="00846769">
        <w:t xml:space="preserve"> may be destroyed </w:t>
      </w:r>
      <w:r w:rsidR="00E83644" w:rsidRPr="00846769">
        <w:rPr>
          <w:i/>
        </w:rPr>
        <w:t>in situ</w:t>
      </w:r>
      <w:r w:rsidR="00C52947">
        <w:t xml:space="preserve"> or </w:t>
      </w:r>
      <w:r w:rsidR="00E83644" w:rsidRPr="00846769">
        <w:t>removed and destroyed elsewhere. The</w:t>
      </w:r>
      <w:r w:rsidR="00C52947">
        <w:t xml:space="preserve"> timing of mortality is </w:t>
      </w:r>
      <w:r w:rsidR="00E83644" w:rsidRPr="00846769">
        <w:t>variable</w:t>
      </w:r>
      <w:r w:rsidR="00C52947">
        <w:t xml:space="preserve"> among taxa</w:t>
      </w:r>
      <w:r w:rsidR="00E83644" w:rsidRPr="00846769">
        <w:t xml:space="preserve">, and exposure to air will result in stress to the organism. The time between removal of the </w:t>
      </w:r>
      <w:r w:rsidR="00C52947">
        <w:t>invasive marine bivalve</w:t>
      </w:r>
      <w:r w:rsidR="00E83644" w:rsidRPr="00846769">
        <w:t xml:space="preserve"> from the water and destruction should be as short as practically possible. This will minimise the organism’s stress and the risk of escape. </w:t>
      </w:r>
    </w:p>
    <w:p w14:paraId="1AC31AF2" w14:textId="2DC0A574" w:rsidR="00E83644" w:rsidRPr="00846769" w:rsidRDefault="00E83644" w:rsidP="00E83644">
      <w:r w:rsidRPr="00846769">
        <w:t xml:space="preserve">Where </w:t>
      </w:r>
      <w:r w:rsidR="00C52947">
        <w:t>invasive marine bivalves</w:t>
      </w:r>
      <w:r w:rsidRPr="00846769">
        <w:t xml:space="preserve"> are removed and destroyed elsewhere, the site used for destruction should be contained to prevent release of the </w:t>
      </w:r>
      <w:r w:rsidR="00C52947">
        <w:t>bivalve</w:t>
      </w:r>
      <w:r w:rsidRPr="00846769">
        <w:t>, viable propagules</w:t>
      </w:r>
      <w:r w:rsidR="00211BE5" w:rsidRPr="00846769">
        <w:t xml:space="preserve">, </w:t>
      </w:r>
      <w:r w:rsidRPr="00846769">
        <w:t xml:space="preserve">or pathogens and parasites. Ideally the destruction site should be close to the area from which </w:t>
      </w:r>
      <w:r w:rsidR="00C52947">
        <w:t>bivalves</w:t>
      </w:r>
      <w:r w:rsidR="00C52947" w:rsidRPr="00846769">
        <w:t xml:space="preserve"> </w:t>
      </w:r>
      <w:r w:rsidRPr="00846769">
        <w:t xml:space="preserve">are being removed, and/or to the disposal site. Appropriate disposal sites and methods should be identified prior to commencing destruction activities. Due to the volumes of fluid associated with destroying </w:t>
      </w:r>
      <w:r w:rsidR="00C52947">
        <w:t>invasive marine bivalves</w:t>
      </w:r>
      <w:r w:rsidRPr="00846769">
        <w:t>, surface or groundwater contamination and seepage back into marine environments must be managed carefully.</w:t>
      </w:r>
    </w:p>
    <w:p w14:paraId="49ED6DE3" w14:textId="2DE98137" w:rsidR="00E83644" w:rsidRPr="00846769" w:rsidRDefault="00E83644" w:rsidP="00E83644">
      <w:pPr>
        <w:keepNext/>
      </w:pPr>
      <w:r w:rsidRPr="00846769">
        <w:lastRenderedPageBreak/>
        <w:t>Destruction plans should consider</w:t>
      </w:r>
      <w:r w:rsidR="0044180A" w:rsidRPr="00846769">
        <w:t xml:space="preserve"> the </w:t>
      </w:r>
      <w:r w:rsidR="0044180A" w:rsidRPr="00933093">
        <w:t>following</w:t>
      </w:r>
      <w:r w:rsidRPr="00933093">
        <w:t xml:space="preserve"> (DAFF 20</w:t>
      </w:r>
      <w:r w:rsidR="00933093" w:rsidRPr="00933093">
        <w:t>09</w:t>
      </w:r>
      <w:r w:rsidRPr="00933093">
        <w:t>):</w:t>
      </w:r>
    </w:p>
    <w:p w14:paraId="349D6B3E" w14:textId="77777777" w:rsidR="00E83644" w:rsidRPr="00846769" w:rsidRDefault="00E83644" w:rsidP="00E83644">
      <w:pPr>
        <w:pStyle w:val="ListBullet"/>
      </w:pPr>
      <w:r w:rsidRPr="00846769">
        <w:t xml:space="preserve">if destruction will occur </w:t>
      </w:r>
      <w:r w:rsidRPr="00846769">
        <w:rPr>
          <w:i/>
          <w:iCs/>
        </w:rPr>
        <w:t xml:space="preserve">in situ </w:t>
      </w:r>
      <w:r w:rsidRPr="00846769">
        <w:t>or at another location</w:t>
      </w:r>
    </w:p>
    <w:p w14:paraId="1627F1D5" w14:textId="52982470" w:rsidR="00E83644" w:rsidRPr="00846769" w:rsidRDefault="00E83644" w:rsidP="00E83644">
      <w:pPr>
        <w:pStyle w:val="ListBullet"/>
      </w:pPr>
      <w:r w:rsidRPr="00846769">
        <w:t xml:space="preserve">the volume and type of </w:t>
      </w:r>
      <w:r w:rsidR="00C52947">
        <w:t>invasive marine bivalve</w:t>
      </w:r>
      <w:r w:rsidRPr="00846769">
        <w:t xml:space="preserve"> to be destroyed</w:t>
      </w:r>
    </w:p>
    <w:p w14:paraId="157536B9" w14:textId="31BAB99A" w:rsidR="00E83644" w:rsidRPr="00846769" w:rsidRDefault="00E83644" w:rsidP="00E83644">
      <w:pPr>
        <w:pStyle w:val="ListBullet"/>
      </w:pPr>
      <w:r w:rsidRPr="00846769">
        <w:t xml:space="preserve">how the </w:t>
      </w:r>
      <w:r w:rsidR="00C52947">
        <w:t>bivalve</w:t>
      </w:r>
      <w:r w:rsidRPr="00846769">
        <w:t xml:space="preserve"> will be contained until destruction</w:t>
      </w:r>
    </w:p>
    <w:p w14:paraId="4CC10F7A" w14:textId="636F0569" w:rsidR="00E83644" w:rsidRPr="00846769" w:rsidRDefault="00E83644" w:rsidP="00E83644">
      <w:pPr>
        <w:pStyle w:val="ListBullet"/>
      </w:pPr>
      <w:r w:rsidRPr="00846769">
        <w:t xml:space="preserve">any pathogens or parasites carried by the </w:t>
      </w:r>
      <w:r w:rsidR="00C52947">
        <w:t>bivalve</w:t>
      </w:r>
      <w:r w:rsidRPr="00846769">
        <w:t xml:space="preserve"> that will also need to be destroyed</w:t>
      </w:r>
    </w:p>
    <w:p w14:paraId="257BA4F9" w14:textId="77777777" w:rsidR="00E83644" w:rsidRPr="00846769" w:rsidRDefault="00E83644" w:rsidP="00E83644">
      <w:pPr>
        <w:pStyle w:val="ListBullet"/>
      </w:pPr>
      <w:r w:rsidRPr="00846769">
        <w:t>facilities and equipment available for destruction method</w:t>
      </w:r>
    </w:p>
    <w:p w14:paraId="13749C48" w14:textId="6CB16B6A" w:rsidR="00E83644" w:rsidRPr="00846769" w:rsidRDefault="00E83644" w:rsidP="00E83644">
      <w:pPr>
        <w:pStyle w:val="ListBullet"/>
      </w:pPr>
      <w:r w:rsidRPr="00846769">
        <w:t xml:space="preserve">appropriate destruction methods (see </w:t>
      </w:r>
      <w:hyperlink r:id="rId193" w:history="1">
        <w:r w:rsidRPr="00846769">
          <w:rPr>
            <w:rStyle w:val="Hyperlink"/>
          </w:rPr>
          <w:t>AQUAVETPLAN – Operational Procedures Manual – Destruction</w:t>
        </w:r>
      </w:hyperlink>
      <w:r w:rsidRPr="00846769">
        <w:t>)</w:t>
      </w:r>
    </w:p>
    <w:p w14:paraId="7B9C35FE" w14:textId="34EF8518" w:rsidR="00E83644" w:rsidRPr="00846769" w:rsidRDefault="00E83644" w:rsidP="00E83644">
      <w:pPr>
        <w:pStyle w:val="ListBullet"/>
      </w:pPr>
      <w:r w:rsidRPr="00846769">
        <w:t>potential environmental and human health impacts and any relevant legislation (</w:t>
      </w:r>
      <w:r w:rsidR="0004422F">
        <w:t>e.g.</w:t>
      </w:r>
      <w:r w:rsidRPr="00846769">
        <w:t xml:space="preserve"> chemical use and dead biomass)</w:t>
      </w:r>
    </w:p>
    <w:p w14:paraId="32D04830" w14:textId="77777777" w:rsidR="00E83644" w:rsidRPr="00846769" w:rsidRDefault="00E83644" w:rsidP="00E83644">
      <w:pPr>
        <w:pStyle w:val="ListBullet"/>
      </w:pPr>
      <w:r w:rsidRPr="00846769">
        <w:t>any required decontamination and disposal method</w:t>
      </w:r>
    </w:p>
    <w:p w14:paraId="7B6E171A" w14:textId="77777777" w:rsidR="00E83644" w:rsidRPr="00846769" w:rsidRDefault="00E83644" w:rsidP="00E83644">
      <w:pPr>
        <w:pStyle w:val="ListBullet"/>
      </w:pPr>
      <w:r w:rsidRPr="00846769">
        <w:t>any permits required by authorities for dealing with species listed in legislation.</w:t>
      </w:r>
    </w:p>
    <w:p w14:paraId="49792D17" w14:textId="77777777" w:rsidR="00E83644" w:rsidRPr="00846769" w:rsidRDefault="00E83644" w:rsidP="00E83644">
      <w:pPr>
        <w:pStyle w:val="ListBullet"/>
        <w:numPr>
          <w:ilvl w:val="0"/>
          <w:numId w:val="0"/>
        </w:numPr>
      </w:pPr>
      <w:r w:rsidRPr="00846769">
        <w:t>Information pertaining to ethical concerns, which will depend partly on legislative and legal requirements of the jurisdictions involved, can be found in the following resources:</w:t>
      </w:r>
    </w:p>
    <w:bookmarkStart w:id="574" w:name="_Hlk189262932"/>
    <w:p w14:paraId="48C3B3E1" w14:textId="71A37684" w:rsidR="00E83644" w:rsidRPr="00846769" w:rsidRDefault="00E83644" w:rsidP="00E83644">
      <w:pPr>
        <w:pStyle w:val="ListBullet"/>
      </w:pPr>
      <w:r>
        <w:fldChar w:fldCharType="begin"/>
      </w:r>
      <w:r>
        <w:instrText>HYPERLINK "https://www.agriculture.gov.au/agriculture-land/animal/welfare/aaws"</w:instrText>
      </w:r>
      <w:r>
        <w:fldChar w:fldCharType="separate"/>
      </w:r>
      <w:r w:rsidRPr="00846769">
        <w:rPr>
          <w:rStyle w:val="Hyperlink"/>
        </w:rPr>
        <w:t>Australian Animal Welfare Strategy (AAWS)</w:t>
      </w:r>
      <w:r>
        <w:rPr>
          <w:rStyle w:val="Hyperlink"/>
        </w:rPr>
        <w:fldChar w:fldCharType="end"/>
      </w:r>
      <w:r w:rsidRPr="00846769">
        <w:rPr>
          <w:u w:color="0070C0"/>
        </w:rPr>
        <w:t xml:space="preserve"> </w:t>
      </w:r>
      <w:r w:rsidR="0044180A" w:rsidRPr="00846769">
        <w:rPr>
          <w:u w:color="0070C0"/>
        </w:rPr>
        <w:t>(currently being reviewed)</w:t>
      </w:r>
    </w:p>
    <w:bookmarkEnd w:id="574"/>
    <w:p w14:paraId="16D8A77E" w14:textId="77777777" w:rsidR="00E83644" w:rsidRPr="00846769" w:rsidRDefault="00E83644" w:rsidP="00E83644">
      <w:pPr>
        <w:pStyle w:val="ListBullet"/>
      </w:pPr>
      <w:r>
        <w:fldChar w:fldCharType="begin"/>
      </w:r>
      <w:r>
        <w:instrText>HYPERLINK "https://www.nhmrc.gov.au/about-us/publications/australian-code-care-and-use-animals-scientific-purposes"</w:instrText>
      </w:r>
      <w:r>
        <w:fldChar w:fldCharType="separate"/>
      </w:r>
      <w:r w:rsidRPr="00846769">
        <w:rPr>
          <w:rStyle w:val="Hyperlink"/>
        </w:rPr>
        <w:t>Australian code for the care and use of animals for scientific purposes</w:t>
      </w:r>
      <w:r>
        <w:rPr>
          <w:rStyle w:val="Hyperlink"/>
        </w:rPr>
        <w:fldChar w:fldCharType="end"/>
      </w:r>
      <w:r w:rsidRPr="00846769">
        <w:t>.</w:t>
      </w:r>
    </w:p>
    <w:p w14:paraId="23D5059E" w14:textId="26EC7E72" w:rsidR="00E83644" w:rsidRPr="00846769" w:rsidRDefault="00E83644" w:rsidP="00E83644">
      <w:pPr>
        <w:pStyle w:val="Heading3"/>
        <w:numPr>
          <w:ilvl w:val="1"/>
          <w:numId w:val="4"/>
        </w:numPr>
      </w:pPr>
      <w:bookmarkStart w:id="575" w:name="_Toc191998676"/>
      <w:r w:rsidRPr="00846769">
        <w:t>Disposal</w:t>
      </w:r>
      <w:bookmarkEnd w:id="575"/>
    </w:p>
    <w:p w14:paraId="418B7464" w14:textId="5A71258B" w:rsidR="00E83644" w:rsidRPr="00B25CD1" w:rsidRDefault="00E83644" w:rsidP="00E83644">
      <w:r w:rsidRPr="00846769">
        <w:t>The primary reasons for disposing of a marine pest, their products, materials, and waste is to remove or deactivate the marine pest’s reproductive, regenerative</w:t>
      </w:r>
      <w:r w:rsidR="00C52947">
        <w:t>,</w:t>
      </w:r>
      <w:r w:rsidRPr="00846769">
        <w:t xml:space="preserve"> or disease transmission potential. Disposal should be completed as soon as possible after capture or destruction. Disposal has social, environmental, and aesthetic impacts that need to be consid</w:t>
      </w:r>
      <w:r w:rsidRPr="00B25CD1">
        <w:t>ered.</w:t>
      </w:r>
    </w:p>
    <w:p w14:paraId="1DFD021D" w14:textId="21B8E059" w:rsidR="00E83644" w:rsidRPr="00846769" w:rsidRDefault="00E83644" w:rsidP="00E83644">
      <w:pPr>
        <w:spacing w:after="120"/>
        <w:rPr>
          <w:rFonts w:cstheme="minorHAnsi"/>
        </w:rPr>
      </w:pPr>
      <w:r w:rsidRPr="00B25CD1">
        <w:rPr>
          <w:rFonts w:cstheme="minorHAnsi"/>
        </w:rPr>
        <w:t>Several considerations for a disposal plan for marine pest waste are summarised below (DAFF 202</w:t>
      </w:r>
      <w:r w:rsidR="00933093" w:rsidRPr="00B25CD1">
        <w:rPr>
          <w:rFonts w:cstheme="minorHAnsi"/>
        </w:rPr>
        <w:t>2b</w:t>
      </w:r>
      <w:r w:rsidRPr="00B25CD1">
        <w:rPr>
          <w:rFonts w:cstheme="minorHAnsi"/>
        </w:rPr>
        <w:t>):</w:t>
      </w:r>
    </w:p>
    <w:p w14:paraId="0E46C796" w14:textId="77777777" w:rsidR="00E83644" w:rsidRPr="00846769" w:rsidRDefault="00E83644" w:rsidP="00E83644">
      <w:pPr>
        <w:pStyle w:val="ListBullet"/>
      </w:pPr>
      <w:r w:rsidRPr="00846769">
        <w:t>selection of disposal site and transport to the disposal site</w:t>
      </w:r>
    </w:p>
    <w:p w14:paraId="4C63900C" w14:textId="77777777" w:rsidR="00E83644" w:rsidRPr="00846769" w:rsidRDefault="00E83644" w:rsidP="00E83644">
      <w:pPr>
        <w:pStyle w:val="ListBullet"/>
      </w:pPr>
      <w:r w:rsidRPr="00846769">
        <w:t>method of disposal</w:t>
      </w:r>
    </w:p>
    <w:p w14:paraId="2299EBEF" w14:textId="77777777" w:rsidR="00E83644" w:rsidRPr="00846769" w:rsidRDefault="00E83644" w:rsidP="00E83644">
      <w:pPr>
        <w:pStyle w:val="ListBullet"/>
      </w:pPr>
      <w:r w:rsidRPr="00846769">
        <w:t>items that may require special consideration (e.g. liquid waste, control of scavengers)</w:t>
      </w:r>
    </w:p>
    <w:p w14:paraId="05FD05EC" w14:textId="77777777" w:rsidR="00E83644" w:rsidRPr="00846769" w:rsidRDefault="00E83644" w:rsidP="00E83644">
      <w:pPr>
        <w:pStyle w:val="ListBullet"/>
      </w:pPr>
      <w:r w:rsidRPr="00846769">
        <w:t>media and community communication.</w:t>
      </w:r>
    </w:p>
    <w:p w14:paraId="56D8D6E5" w14:textId="352F7D63" w:rsidR="00E83644" w:rsidRPr="00846769" w:rsidRDefault="00E83644" w:rsidP="00E83644">
      <w:r w:rsidRPr="00846769">
        <w:rPr>
          <w:rFonts w:cstheme="minorHAnsi"/>
        </w:rPr>
        <w:t xml:space="preserve">Appropriate arrangements are required for the disposal of </w:t>
      </w:r>
      <w:r w:rsidR="00C52947">
        <w:rPr>
          <w:rFonts w:cstheme="minorHAnsi"/>
        </w:rPr>
        <w:t>invasive marine bivalve</w:t>
      </w:r>
      <w:r w:rsidRPr="00846769">
        <w:rPr>
          <w:rFonts w:cstheme="minorHAnsi"/>
        </w:rPr>
        <w:t xml:space="preserve"> waste. A decision-making framework developed for identifying appropriate disposal has been developed (</w:t>
      </w:r>
      <w:hyperlink r:id="rId194" w:history="1">
        <w:r w:rsidRPr="00846769">
          <w:rPr>
            <w:rStyle w:val="Hyperlink"/>
          </w:rPr>
          <w:t>AQUAVETPLAN – Operational Procedures Manual – Disposal</w:t>
        </w:r>
      </w:hyperlink>
      <w:r w:rsidRPr="00846769">
        <w:t>). In summary, an incident manager should consider the following:</w:t>
      </w:r>
    </w:p>
    <w:p w14:paraId="57B8F6D1" w14:textId="77777777" w:rsidR="00E83644" w:rsidRPr="00846769" w:rsidRDefault="00E83644" w:rsidP="00E83644">
      <w:pPr>
        <w:pStyle w:val="ListBullet"/>
      </w:pPr>
      <w:r w:rsidRPr="00846769">
        <w:t>is the method consistent with international agreements and standards?</w:t>
      </w:r>
    </w:p>
    <w:p w14:paraId="6DE191C8" w14:textId="77777777" w:rsidR="00E83644" w:rsidRPr="00846769" w:rsidRDefault="00E83644" w:rsidP="00E83644">
      <w:pPr>
        <w:pStyle w:val="ListBullet"/>
      </w:pPr>
      <w:r w:rsidRPr="00846769">
        <w:t>are acceptable transport methods available?</w:t>
      </w:r>
    </w:p>
    <w:p w14:paraId="01A2880B" w14:textId="77777777" w:rsidR="00E83644" w:rsidRPr="00846769" w:rsidRDefault="00E83644" w:rsidP="00E83644">
      <w:pPr>
        <w:pStyle w:val="ListBullet"/>
      </w:pPr>
      <w:r w:rsidRPr="00846769">
        <w:lastRenderedPageBreak/>
        <w:t>does the method meet legislative requirements, and can the necessary regulatory approvals be obtained?</w:t>
      </w:r>
    </w:p>
    <w:p w14:paraId="5349AE24" w14:textId="77777777" w:rsidR="00E83644" w:rsidRPr="00846769" w:rsidRDefault="00E83644" w:rsidP="00E83644">
      <w:pPr>
        <w:pStyle w:val="ListBullet"/>
      </w:pPr>
      <w:r w:rsidRPr="00846769">
        <w:t>is the method consistent with industry standards and agreements?</w:t>
      </w:r>
    </w:p>
    <w:p w14:paraId="4CAA71FF" w14:textId="77777777" w:rsidR="00E83644" w:rsidRPr="00846769" w:rsidRDefault="00E83644" w:rsidP="00E83644">
      <w:pPr>
        <w:pStyle w:val="ListBullet"/>
      </w:pPr>
      <w:r w:rsidRPr="00846769">
        <w:t>is the method cost-effective?</w:t>
      </w:r>
    </w:p>
    <w:p w14:paraId="41E41D8D" w14:textId="77777777" w:rsidR="00E83644" w:rsidRPr="00846769" w:rsidRDefault="00E83644" w:rsidP="00E83644">
      <w:pPr>
        <w:pStyle w:val="ListBullet"/>
      </w:pPr>
      <w:r w:rsidRPr="00846769">
        <w:t>how quickly will the method resolve the disposal problem?</w:t>
      </w:r>
    </w:p>
    <w:p w14:paraId="299BAF31" w14:textId="77777777" w:rsidR="00E83644" w:rsidRPr="00846769" w:rsidRDefault="00E83644" w:rsidP="00E83644"/>
    <w:p w14:paraId="799ECAE0" w14:textId="77777777" w:rsidR="00E83644" w:rsidRPr="00846769" w:rsidRDefault="00E83644" w:rsidP="00BF317B"/>
    <w:p w14:paraId="6C331034" w14:textId="79EA1C8C" w:rsidR="006939E1" w:rsidRDefault="005A2093" w:rsidP="00BF317B">
      <w:pPr>
        <w:pStyle w:val="Heading2"/>
        <w:numPr>
          <w:ilvl w:val="0"/>
          <w:numId w:val="0"/>
        </w:numPr>
      </w:pPr>
      <w:bookmarkStart w:id="576" w:name="_Appendix_A:_Species"/>
      <w:bookmarkStart w:id="577" w:name="_Appendix_A:_Taxon-specific"/>
      <w:bookmarkStart w:id="578" w:name="_Toc87599114"/>
      <w:bookmarkStart w:id="579" w:name="_Toc191998677"/>
      <w:bookmarkEnd w:id="417"/>
      <w:bookmarkEnd w:id="418"/>
      <w:bookmarkEnd w:id="576"/>
      <w:bookmarkEnd w:id="577"/>
      <w:r w:rsidRPr="00BB711A">
        <w:lastRenderedPageBreak/>
        <w:t>Appendix A</w:t>
      </w:r>
      <w:r w:rsidR="00B5740F" w:rsidRPr="00846769">
        <w:t xml:space="preserve">: </w:t>
      </w:r>
      <w:r w:rsidR="002E692A" w:rsidRPr="00846769">
        <w:t>Taxon</w:t>
      </w:r>
      <w:r w:rsidR="008D0799" w:rsidRPr="00846769">
        <w:t>-</w:t>
      </w:r>
      <w:r w:rsidR="00B5740F" w:rsidRPr="00846769">
        <w:t xml:space="preserve">specific information </w:t>
      </w:r>
      <w:r w:rsidR="0053678E" w:rsidRPr="00846769">
        <w:t>on</w:t>
      </w:r>
      <w:r w:rsidR="005343E4" w:rsidRPr="00846769">
        <w:t xml:space="preserve"> some</w:t>
      </w:r>
      <w:r w:rsidR="00B5740F" w:rsidRPr="00846769">
        <w:t xml:space="preserve"> </w:t>
      </w:r>
      <w:r w:rsidR="00CE30D1" w:rsidRPr="00846769">
        <w:t xml:space="preserve">invasive </w:t>
      </w:r>
      <w:r w:rsidR="00B5740F" w:rsidRPr="00846769">
        <w:t>marine bivalves to Australia</w:t>
      </w:r>
      <w:bookmarkEnd w:id="578"/>
      <w:bookmarkEnd w:id="579"/>
    </w:p>
    <w:p w14:paraId="0505548D" w14:textId="2556220B" w:rsidR="00AC589C" w:rsidRPr="00AC589C" w:rsidRDefault="00AC589C" w:rsidP="00AC589C">
      <w:pPr>
        <w:rPr>
          <w:lang w:eastAsia="ja-JP"/>
        </w:rPr>
      </w:pPr>
      <w:r>
        <w:rPr>
          <w:lang w:eastAsia="ja-JP"/>
        </w:rPr>
        <w:t xml:space="preserve">*Note – Information in this Appendix was up to date as of </w:t>
      </w:r>
      <w:r w:rsidR="00D822E5">
        <w:rPr>
          <w:lang w:eastAsia="ja-JP"/>
        </w:rPr>
        <w:t>February</w:t>
      </w:r>
      <w:r w:rsidR="005A2093">
        <w:rPr>
          <w:lang w:eastAsia="ja-JP"/>
        </w:rPr>
        <w:t xml:space="preserve"> 202</w:t>
      </w:r>
      <w:r w:rsidR="00D822E5">
        <w:rPr>
          <w:lang w:eastAsia="ja-JP"/>
        </w:rPr>
        <w:t>5</w:t>
      </w:r>
      <w:r w:rsidR="005A2093">
        <w:rPr>
          <w:lang w:eastAsia="ja-JP"/>
        </w:rPr>
        <w:t>.</w:t>
      </w:r>
    </w:p>
    <w:p w14:paraId="1BD11E05" w14:textId="77777777" w:rsidR="00E55B67" w:rsidRPr="00846769" w:rsidRDefault="00E55B67" w:rsidP="005343E4">
      <w:pPr>
        <w:pStyle w:val="Heading3"/>
        <w:spacing w:after="120"/>
        <w:ind w:left="851" w:hanging="851"/>
      </w:pPr>
      <w:bookmarkStart w:id="580" w:name="_Toc191998678"/>
      <w:r w:rsidRPr="00846769">
        <w:t>Family Corbulidae</w:t>
      </w:r>
      <w:bookmarkEnd w:id="580"/>
    </w:p>
    <w:p w14:paraId="40796BE0" w14:textId="77777777" w:rsidR="00E55B67" w:rsidRPr="00846769" w:rsidRDefault="00E55B67" w:rsidP="005343E4">
      <w:pPr>
        <w:pStyle w:val="Heading4"/>
        <w:spacing w:after="120"/>
        <w:rPr>
          <w:rStyle w:val="Emphasis"/>
          <w:color w:val="262626" w:themeColor="text1" w:themeTint="D9"/>
        </w:rPr>
      </w:pPr>
      <w:r w:rsidRPr="00846769">
        <w:rPr>
          <w:rStyle w:val="Emphasis"/>
          <w:color w:val="262626" w:themeColor="text1" w:themeTint="D9"/>
        </w:rPr>
        <w:t>Potamocorbula amurensis</w:t>
      </w:r>
    </w:p>
    <w:p w14:paraId="0D2C43D9" w14:textId="538976F0" w:rsidR="00E55B67" w:rsidRPr="00846769" w:rsidRDefault="00E55B67" w:rsidP="00E55B67">
      <w:r w:rsidRPr="00846769">
        <w:rPr>
          <w:i/>
          <w:iCs/>
        </w:rPr>
        <w:t xml:space="preserve">Potamocorbula amurensis </w:t>
      </w:r>
      <w:r w:rsidRPr="00846769">
        <w:t xml:space="preserve">is known as </w:t>
      </w:r>
      <w:r w:rsidR="00962F6B" w:rsidRPr="00846769">
        <w:t>the</w:t>
      </w:r>
      <w:r w:rsidRPr="00846769">
        <w:t xml:space="preserve"> Asian </w:t>
      </w:r>
      <w:r w:rsidR="00F53200" w:rsidRPr="00846769">
        <w:t>basket</w:t>
      </w:r>
      <w:r w:rsidR="003621D6" w:rsidRPr="00846769">
        <w:t xml:space="preserve"> </w:t>
      </w:r>
      <w:r w:rsidRPr="00846769">
        <w:t>clam</w:t>
      </w:r>
      <w:r w:rsidR="00883541" w:rsidRPr="00846769">
        <w:t xml:space="preserve">, </w:t>
      </w:r>
      <w:r w:rsidR="00524EE3" w:rsidRPr="00846769">
        <w:t xml:space="preserve">the Amur River clam, </w:t>
      </w:r>
      <w:r w:rsidR="00883541" w:rsidRPr="00846769">
        <w:t>the Asian brackish water clam, or the overbite clam</w:t>
      </w:r>
      <w:r w:rsidRPr="00846769">
        <w:t xml:space="preserve">. It is not recorded in Australia. </w:t>
      </w:r>
      <w:r w:rsidRPr="00846769">
        <w:rPr>
          <w:i/>
          <w:iCs/>
        </w:rPr>
        <w:t>Potamocorbula</w:t>
      </w:r>
      <w:r w:rsidR="00FF70DD">
        <w:rPr>
          <w:i/>
          <w:iCs/>
        </w:rPr>
        <w:t> </w:t>
      </w:r>
      <w:r w:rsidRPr="00846769">
        <w:rPr>
          <w:i/>
          <w:iCs/>
        </w:rPr>
        <w:t xml:space="preserve">amurensis </w:t>
      </w:r>
      <w:r w:rsidRPr="00846769">
        <w:t xml:space="preserve">is native to Russia and China and </w:t>
      </w:r>
      <w:r w:rsidR="002A5948">
        <w:t>was</w:t>
      </w:r>
      <w:r w:rsidR="00E1670C" w:rsidRPr="00846769">
        <w:t xml:space="preserve"> introduced to</w:t>
      </w:r>
      <w:r w:rsidRPr="00846769">
        <w:t xml:space="preserve"> San Francisco, USA</w:t>
      </w:r>
      <w:r w:rsidR="002A5948">
        <w:t>, in 1986</w:t>
      </w:r>
      <w:r w:rsidR="00E1670C" w:rsidRPr="00846769">
        <w:t>.</w:t>
      </w:r>
      <w:r w:rsidRPr="00846769">
        <w:t xml:space="preserve"> </w:t>
      </w:r>
      <w:r w:rsidR="00E1670C" w:rsidRPr="00846769">
        <w:t>In 2020 it was</w:t>
      </w:r>
      <w:r w:rsidRPr="00846769">
        <w:t xml:space="preserve"> recorded </w:t>
      </w:r>
      <w:r w:rsidR="00E1670C" w:rsidRPr="00846769">
        <w:t>in</w:t>
      </w:r>
      <w:r w:rsidRPr="00846769">
        <w:t xml:space="preserve"> Belgium. </w:t>
      </w:r>
      <w:r w:rsidRPr="00846769">
        <w:rPr>
          <w:i/>
          <w:iCs/>
        </w:rPr>
        <w:t xml:space="preserve">Potamocorbula amurensis </w:t>
      </w:r>
      <w:r w:rsidRPr="00846769">
        <w:t>is a small clam with a shell length up to 25 mm. The clam</w:t>
      </w:r>
      <w:r w:rsidRPr="00846769">
        <w:rPr>
          <w:i/>
          <w:iCs/>
        </w:rPr>
        <w:t xml:space="preserve"> </w:t>
      </w:r>
      <w:r w:rsidRPr="00846769">
        <w:t xml:space="preserve">is known for its broad salinity tolerance and high survival rates in adverse conditions. The environmental tolerance of this clam is suspected to have played a major role in its successful trans-Pacific spread from the northwest Pacific to San Francisco. </w:t>
      </w:r>
      <w:r w:rsidRPr="00846769">
        <w:rPr>
          <w:i/>
          <w:iCs/>
        </w:rPr>
        <w:t xml:space="preserve">Potamocorbula amurensis </w:t>
      </w:r>
      <w:r w:rsidRPr="00846769">
        <w:t xml:space="preserve">can create very high densities, &gt;10,000 individuals per </w:t>
      </w:r>
      <w:r w:rsidR="00962F6B" w:rsidRPr="00846769">
        <w:t>m</w:t>
      </w:r>
      <w:r w:rsidR="00962F6B" w:rsidRPr="00846769">
        <w:rPr>
          <w:vertAlign w:val="superscript"/>
        </w:rPr>
        <w:t>2</w:t>
      </w:r>
      <w:r w:rsidRPr="00846769">
        <w:t xml:space="preserve">, which can negatively impact native fauna by outcompeting them for space and food. </w:t>
      </w:r>
    </w:p>
    <w:p w14:paraId="02112E7D" w14:textId="38F9D6E9" w:rsidR="001933EE" w:rsidRPr="00846769" w:rsidRDefault="00E55B67" w:rsidP="001933EE">
      <w:r w:rsidRPr="00846769">
        <w:rPr>
          <w:i/>
          <w:iCs/>
        </w:rPr>
        <w:t>P</w:t>
      </w:r>
      <w:r w:rsidR="00F067C4" w:rsidRPr="00846769">
        <w:rPr>
          <w:i/>
          <w:iCs/>
        </w:rPr>
        <w:t>otamocorbula</w:t>
      </w:r>
      <w:r w:rsidRPr="00846769">
        <w:rPr>
          <w:i/>
          <w:iCs/>
        </w:rPr>
        <w:t xml:space="preserve"> amurensis </w:t>
      </w:r>
      <w:r w:rsidRPr="00846769">
        <w:t xml:space="preserve">is </w:t>
      </w:r>
      <w:r w:rsidR="00C47471" w:rsidRPr="00846769">
        <w:t xml:space="preserve">nationally listed </w:t>
      </w:r>
      <w:r w:rsidR="00E1670C" w:rsidRPr="00846769">
        <w:t xml:space="preserve">in Australia </w:t>
      </w:r>
      <w:r w:rsidRPr="00846769">
        <w:t xml:space="preserve">on the </w:t>
      </w:r>
      <w:hyperlink r:id="rId195" w:anchor="marine-pests" w:history="1">
        <w:r w:rsidRPr="00846769">
          <w:rPr>
            <w:rStyle w:val="Hyperlink"/>
          </w:rPr>
          <w:t>Exotic Environmental Pest List (EEPL)</w:t>
        </w:r>
      </w:hyperlink>
      <w:r w:rsidRPr="00846769">
        <w:t xml:space="preserve"> and is </w:t>
      </w:r>
      <w:r w:rsidR="007061A0" w:rsidRPr="00846769">
        <w:t xml:space="preserve">also </w:t>
      </w:r>
      <w:r w:rsidRPr="00846769">
        <w:t xml:space="preserve">listed on the </w:t>
      </w:r>
      <w:hyperlink r:id="rId196" w:history="1">
        <w:r w:rsidRPr="00846769">
          <w:rPr>
            <w:rStyle w:val="Hyperlink"/>
          </w:rPr>
          <w:t>top 100 worst invaders list</w:t>
        </w:r>
      </w:hyperlink>
      <w:r w:rsidRPr="00846769">
        <w:t xml:space="preserve">. </w:t>
      </w:r>
    </w:p>
    <w:p w14:paraId="7A924752" w14:textId="35716FDC" w:rsidR="001453AC" w:rsidRPr="00846769" w:rsidRDefault="001453AC" w:rsidP="001453AC">
      <w:pPr>
        <w:pStyle w:val="Caption"/>
      </w:pPr>
      <w:bookmarkStart w:id="581" w:name="_Toc191999501"/>
      <w:bookmarkStart w:id="582" w:name="_Toc87599116"/>
      <w:r w:rsidRPr="00846769">
        <w:t xml:space="preserve">Table </w:t>
      </w:r>
      <w:r w:rsidRPr="00846769">
        <w:fldChar w:fldCharType="begin"/>
      </w:r>
      <w:r w:rsidRPr="00846769">
        <w:instrText xml:space="preserve"> SEQ Table \* ARABIC </w:instrText>
      </w:r>
      <w:r w:rsidRPr="00846769">
        <w:fldChar w:fldCharType="separate"/>
      </w:r>
      <w:r w:rsidR="005E4F41">
        <w:rPr>
          <w:noProof/>
        </w:rPr>
        <w:t>6</w:t>
      </w:r>
      <w:r w:rsidRPr="00846769">
        <w:fldChar w:fldCharType="end"/>
      </w:r>
      <w:r w:rsidRPr="00846769">
        <w:t xml:space="preserve"> </w:t>
      </w:r>
      <w:r w:rsidRPr="00846769">
        <w:rPr>
          <w:color w:val="262626" w:themeColor="text1" w:themeTint="D9"/>
          <w:lang w:eastAsia="ja-JP"/>
        </w:rPr>
        <w:t xml:space="preserve">Taxonomic classification of </w:t>
      </w:r>
      <w:r w:rsidRPr="00846769">
        <w:rPr>
          <w:rStyle w:val="Emphasis"/>
          <w:color w:val="262626" w:themeColor="text1" w:themeTint="D9"/>
        </w:rPr>
        <w:t>Potamocorbula amurensis</w:t>
      </w:r>
      <w:bookmarkEnd w:id="58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6"/>
        <w:gridCol w:w="2585"/>
      </w:tblGrid>
      <w:tr w:rsidR="00E55B67" w:rsidRPr="00846769" w14:paraId="744AD6DF" w14:textId="77777777" w:rsidTr="00A04E26">
        <w:trPr>
          <w:cantSplit/>
          <w:tblHeader/>
        </w:trPr>
        <w:tc>
          <w:tcPr>
            <w:tcW w:w="1526" w:type="dxa"/>
            <w:shd w:val="clear" w:color="auto" w:fill="FFFFFF" w:themeFill="background1"/>
          </w:tcPr>
          <w:p w14:paraId="59040570" w14:textId="77777777" w:rsidR="00E55B67" w:rsidRPr="00846769" w:rsidRDefault="00E55B67" w:rsidP="00A67BBE">
            <w:pPr>
              <w:pStyle w:val="TableText"/>
              <w:rPr>
                <w:rFonts w:cstheme="minorHAnsi"/>
                <w:b/>
                <w:bCs/>
              </w:rPr>
            </w:pPr>
            <w:bookmarkStart w:id="583" w:name="Table_6"/>
            <w:bookmarkEnd w:id="583"/>
            <w:r w:rsidRPr="00846769">
              <w:rPr>
                <w:rFonts w:cstheme="minorHAnsi"/>
                <w:b/>
                <w:bCs/>
              </w:rPr>
              <w:t>Classification</w:t>
            </w:r>
          </w:p>
        </w:tc>
        <w:tc>
          <w:tcPr>
            <w:tcW w:w="2585" w:type="dxa"/>
            <w:shd w:val="clear" w:color="auto" w:fill="FFFFFF" w:themeFill="background1"/>
          </w:tcPr>
          <w:p w14:paraId="0A51843D" w14:textId="77777777" w:rsidR="00E55B67" w:rsidRPr="00846769" w:rsidRDefault="00E55B67" w:rsidP="00A67BBE">
            <w:pPr>
              <w:pStyle w:val="TableText"/>
              <w:rPr>
                <w:rStyle w:val="Emphasis"/>
                <w:rFonts w:cstheme="minorHAnsi"/>
                <w:b/>
                <w:bCs/>
              </w:rPr>
            </w:pPr>
            <w:r w:rsidRPr="00846769">
              <w:rPr>
                <w:rStyle w:val="Emphasis"/>
                <w:rFonts w:cstheme="minorHAnsi"/>
                <w:b/>
                <w:bCs/>
              </w:rPr>
              <w:t>Potamocorbula amurensis</w:t>
            </w:r>
          </w:p>
        </w:tc>
      </w:tr>
      <w:tr w:rsidR="00E55B67" w:rsidRPr="00846769" w14:paraId="74CA8C45" w14:textId="77777777" w:rsidTr="00A04E26">
        <w:trPr>
          <w:cantSplit/>
          <w:tblHeader/>
        </w:trPr>
        <w:tc>
          <w:tcPr>
            <w:tcW w:w="1526" w:type="dxa"/>
            <w:shd w:val="clear" w:color="auto" w:fill="FFFFFF" w:themeFill="background1"/>
          </w:tcPr>
          <w:p w14:paraId="76222A7C" w14:textId="77777777" w:rsidR="00E55B67" w:rsidRPr="00846769" w:rsidRDefault="00E55B67" w:rsidP="00A67BBE">
            <w:pPr>
              <w:pStyle w:val="TableText"/>
              <w:rPr>
                <w:rFonts w:cstheme="minorHAnsi"/>
              </w:rPr>
            </w:pPr>
            <w:r w:rsidRPr="00846769">
              <w:rPr>
                <w:rFonts w:cstheme="minorHAnsi"/>
              </w:rPr>
              <w:t>Phylum</w:t>
            </w:r>
          </w:p>
        </w:tc>
        <w:tc>
          <w:tcPr>
            <w:tcW w:w="2585" w:type="dxa"/>
            <w:shd w:val="clear" w:color="auto" w:fill="FFFFFF" w:themeFill="background1"/>
          </w:tcPr>
          <w:p w14:paraId="17C4D275" w14:textId="77777777" w:rsidR="00E55B67" w:rsidRPr="00846769" w:rsidRDefault="00E55B67" w:rsidP="00A67BBE">
            <w:pPr>
              <w:pStyle w:val="TableText"/>
              <w:rPr>
                <w:rFonts w:cstheme="minorHAnsi"/>
              </w:rPr>
            </w:pPr>
            <w:r w:rsidRPr="00846769">
              <w:rPr>
                <w:rFonts w:cstheme="minorHAnsi"/>
              </w:rPr>
              <w:t>Mollusca</w:t>
            </w:r>
          </w:p>
        </w:tc>
      </w:tr>
      <w:tr w:rsidR="00E55B67" w:rsidRPr="00846769" w14:paraId="1DBF0247" w14:textId="77777777" w:rsidTr="00A04E26">
        <w:trPr>
          <w:cantSplit/>
          <w:tblHeader/>
        </w:trPr>
        <w:tc>
          <w:tcPr>
            <w:tcW w:w="1526" w:type="dxa"/>
            <w:shd w:val="clear" w:color="auto" w:fill="FFFFFF" w:themeFill="background1"/>
          </w:tcPr>
          <w:p w14:paraId="197434FF" w14:textId="77777777" w:rsidR="00E55B67" w:rsidRPr="00846769" w:rsidRDefault="00E55B67" w:rsidP="00A67BBE">
            <w:pPr>
              <w:pStyle w:val="TableText"/>
              <w:rPr>
                <w:rFonts w:cstheme="minorHAnsi"/>
              </w:rPr>
            </w:pPr>
            <w:r w:rsidRPr="00846769">
              <w:rPr>
                <w:rFonts w:cstheme="minorHAnsi"/>
              </w:rPr>
              <w:t>Class</w:t>
            </w:r>
          </w:p>
        </w:tc>
        <w:tc>
          <w:tcPr>
            <w:tcW w:w="2585" w:type="dxa"/>
            <w:shd w:val="clear" w:color="auto" w:fill="FFFFFF" w:themeFill="background1"/>
          </w:tcPr>
          <w:p w14:paraId="1A21CCEB" w14:textId="77777777" w:rsidR="00E55B67" w:rsidRPr="00846769" w:rsidRDefault="00E55B67" w:rsidP="00A67BBE">
            <w:pPr>
              <w:pStyle w:val="TableText"/>
              <w:rPr>
                <w:rFonts w:cstheme="minorHAnsi"/>
              </w:rPr>
            </w:pPr>
            <w:r w:rsidRPr="00846769">
              <w:rPr>
                <w:rFonts w:cstheme="minorHAnsi"/>
              </w:rPr>
              <w:t>Bivalvia</w:t>
            </w:r>
          </w:p>
        </w:tc>
      </w:tr>
      <w:tr w:rsidR="00E55B67" w:rsidRPr="00846769" w14:paraId="2FEDC979" w14:textId="77777777" w:rsidTr="00A04E26">
        <w:trPr>
          <w:cantSplit/>
          <w:tblHeader/>
        </w:trPr>
        <w:tc>
          <w:tcPr>
            <w:tcW w:w="1526" w:type="dxa"/>
            <w:shd w:val="clear" w:color="auto" w:fill="FFFFFF" w:themeFill="background1"/>
          </w:tcPr>
          <w:p w14:paraId="43C72C65" w14:textId="77777777" w:rsidR="00E55B67" w:rsidRPr="00846769" w:rsidRDefault="00E55B67" w:rsidP="00A67BBE">
            <w:pPr>
              <w:pStyle w:val="TableText"/>
              <w:rPr>
                <w:rFonts w:cstheme="minorHAnsi"/>
              </w:rPr>
            </w:pPr>
            <w:r w:rsidRPr="00846769">
              <w:rPr>
                <w:rFonts w:cstheme="minorHAnsi"/>
              </w:rPr>
              <w:t>Order</w:t>
            </w:r>
          </w:p>
        </w:tc>
        <w:tc>
          <w:tcPr>
            <w:tcW w:w="2585" w:type="dxa"/>
            <w:shd w:val="clear" w:color="auto" w:fill="FFFFFF" w:themeFill="background1"/>
          </w:tcPr>
          <w:p w14:paraId="4AFEE6EC" w14:textId="77777777" w:rsidR="00E55B67" w:rsidRPr="00846769" w:rsidRDefault="00E55B67" w:rsidP="00A67BBE">
            <w:pPr>
              <w:pStyle w:val="TableText"/>
              <w:rPr>
                <w:rFonts w:cstheme="minorHAnsi"/>
              </w:rPr>
            </w:pPr>
            <w:proofErr w:type="spellStart"/>
            <w:r w:rsidRPr="00846769">
              <w:rPr>
                <w:rFonts w:cstheme="minorHAnsi"/>
              </w:rPr>
              <w:t>Myida</w:t>
            </w:r>
            <w:proofErr w:type="spellEnd"/>
          </w:p>
        </w:tc>
      </w:tr>
      <w:tr w:rsidR="00E55B67" w:rsidRPr="00846769" w14:paraId="6FD63A03" w14:textId="77777777" w:rsidTr="00A04E26">
        <w:trPr>
          <w:cantSplit/>
          <w:tblHeader/>
        </w:trPr>
        <w:tc>
          <w:tcPr>
            <w:tcW w:w="1526" w:type="dxa"/>
            <w:shd w:val="clear" w:color="auto" w:fill="FFFFFF" w:themeFill="background1"/>
          </w:tcPr>
          <w:p w14:paraId="5056E359" w14:textId="77777777" w:rsidR="00E55B67" w:rsidRPr="00846769" w:rsidRDefault="00E55B67" w:rsidP="00A67BBE">
            <w:pPr>
              <w:pStyle w:val="TableText"/>
              <w:rPr>
                <w:rFonts w:cstheme="minorHAnsi"/>
              </w:rPr>
            </w:pPr>
            <w:r w:rsidRPr="00846769">
              <w:rPr>
                <w:rFonts w:cstheme="minorHAnsi"/>
              </w:rPr>
              <w:t>Family</w:t>
            </w:r>
          </w:p>
        </w:tc>
        <w:tc>
          <w:tcPr>
            <w:tcW w:w="2585" w:type="dxa"/>
            <w:shd w:val="clear" w:color="auto" w:fill="FFFFFF" w:themeFill="background1"/>
          </w:tcPr>
          <w:p w14:paraId="305CB69C" w14:textId="77777777" w:rsidR="00E55B67" w:rsidRPr="00846769" w:rsidRDefault="00E55B67" w:rsidP="00A67BBE">
            <w:pPr>
              <w:pStyle w:val="TableText"/>
              <w:rPr>
                <w:rFonts w:cstheme="minorHAnsi"/>
              </w:rPr>
            </w:pPr>
            <w:r w:rsidRPr="00846769">
              <w:rPr>
                <w:rFonts w:cstheme="minorHAnsi"/>
              </w:rPr>
              <w:t>Corbulidae</w:t>
            </w:r>
          </w:p>
        </w:tc>
      </w:tr>
      <w:tr w:rsidR="00E55B67" w:rsidRPr="00846769" w14:paraId="542BAB81" w14:textId="77777777" w:rsidTr="00A04E26">
        <w:trPr>
          <w:cantSplit/>
          <w:tblHeader/>
        </w:trPr>
        <w:tc>
          <w:tcPr>
            <w:tcW w:w="1526" w:type="dxa"/>
            <w:shd w:val="clear" w:color="auto" w:fill="FFFFFF" w:themeFill="background1"/>
          </w:tcPr>
          <w:p w14:paraId="087C7FE7" w14:textId="77777777" w:rsidR="00E55B67" w:rsidRPr="00846769" w:rsidRDefault="00E55B67" w:rsidP="00A67BBE">
            <w:pPr>
              <w:pStyle w:val="TableText"/>
              <w:rPr>
                <w:rFonts w:cstheme="minorHAnsi"/>
              </w:rPr>
            </w:pPr>
            <w:r w:rsidRPr="00846769">
              <w:rPr>
                <w:rFonts w:cstheme="minorHAnsi"/>
              </w:rPr>
              <w:t>Genus</w:t>
            </w:r>
          </w:p>
        </w:tc>
        <w:tc>
          <w:tcPr>
            <w:tcW w:w="2585" w:type="dxa"/>
            <w:shd w:val="clear" w:color="auto" w:fill="FFFFFF" w:themeFill="background1"/>
          </w:tcPr>
          <w:p w14:paraId="2B43694E" w14:textId="77777777" w:rsidR="00E55B67" w:rsidRPr="00846769" w:rsidRDefault="00E55B67" w:rsidP="00A67BBE">
            <w:pPr>
              <w:pStyle w:val="TableText"/>
              <w:rPr>
                <w:rStyle w:val="Emphasis"/>
                <w:rFonts w:cstheme="minorHAnsi"/>
              </w:rPr>
            </w:pPr>
            <w:r w:rsidRPr="00846769">
              <w:rPr>
                <w:rFonts w:cstheme="minorHAnsi"/>
                <w:i/>
                <w:iCs/>
              </w:rPr>
              <w:t>Potamocorbula</w:t>
            </w:r>
          </w:p>
        </w:tc>
      </w:tr>
    </w:tbl>
    <w:p w14:paraId="2A5F495C" w14:textId="77777777" w:rsidR="00E55B67" w:rsidRPr="00846769" w:rsidRDefault="00E55B67" w:rsidP="006E7F76">
      <w:pPr>
        <w:pStyle w:val="Heading5"/>
        <w:spacing w:before="120" w:after="120"/>
        <w:rPr>
          <w:color w:val="262626" w:themeColor="text1" w:themeTint="D9"/>
          <w:sz w:val="24"/>
          <w:szCs w:val="24"/>
        </w:rPr>
      </w:pPr>
      <w:r w:rsidRPr="00846769">
        <w:rPr>
          <w:color w:val="262626" w:themeColor="text1" w:themeTint="D9"/>
          <w:sz w:val="24"/>
          <w:szCs w:val="24"/>
        </w:rPr>
        <w:t>Diagnostic features for identification</w:t>
      </w:r>
    </w:p>
    <w:p w14:paraId="785E758A" w14:textId="77777777" w:rsidR="00E55B67" w:rsidRPr="00846769" w:rsidRDefault="00E55B67" w:rsidP="00DC52AA">
      <w:pPr>
        <w:pStyle w:val="Heading6"/>
        <w:spacing w:after="40"/>
        <w:rPr>
          <w:color w:val="262626" w:themeColor="text1" w:themeTint="D9"/>
        </w:rPr>
      </w:pPr>
      <w:r w:rsidRPr="00846769">
        <w:rPr>
          <w:color w:val="262626" w:themeColor="text1" w:themeTint="D9"/>
        </w:rPr>
        <w:t>Field identification</w:t>
      </w:r>
    </w:p>
    <w:p w14:paraId="31067734" w14:textId="59A75C85" w:rsidR="006E7F76" w:rsidRPr="00846769" w:rsidRDefault="002A5948" w:rsidP="00E55B67">
      <w:r w:rsidRPr="00846769">
        <w:rPr>
          <w:i/>
          <w:iCs/>
        </w:rPr>
        <w:t xml:space="preserve">Potamocorbula amurensis </w:t>
      </w:r>
      <w:r w:rsidRPr="00846769">
        <w:t xml:space="preserve">cannot be identified in the field with a high degree of taxonomic </w:t>
      </w:r>
      <w:proofErr w:type="gramStart"/>
      <w:r w:rsidRPr="00846769">
        <w:t xml:space="preserve">certainty </w:t>
      </w:r>
      <w:r w:rsidRPr="00846769" w:rsidDel="002A5948">
        <w:rPr>
          <w:i/>
          <w:iCs/>
        </w:rPr>
        <w:t xml:space="preserve"> </w:t>
      </w:r>
      <w:r w:rsidR="006E7F76" w:rsidRPr="00B270CB">
        <w:t>(</w:t>
      </w:r>
      <w:proofErr w:type="gramEnd"/>
      <w:r w:rsidR="006E7F76" w:rsidRPr="00B270CB">
        <w:t>MPSC 2018).</w:t>
      </w:r>
      <w:r w:rsidR="006E7F76" w:rsidRPr="00846769">
        <w:t xml:space="preserve"> </w:t>
      </w:r>
    </w:p>
    <w:p w14:paraId="5CA7A6B2" w14:textId="06A3D6F3" w:rsidR="00524EE3" w:rsidRPr="00846769" w:rsidRDefault="00E55B67" w:rsidP="00E55B67">
      <w:r w:rsidRPr="00846769">
        <w:t xml:space="preserve">The shell of </w:t>
      </w:r>
      <w:r w:rsidRPr="00846769">
        <w:rPr>
          <w:i/>
          <w:iCs/>
        </w:rPr>
        <w:t>P</w:t>
      </w:r>
      <w:r w:rsidR="009243C3" w:rsidRPr="00846769">
        <w:rPr>
          <w:i/>
          <w:iCs/>
        </w:rPr>
        <w:t>.</w:t>
      </w:r>
      <w:r w:rsidRPr="00846769">
        <w:rPr>
          <w:i/>
          <w:iCs/>
        </w:rPr>
        <w:t xml:space="preserve"> amurensis </w:t>
      </w:r>
      <w:r w:rsidR="00780E0E" w:rsidRPr="00846769">
        <w:t>is ovate and thin and can measure up to 25 mm in length. Colour of the shell c</w:t>
      </w:r>
      <w:r w:rsidRPr="00846769">
        <w:t>an be yellow, tan, or off-white with brown staining (</w:t>
      </w:r>
      <w:r w:rsidR="00192097" w:rsidRPr="00846769">
        <w:rPr>
          <w:highlight w:val="yellow"/>
        </w:rPr>
        <w:fldChar w:fldCharType="begin"/>
      </w:r>
      <w:r w:rsidR="00192097" w:rsidRPr="00846769">
        <w:instrText xml:space="preserve"> REF _Ref171943365 \h </w:instrText>
      </w:r>
      <w:r w:rsidR="00192097" w:rsidRPr="00846769">
        <w:rPr>
          <w:highlight w:val="yellow"/>
        </w:rPr>
      </w:r>
      <w:r w:rsidR="00192097" w:rsidRPr="00846769">
        <w:rPr>
          <w:highlight w:val="yellow"/>
        </w:rPr>
        <w:fldChar w:fldCharType="separate"/>
      </w:r>
      <w:r w:rsidR="00192097" w:rsidRPr="00846769">
        <w:t>Photo 4</w:t>
      </w:r>
      <w:r w:rsidR="00192097" w:rsidRPr="00846769">
        <w:rPr>
          <w:highlight w:val="yellow"/>
        </w:rPr>
        <w:fldChar w:fldCharType="end"/>
      </w:r>
      <w:r w:rsidRPr="00846769">
        <w:t>). The shell surface is usually smooth</w:t>
      </w:r>
      <w:r w:rsidR="00780E0E" w:rsidRPr="00846769">
        <w:t xml:space="preserve"> but can be wrinkled in older individuals</w:t>
      </w:r>
      <w:r w:rsidRPr="00846769">
        <w:t xml:space="preserve">. </w:t>
      </w:r>
    </w:p>
    <w:p w14:paraId="6A4710DA" w14:textId="2E891998" w:rsidR="00780E0E" w:rsidRPr="00846769" w:rsidRDefault="00780E0E" w:rsidP="00E55B67">
      <w:r w:rsidRPr="00846769">
        <w:t>The</w:t>
      </w:r>
      <w:r w:rsidR="00F067C4" w:rsidRPr="00846769">
        <w:t xml:space="preserve"> right valve </w:t>
      </w:r>
      <w:r w:rsidRPr="00846769">
        <w:t xml:space="preserve">is </w:t>
      </w:r>
      <w:r w:rsidR="00F067C4" w:rsidRPr="00846769">
        <w:t>decidedly larger than the left valve</w:t>
      </w:r>
      <w:r w:rsidR="00883541" w:rsidRPr="00846769">
        <w:t xml:space="preserve"> (hence the name, overbite clam)</w:t>
      </w:r>
      <w:r w:rsidRPr="00846769">
        <w:t xml:space="preserve">. The right valve has a narrow tooth which is attached to the shell wall below the hinge line. The left valve has a long, projecting </w:t>
      </w:r>
      <w:proofErr w:type="spellStart"/>
      <w:r w:rsidRPr="00846769">
        <w:t>chondrophone</w:t>
      </w:r>
      <w:proofErr w:type="spellEnd"/>
      <w:r w:rsidRPr="00846769">
        <w:t xml:space="preserve"> (corresponding ‘socket’ to the right valve tooth). Pallial line with a </w:t>
      </w:r>
      <w:r w:rsidRPr="00846769">
        <w:lastRenderedPageBreak/>
        <w:t xml:space="preserve">small posterior sinus. Beaks anterior to midline; anterior end and posterior end are both sharply rounded. An exterior posterior keel is apparent on the left valve. The hinge plate is narrow.  </w:t>
      </w:r>
    </w:p>
    <w:p w14:paraId="5AD0345B" w14:textId="10A3C5B5" w:rsidR="00E55B67" w:rsidRPr="00846769" w:rsidRDefault="00E55B67" w:rsidP="00E55B67">
      <w:r w:rsidRPr="00846769">
        <w:t>Characteristic of this clam is the distinctive shell ‘overbite’, where one shell is much larger than the other (</w:t>
      </w:r>
      <w:r w:rsidR="00192097" w:rsidRPr="00846769">
        <w:rPr>
          <w:highlight w:val="yellow"/>
        </w:rPr>
        <w:fldChar w:fldCharType="begin"/>
      </w:r>
      <w:r w:rsidR="00192097" w:rsidRPr="00846769">
        <w:instrText xml:space="preserve"> REF _Ref171943365 \h </w:instrText>
      </w:r>
      <w:r w:rsidR="00192097" w:rsidRPr="00846769">
        <w:rPr>
          <w:highlight w:val="yellow"/>
        </w:rPr>
      </w:r>
      <w:r w:rsidR="00192097" w:rsidRPr="00846769">
        <w:rPr>
          <w:highlight w:val="yellow"/>
        </w:rPr>
        <w:fldChar w:fldCharType="separate"/>
      </w:r>
      <w:r w:rsidR="00192097" w:rsidRPr="00846769">
        <w:t>Photo 4</w:t>
      </w:r>
      <w:r w:rsidR="00192097" w:rsidRPr="00846769">
        <w:rPr>
          <w:highlight w:val="yellow"/>
        </w:rPr>
        <w:fldChar w:fldCharType="end"/>
      </w:r>
      <w:r w:rsidR="006C5232" w:rsidRPr="00846769">
        <w:t xml:space="preserve"> and </w:t>
      </w:r>
      <w:r w:rsidR="00192097" w:rsidRPr="00846769">
        <w:fldChar w:fldCharType="begin"/>
      </w:r>
      <w:r w:rsidR="00192097" w:rsidRPr="00846769">
        <w:instrText xml:space="preserve"> REF _Ref171943454 \h </w:instrText>
      </w:r>
      <w:r w:rsidR="00192097" w:rsidRPr="00846769">
        <w:fldChar w:fldCharType="separate"/>
      </w:r>
      <w:r w:rsidR="00192097" w:rsidRPr="00846769">
        <w:t>Photo 5</w:t>
      </w:r>
      <w:r w:rsidR="00192097" w:rsidRPr="00846769">
        <w:fldChar w:fldCharType="end"/>
      </w:r>
      <w:r w:rsidRPr="00846769">
        <w:t xml:space="preserve">). The overbite can be around a quarter to a third of the total shell perimeter edge. </w:t>
      </w:r>
    </w:p>
    <w:p w14:paraId="640E161E" w14:textId="63F6977A" w:rsidR="006C5232" w:rsidRPr="00846769" w:rsidRDefault="006C5232" w:rsidP="006C5232">
      <w:pPr>
        <w:pStyle w:val="Caption"/>
      </w:pPr>
      <w:bookmarkStart w:id="584" w:name="_Ref171943365"/>
      <w:bookmarkStart w:id="585" w:name="_Toc191999528"/>
      <w:r w:rsidRPr="00846769">
        <w:t xml:space="preserve">Photo </w:t>
      </w:r>
      <w:r w:rsidRPr="00846769">
        <w:fldChar w:fldCharType="begin"/>
      </w:r>
      <w:r w:rsidRPr="00846769">
        <w:instrText xml:space="preserve"> SEQ Photo \* ARABIC </w:instrText>
      </w:r>
      <w:r w:rsidRPr="00846769">
        <w:fldChar w:fldCharType="separate"/>
      </w:r>
      <w:r w:rsidR="00300312" w:rsidRPr="00846769">
        <w:t>4</w:t>
      </w:r>
      <w:r w:rsidRPr="00846769">
        <w:fldChar w:fldCharType="end"/>
      </w:r>
      <w:bookmarkEnd w:id="584"/>
      <w:r w:rsidRPr="00846769">
        <w:t xml:space="preserve"> </w:t>
      </w:r>
      <w:r w:rsidRPr="00846769">
        <w:rPr>
          <w:color w:val="262626" w:themeColor="text1" w:themeTint="D9"/>
        </w:rPr>
        <w:t xml:space="preserve">Adult </w:t>
      </w:r>
      <w:r w:rsidRPr="00846769">
        <w:rPr>
          <w:i/>
          <w:iCs/>
          <w:color w:val="262626" w:themeColor="text1" w:themeTint="D9"/>
        </w:rPr>
        <w:t>Potamocorbula amurensis</w:t>
      </w:r>
      <w:r w:rsidRPr="00846769">
        <w:rPr>
          <w:rStyle w:val="Emphasis"/>
          <w:color w:val="262626" w:themeColor="text1" w:themeTint="D9"/>
        </w:rPr>
        <w:t xml:space="preserve"> </w:t>
      </w:r>
      <w:r w:rsidRPr="00846769">
        <w:rPr>
          <w:rStyle w:val="Emphasis"/>
          <w:i w:val="0"/>
          <w:iCs w:val="0"/>
          <w:color w:val="262626" w:themeColor="text1" w:themeTint="D9"/>
        </w:rPr>
        <w:t>showing the shell ‘overbite’ (top), and the inside and outside of the shells (bottom)</w:t>
      </w:r>
      <w:bookmarkEnd w:id="585"/>
    </w:p>
    <w:p w14:paraId="31D9ABD0" w14:textId="0A6D4576" w:rsidR="00E55B67" w:rsidRPr="00846769" w:rsidRDefault="00E55B67" w:rsidP="00E55B67">
      <w:r w:rsidRPr="00846769">
        <w:rPr>
          <w:noProof/>
        </w:rPr>
        <w:drawing>
          <wp:inline distT="0" distB="0" distL="0" distR="0" wp14:anchorId="255E5667" wp14:editId="1F41505D">
            <wp:extent cx="5010150" cy="3525748"/>
            <wp:effectExtent l="0" t="0" r="0" b="0"/>
            <wp:docPr id="91" name="Picture 91" descr="Coloured photograph of adult Potamocorbula amurensis showing important morphological features for identification include a distinctive shell overlap where one shell valve is much larger than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oloured photograph of adult Potamocorbula amurensis showing important morphological features for identification include a distinctive shell overlap where one shell valve is much larger than the other. "/>
                    <pic:cNvPicPr/>
                  </pic:nvPicPr>
                  <pic:blipFill>
                    <a:blip r:embed="rId197" cstate="screen">
                      <a:extLst>
                        <a:ext uri="{28A0092B-C50C-407E-A947-70E740481C1C}">
                          <a14:useLocalDpi xmlns:a14="http://schemas.microsoft.com/office/drawing/2010/main" val="0"/>
                        </a:ext>
                      </a:extLst>
                    </a:blip>
                    <a:srcRect/>
                    <a:stretch>
                      <a:fillRect/>
                    </a:stretch>
                  </pic:blipFill>
                  <pic:spPr bwMode="auto">
                    <a:xfrm>
                      <a:off x="0" y="0"/>
                      <a:ext cx="5055108" cy="3557386"/>
                    </a:xfrm>
                    <a:prstGeom prst="rect">
                      <a:avLst/>
                    </a:prstGeom>
                    <a:ln>
                      <a:noFill/>
                    </a:ln>
                    <a:extLst>
                      <a:ext uri="{53640926-AAD7-44D8-BBD7-CCE9431645EC}">
                        <a14:shadowObscured xmlns:a14="http://schemas.microsoft.com/office/drawing/2010/main"/>
                      </a:ext>
                    </a:extLst>
                  </pic:spPr>
                </pic:pic>
              </a:graphicData>
            </a:graphic>
          </wp:inline>
        </w:drawing>
      </w:r>
    </w:p>
    <w:p w14:paraId="06A129A7" w14:textId="00F9EEC3" w:rsidR="00E55B67" w:rsidRPr="00846769" w:rsidRDefault="00E6260A" w:rsidP="00E6260A">
      <w:pPr>
        <w:spacing w:after="0"/>
        <w:rPr>
          <w:sz w:val="18"/>
          <w:szCs w:val="18"/>
        </w:rPr>
      </w:pPr>
      <w:r w:rsidRPr="00846769">
        <w:rPr>
          <w:b/>
          <w:bCs/>
          <w:sz w:val="18"/>
          <w:szCs w:val="18"/>
        </w:rPr>
        <w:t>A</w:t>
      </w:r>
      <w:r w:rsidRPr="00846769">
        <w:rPr>
          <w:sz w:val="18"/>
          <w:szCs w:val="18"/>
        </w:rPr>
        <w:t xml:space="preserve"> </w:t>
      </w:r>
      <w:r w:rsidR="00E55B67" w:rsidRPr="00846769">
        <w:rPr>
          <w:sz w:val="18"/>
          <w:szCs w:val="18"/>
        </w:rPr>
        <w:t xml:space="preserve">Shell ‘overbite’ where one shell valve is much larger than the other. </w:t>
      </w:r>
    </w:p>
    <w:p w14:paraId="060A58BE" w14:textId="6B334E13" w:rsidR="006C5232" w:rsidRPr="00846769" w:rsidRDefault="00E55B67" w:rsidP="00E6260A">
      <w:pPr>
        <w:rPr>
          <w:sz w:val="18"/>
          <w:szCs w:val="18"/>
        </w:rPr>
      </w:pPr>
      <w:r w:rsidRPr="00846769">
        <w:rPr>
          <w:sz w:val="18"/>
          <w:szCs w:val="18"/>
        </w:rPr>
        <w:t>Source: Janet Thompson, United States Geological Survey, California.</w:t>
      </w:r>
    </w:p>
    <w:p w14:paraId="186E10D8" w14:textId="6E5B4347" w:rsidR="006C5232" w:rsidRPr="00846769" w:rsidRDefault="006C5232" w:rsidP="006C5232">
      <w:pPr>
        <w:pStyle w:val="Caption"/>
        <w:rPr>
          <w:i/>
          <w:iCs/>
        </w:rPr>
      </w:pPr>
      <w:bookmarkStart w:id="586" w:name="_Ref171943454"/>
      <w:bookmarkStart w:id="587" w:name="_Toc191999529"/>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5</w:t>
      </w:r>
      <w:r w:rsidRPr="00846769">
        <w:fldChar w:fldCharType="end"/>
      </w:r>
      <w:bookmarkEnd w:id="586"/>
      <w:r w:rsidRPr="00846769">
        <w:t xml:space="preserve"> Example of inside and outside shell valves of </w:t>
      </w:r>
      <w:r w:rsidRPr="00846769">
        <w:rPr>
          <w:i/>
          <w:iCs/>
        </w:rPr>
        <w:t>Potamocorbula amurensis</w:t>
      </w:r>
      <w:bookmarkEnd w:id="587"/>
    </w:p>
    <w:p w14:paraId="6350446D" w14:textId="3EC3C7C0" w:rsidR="00D70D7C" w:rsidRPr="00846769" w:rsidRDefault="00D70D7C" w:rsidP="00E6260A">
      <w:pPr>
        <w:rPr>
          <w:sz w:val="18"/>
          <w:szCs w:val="18"/>
        </w:rPr>
      </w:pPr>
      <w:r w:rsidRPr="00846769">
        <w:rPr>
          <w:noProof/>
          <w:sz w:val="18"/>
          <w:szCs w:val="18"/>
        </w:rPr>
        <w:drawing>
          <wp:inline distT="0" distB="0" distL="0" distR="0" wp14:anchorId="77D2DC20" wp14:editId="7411B37B">
            <wp:extent cx="4933950" cy="2939185"/>
            <wp:effectExtent l="0" t="0" r="0" b="0"/>
            <wp:docPr id="1608663299" name="Picture 1" descr="Coloured photograph of adult Potamocorbula amurensis showing inside and outside of empty shells of Potamocorbula amur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63299" name="Picture 1" descr="Coloured photograph of adult Potamocorbula amurensis showing inside and outside of empty shells of Potamocorbula amurensis."/>
                    <pic:cNvPicPr/>
                  </pic:nvPicPr>
                  <pic:blipFill>
                    <a:blip r:embed="rId198" cstate="email">
                      <a:extLst>
                        <a:ext uri="{28A0092B-C50C-407E-A947-70E740481C1C}">
                          <a14:useLocalDpi xmlns:a14="http://schemas.microsoft.com/office/drawing/2010/main" val="0"/>
                        </a:ext>
                      </a:extLst>
                    </a:blip>
                    <a:stretch>
                      <a:fillRect/>
                    </a:stretch>
                  </pic:blipFill>
                  <pic:spPr>
                    <a:xfrm>
                      <a:off x="0" y="0"/>
                      <a:ext cx="4963997" cy="2957084"/>
                    </a:xfrm>
                    <a:prstGeom prst="rect">
                      <a:avLst/>
                    </a:prstGeom>
                  </pic:spPr>
                </pic:pic>
              </a:graphicData>
            </a:graphic>
          </wp:inline>
        </w:drawing>
      </w:r>
    </w:p>
    <w:p w14:paraId="7CDE50F7" w14:textId="7ECA6E6F" w:rsidR="001C5FD1" w:rsidRPr="00846769" w:rsidRDefault="001C5FD1" w:rsidP="001C5FD1">
      <w:pPr>
        <w:rPr>
          <w:sz w:val="18"/>
          <w:szCs w:val="18"/>
        </w:rPr>
      </w:pPr>
      <w:r w:rsidRPr="00846769">
        <w:rPr>
          <w:sz w:val="18"/>
          <w:szCs w:val="18"/>
        </w:rPr>
        <w:t>Source: Evan Rees, Northern Australia Quarantine Strategy (NAQS</w:t>
      </w:r>
      <w:r w:rsidR="00F425BD" w:rsidRPr="00846769">
        <w:rPr>
          <w:sz w:val="18"/>
          <w:szCs w:val="18"/>
        </w:rPr>
        <w:t>)</w:t>
      </w:r>
    </w:p>
    <w:p w14:paraId="772046D2" w14:textId="48FCE463" w:rsidR="00BE7931" w:rsidRPr="00846769" w:rsidRDefault="00BE7931" w:rsidP="00BE7931">
      <w:pPr>
        <w:pStyle w:val="Heading6"/>
        <w:spacing w:after="40"/>
        <w:rPr>
          <w:color w:val="262626" w:themeColor="text1" w:themeTint="D9"/>
        </w:rPr>
      </w:pPr>
      <w:r w:rsidRPr="00846769">
        <w:rPr>
          <w:color w:val="262626" w:themeColor="text1" w:themeTint="D9"/>
        </w:rPr>
        <w:t>Similar native species</w:t>
      </w:r>
    </w:p>
    <w:p w14:paraId="64F84DAF" w14:textId="44875139" w:rsidR="00E3372B" w:rsidRPr="00846769" w:rsidRDefault="00524EE3" w:rsidP="00524EE3">
      <w:pPr>
        <w:rPr>
          <w:i/>
          <w:iCs/>
        </w:rPr>
      </w:pPr>
      <w:r w:rsidRPr="00846769">
        <w:rPr>
          <w:i/>
          <w:iCs/>
        </w:rPr>
        <w:t>Potamocorbula amurensis</w:t>
      </w:r>
      <w:r w:rsidRPr="00846769">
        <w:t xml:space="preserve"> is unlikely to be distinguished from native Australian bivalves in the field. It is morphologically very similar to native Australian Corbulidae </w:t>
      </w:r>
      <w:r w:rsidR="00E3372B" w:rsidRPr="00846769">
        <w:t>(</w:t>
      </w:r>
      <w:r w:rsidR="0004422F">
        <w:t>i.e.</w:t>
      </w:r>
      <w:r w:rsidR="00E3372B" w:rsidRPr="00846769">
        <w:t xml:space="preserve"> </w:t>
      </w:r>
      <w:proofErr w:type="spellStart"/>
      <w:r w:rsidR="00E3372B" w:rsidRPr="00846769">
        <w:rPr>
          <w:i/>
          <w:iCs/>
        </w:rPr>
        <w:t>Corbula</w:t>
      </w:r>
      <w:proofErr w:type="spellEnd"/>
      <w:r w:rsidR="00E3372B" w:rsidRPr="00846769">
        <w:rPr>
          <w:i/>
          <w:iCs/>
        </w:rPr>
        <w:t xml:space="preserve"> </w:t>
      </w:r>
      <w:r w:rsidR="00E3372B" w:rsidRPr="00846769">
        <w:t>(</w:t>
      </w:r>
      <w:proofErr w:type="spellStart"/>
      <w:r w:rsidR="00E3372B" w:rsidRPr="00846769">
        <w:rPr>
          <w:i/>
          <w:iCs/>
        </w:rPr>
        <w:t>Serrocorbula</w:t>
      </w:r>
      <w:proofErr w:type="spellEnd"/>
      <w:r w:rsidR="00E3372B" w:rsidRPr="00846769">
        <w:t xml:space="preserve">) </w:t>
      </w:r>
      <w:proofErr w:type="spellStart"/>
      <w:r w:rsidR="00E3372B" w:rsidRPr="00846769">
        <w:rPr>
          <w:i/>
          <w:iCs/>
        </w:rPr>
        <w:t>verconis</w:t>
      </w:r>
      <w:proofErr w:type="spellEnd"/>
      <w:r w:rsidR="00E3372B" w:rsidRPr="00846769">
        <w:t>)</w:t>
      </w:r>
      <w:r w:rsidRPr="00846769">
        <w:rPr>
          <w:i/>
          <w:iCs/>
        </w:rPr>
        <w:t xml:space="preserve">, </w:t>
      </w:r>
      <w:proofErr w:type="spellStart"/>
      <w:r w:rsidRPr="00846769">
        <w:t>Myidae</w:t>
      </w:r>
      <w:proofErr w:type="spellEnd"/>
      <w:r w:rsidRPr="00846769">
        <w:t xml:space="preserve"> (genus </w:t>
      </w:r>
      <w:proofErr w:type="spellStart"/>
      <w:r w:rsidRPr="00846769">
        <w:rPr>
          <w:i/>
          <w:iCs/>
        </w:rPr>
        <w:t>Cryptomya</w:t>
      </w:r>
      <w:proofErr w:type="spellEnd"/>
      <w:r w:rsidRPr="00846769">
        <w:t xml:space="preserve">), </w:t>
      </w:r>
      <w:proofErr w:type="spellStart"/>
      <w:r w:rsidR="00E3372B" w:rsidRPr="00846769">
        <w:t>Mesodesmatidae</w:t>
      </w:r>
      <w:proofErr w:type="spellEnd"/>
      <w:r w:rsidR="00E3372B" w:rsidRPr="00846769">
        <w:t xml:space="preserve"> (genus </w:t>
      </w:r>
      <w:proofErr w:type="spellStart"/>
      <w:r w:rsidR="00E3372B" w:rsidRPr="00846769">
        <w:rPr>
          <w:i/>
          <w:iCs/>
        </w:rPr>
        <w:t>Paphies</w:t>
      </w:r>
      <w:proofErr w:type="spellEnd"/>
      <w:r w:rsidR="00E3372B" w:rsidRPr="00846769">
        <w:t>),</w:t>
      </w:r>
      <w:r w:rsidR="00E6260A" w:rsidRPr="00846769">
        <w:t xml:space="preserve"> Tellinidae (genus </w:t>
      </w:r>
      <w:r w:rsidR="00E6260A" w:rsidRPr="00846769">
        <w:rPr>
          <w:i/>
          <w:iCs/>
        </w:rPr>
        <w:t>Tellina</w:t>
      </w:r>
      <w:r w:rsidR="00E6260A" w:rsidRPr="00846769">
        <w:t>),</w:t>
      </w:r>
      <w:r w:rsidR="00E3372B" w:rsidRPr="00846769">
        <w:t xml:space="preserve"> </w:t>
      </w:r>
      <w:r w:rsidRPr="00846769">
        <w:t xml:space="preserve">and some </w:t>
      </w:r>
      <w:proofErr w:type="spellStart"/>
      <w:r w:rsidRPr="00846769">
        <w:t>Mactridae</w:t>
      </w:r>
      <w:proofErr w:type="spellEnd"/>
      <w:r w:rsidRPr="00846769">
        <w:t xml:space="preserve"> spp. (notably the genus </w:t>
      </w:r>
      <w:proofErr w:type="spellStart"/>
      <w:r w:rsidRPr="00846769">
        <w:rPr>
          <w:i/>
          <w:iCs/>
        </w:rPr>
        <w:t>Spisula</w:t>
      </w:r>
      <w:proofErr w:type="spellEnd"/>
      <w:r w:rsidRPr="00846769">
        <w:t>)</w:t>
      </w:r>
      <w:r w:rsidR="005343E4" w:rsidRPr="00846769">
        <w:t>. It also shares morphological similarities to</w:t>
      </w:r>
      <w:r w:rsidR="00E3372B" w:rsidRPr="00846769">
        <w:t xml:space="preserve"> the</w:t>
      </w:r>
      <w:r w:rsidR="005343E4" w:rsidRPr="00846769">
        <w:t xml:space="preserve"> introduced </w:t>
      </w:r>
      <w:r w:rsidR="005343E4" w:rsidRPr="00846769">
        <w:rPr>
          <w:i/>
          <w:iCs/>
        </w:rPr>
        <w:t xml:space="preserve">Varicorbula </w:t>
      </w:r>
      <w:r w:rsidR="005343E4" w:rsidRPr="00F47511">
        <w:rPr>
          <w:i/>
          <w:iCs/>
        </w:rPr>
        <w:t>gibba</w:t>
      </w:r>
      <w:r w:rsidRPr="00F47511">
        <w:t xml:space="preserve"> (</w:t>
      </w:r>
      <w:r w:rsidR="005343E4" w:rsidRPr="00F47511">
        <w:t xml:space="preserve">MPSC 2018, </w:t>
      </w:r>
      <w:r w:rsidR="00E36FCB" w:rsidRPr="00F47511">
        <w:t xml:space="preserve">Richard </w:t>
      </w:r>
      <w:r w:rsidR="005343E4" w:rsidRPr="00F47511">
        <w:t>Willan</w:t>
      </w:r>
      <w:r w:rsidR="00F47511" w:rsidRPr="00F47511">
        <w:t xml:space="preserve"> [MAGNT]</w:t>
      </w:r>
      <w:r w:rsidR="005343E4" w:rsidRPr="00F47511">
        <w:t>, pers. comm.</w:t>
      </w:r>
      <w:r w:rsidR="00E36FCB" w:rsidRPr="00F47511">
        <w:t>, April 2023</w:t>
      </w:r>
      <w:r w:rsidRPr="00F47511">
        <w:t>).</w:t>
      </w:r>
      <w:r w:rsidRPr="00846769">
        <w:t xml:space="preserve"> </w:t>
      </w:r>
      <w:r w:rsidRPr="00846769">
        <w:rPr>
          <w:i/>
          <w:iCs/>
        </w:rPr>
        <w:t xml:space="preserve"> </w:t>
      </w:r>
    </w:p>
    <w:p w14:paraId="5E62B895" w14:textId="4ED86CA1" w:rsidR="00524EE3" w:rsidRPr="00846769" w:rsidRDefault="00E3372B" w:rsidP="00524EE3">
      <w:r w:rsidRPr="00846769">
        <w:t xml:space="preserve">Photographs of some similar native bivalves to </w:t>
      </w:r>
      <w:r w:rsidRPr="00846769">
        <w:rPr>
          <w:i/>
          <w:iCs/>
        </w:rPr>
        <w:t>P. amurensis</w:t>
      </w:r>
      <w:r w:rsidRPr="00846769">
        <w:t xml:space="preserve"> can be found at the </w:t>
      </w:r>
      <w:hyperlink r:id="rId199" w:history="1">
        <w:r w:rsidRPr="00846769">
          <w:rPr>
            <w:rStyle w:val="Hyperlink"/>
          </w:rPr>
          <w:t xml:space="preserve">marine </w:t>
        </w:r>
        <w:proofErr w:type="gramStart"/>
        <w:r w:rsidRPr="00846769">
          <w:rPr>
            <w:rStyle w:val="Hyperlink"/>
          </w:rPr>
          <w:t>pests</w:t>
        </w:r>
        <w:proofErr w:type="gramEnd"/>
        <w:r w:rsidRPr="00846769">
          <w:rPr>
            <w:rStyle w:val="Hyperlink"/>
          </w:rPr>
          <w:t xml:space="preserve"> website.</w:t>
        </w:r>
      </w:hyperlink>
      <w:r w:rsidRPr="00846769">
        <w:t xml:space="preserve"> </w:t>
      </w:r>
    </w:p>
    <w:p w14:paraId="570D5D3D" w14:textId="6FE65DD1" w:rsidR="00E55B67" w:rsidRPr="00846769" w:rsidRDefault="00E55B67" w:rsidP="00DC52AA">
      <w:pPr>
        <w:pStyle w:val="Heading6"/>
        <w:spacing w:after="40"/>
        <w:rPr>
          <w:color w:val="262626" w:themeColor="text1" w:themeTint="D9"/>
        </w:rPr>
      </w:pPr>
      <w:r w:rsidRPr="00846769">
        <w:rPr>
          <w:color w:val="262626" w:themeColor="text1" w:themeTint="D9"/>
        </w:rPr>
        <w:t>Laboratory</w:t>
      </w:r>
      <w:r w:rsidR="005F6EAB" w:rsidRPr="00846769">
        <w:rPr>
          <w:color w:val="262626" w:themeColor="text1" w:themeTint="D9"/>
        </w:rPr>
        <w:t xml:space="preserve"> and molecular</w:t>
      </w:r>
      <w:r w:rsidRPr="00846769">
        <w:rPr>
          <w:color w:val="262626" w:themeColor="text1" w:themeTint="D9"/>
        </w:rPr>
        <w:t xml:space="preserve"> identification</w:t>
      </w:r>
    </w:p>
    <w:p w14:paraId="36BED623" w14:textId="0E340F46" w:rsidR="00E55B67" w:rsidRPr="00846769" w:rsidRDefault="00E55B67" w:rsidP="00E55B67">
      <w:r w:rsidRPr="00846769">
        <w:t xml:space="preserve">A qPCR </w:t>
      </w:r>
      <w:r w:rsidR="005F6EAB" w:rsidRPr="00846769">
        <w:t xml:space="preserve">assay </w:t>
      </w:r>
      <w:r w:rsidRPr="00846769">
        <w:t xml:space="preserve">targeting the 18S </w:t>
      </w:r>
      <w:r w:rsidRPr="00DD01E4">
        <w:t xml:space="preserve">rDNA gene of </w:t>
      </w:r>
      <w:r w:rsidRPr="00DD01E4">
        <w:rPr>
          <w:i/>
          <w:iCs/>
        </w:rPr>
        <w:t>P</w:t>
      </w:r>
      <w:r w:rsidR="005F6EAB" w:rsidRPr="00DD01E4">
        <w:rPr>
          <w:i/>
          <w:iCs/>
        </w:rPr>
        <w:t>.</w:t>
      </w:r>
      <w:r w:rsidRPr="00DD01E4">
        <w:rPr>
          <w:i/>
          <w:iCs/>
        </w:rPr>
        <w:t xml:space="preserve"> amurensis </w:t>
      </w:r>
      <w:r w:rsidRPr="00DD01E4">
        <w:t>has been developed for species</w:t>
      </w:r>
      <w:r w:rsidR="005F6EAB" w:rsidRPr="00DD01E4">
        <w:t>-</w:t>
      </w:r>
      <w:r w:rsidRPr="00DD01E4">
        <w:t>specific detection from environmental sa</w:t>
      </w:r>
      <w:r w:rsidRPr="00B270CB">
        <w:t>mples</w:t>
      </w:r>
      <w:r w:rsidR="005F6EAB" w:rsidRPr="00B270CB">
        <w:t xml:space="preserve"> (Smith et al. 2012)</w:t>
      </w:r>
      <w:r w:rsidRPr="00B270CB">
        <w:t xml:space="preserve">. </w:t>
      </w:r>
      <w:r w:rsidRPr="00B270CB">
        <w:rPr>
          <w:i/>
          <w:iCs/>
        </w:rPr>
        <w:t>Potamocorbula</w:t>
      </w:r>
      <w:r w:rsidRPr="00DD01E4">
        <w:rPr>
          <w:i/>
          <w:iCs/>
        </w:rPr>
        <w:t xml:space="preserve"> amurensis </w:t>
      </w:r>
      <w:r w:rsidRPr="00DD01E4">
        <w:t>larvae were spiked into sample matrices including benthic assemblages, biofilms, sediment grabs</w:t>
      </w:r>
      <w:r w:rsidR="005F6EAB" w:rsidRPr="00DD01E4">
        <w:t>,</w:t>
      </w:r>
      <w:r w:rsidRPr="00DD01E4">
        <w:t xml:space="preserve"> and plankton net hauls. The qPCR had a limit of detection of one larva in 10 g of sediment and five larvae in 10 g of benthic invertebrate and macro-algal assemblages (Smith et al. 2012). This</w:t>
      </w:r>
      <w:r w:rsidRPr="00846769">
        <w:t xml:space="preserve"> qPCR has not been validated under Australian conditions and this needs to be considered before using this method. </w:t>
      </w:r>
    </w:p>
    <w:p w14:paraId="5229C28C" w14:textId="77777777" w:rsidR="00E55B67" w:rsidRPr="00846769" w:rsidRDefault="00E55B67" w:rsidP="00E55B67">
      <w:pPr>
        <w:rPr>
          <w:rFonts w:cstheme="minorHAnsi"/>
        </w:rPr>
      </w:pPr>
      <w:r w:rsidRPr="00846769">
        <w:rPr>
          <w:rFonts w:cstheme="minorHAnsi"/>
        </w:rPr>
        <w:t>Refer to the guidelines for development and validation of assays for marine pests</w:t>
      </w:r>
      <w:r w:rsidRPr="00846769">
        <w:t xml:space="preserve"> for further information</w:t>
      </w:r>
      <w:r w:rsidRPr="00846769">
        <w:rPr>
          <w:rFonts w:cstheme="minorHAnsi"/>
        </w:rPr>
        <w:t xml:space="preserve"> and </w:t>
      </w:r>
      <w:hyperlink r:id="rId200" w:anchor=":~:text=Compendium%20of%20introduced%20marine%20pest%20molecular%20studies%20relevant%20to%20Australia,-Department%20of%20Agriculture&amp;text=This%20compendium%20provides%20a%20central,research%20and%20surveillance%20in%20Australia." w:history="1">
        <w:r w:rsidRPr="00846769">
          <w:rPr>
            <w:rStyle w:val="Hyperlink"/>
            <w:rFonts w:cstheme="minorHAnsi"/>
          </w:rPr>
          <w:t>compendium of introduced marine pest molecular studies relevant to Australia</w:t>
        </w:r>
      </w:hyperlink>
      <w:r w:rsidRPr="00846769">
        <w:rPr>
          <w:rFonts w:cstheme="minorHAnsi"/>
        </w:rPr>
        <w:t>.</w:t>
      </w:r>
    </w:p>
    <w:p w14:paraId="271959CA" w14:textId="77777777" w:rsidR="00E55B67" w:rsidRPr="00846769" w:rsidRDefault="00E55B67" w:rsidP="00DC52AA">
      <w:pPr>
        <w:pStyle w:val="Heading5"/>
        <w:spacing w:after="120"/>
        <w:rPr>
          <w:color w:val="262626" w:themeColor="text1" w:themeTint="D9"/>
          <w:sz w:val="24"/>
          <w:szCs w:val="24"/>
        </w:rPr>
      </w:pPr>
      <w:r w:rsidRPr="00846769">
        <w:rPr>
          <w:color w:val="262626" w:themeColor="text1" w:themeTint="D9"/>
          <w:sz w:val="24"/>
          <w:szCs w:val="24"/>
        </w:rPr>
        <w:t>Life history and ecology</w:t>
      </w:r>
    </w:p>
    <w:p w14:paraId="12966790" w14:textId="77777777" w:rsidR="00E55B67" w:rsidRPr="00846769" w:rsidRDefault="00E55B67" w:rsidP="00DC52AA">
      <w:pPr>
        <w:pStyle w:val="Heading6"/>
        <w:spacing w:after="40"/>
        <w:rPr>
          <w:color w:val="262626" w:themeColor="text1" w:themeTint="D9"/>
        </w:rPr>
      </w:pPr>
      <w:r w:rsidRPr="00846769">
        <w:rPr>
          <w:color w:val="262626" w:themeColor="text1" w:themeTint="D9"/>
        </w:rPr>
        <w:t>Life habit</w:t>
      </w:r>
    </w:p>
    <w:p w14:paraId="2F0FB63C" w14:textId="32D70109" w:rsidR="00E55B67" w:rsidRPr="00846769" w:rsidRDefault="00E55B67" w:rsidP="00E55B67">
      <w:r w:rsidRPr="00846769">
        <w:rPr>
          <w:i/>
          <w:iCs/>
        </w:rPr>
        <w:t xml:space="preserve">Potamocorbula amurensis </w:t>
      </w:r>
      <w:r w:rsidRPr="00846769">
        <w:t>is an infaunal clam. I</w:t>
      </w:r>
      <w:r w:rsidR="006E7F76" w:rsidRPr="00846769">
        <w:t>n</w:t>
      </w:r>
      <w:r w:rsidRPr="00846769">
        <w:t xml:space="preserve"> its introduced range of San Francisco, USA, it has not been observed as epifaunal. </w:t>
      </w:r>
      <w:r w:rsidRPr="00846769">
        <w:rPr>
          <w:i/>
          <w:iCs/>
        </w:rPr>
        <w:t>Potamocorbula amurensis</w:t>
      </w:r>
      <w:r w:rsidRPr="00846769">
        <w:t xml:space="preserve"> prefers the lower-intertidal and subtidal and typically is observed between 1 and 17 m water depth. </w:t>
      </w:r>
      <w:r w:rsidRPr="00846769">
        <w:rPr>
          <w:i/>
          <w:iCs/>
        </w:rPr>
        <w:t xml:space="preserve"> </w:t>
      </w:r>
      <w:r w:rsidRPr="00846769">
        <w:t>The clam</w:t>
      </w:r>
      <w:r w:rsidRPr="00846769">
        <w:rPr>
          <w:i/>
          <w:iCs/>
        </w:rPr>
        <w:t xml:space="preserve"> </w:t>
      </w:r>
      <w:r w:rsidRPr="00846769">
        <w:t xml:space="preserve">can inhabit any sediment type, including silt, sand, gravel, mud, shell </w:t>
      </w:r>
      <w:r w:rsidR="00F067C4" w:rsidRPr="00846769">
        <w:t>sand/grit</w:t>
      </w:r>
      <w:r w:rsidRPr="00846769">
        <w:t xml:space="preserve">, and hard packed clay. In its native range in the </w:t>
      </w:r>
      <w:r w:rsidRPr="00846769">
        <w:lastRenderedPageBreak/>
        <w:t xml:space="preserve">Yangtze River estuary, China, </w:t>
      </w:r>
      <w:r w:rsidRPr="00846769">
        <w:rPr>
          <w:i/>
          <w:iCs/>
        </w:rPr>
        <w:t xml:space="preserve">P. amurensis </w:t>
      </w:r>
      <w:r w:rsidRPr="00846769">
        <w:t xml:space="preserve">is frequently found in fluid mud, highlighting that sediment type does not limit its </w:t>
      </w:r>
      <w:r w:rsidRPr="00B270CB">
        <w:t>distribution (Chao et al. 2012).</w:t>
      </w:r>
      <w:r w:rsidRPr="00846769">
        <w:t xml:space="preserve"> </w:t>
      </w:r>
    </w:p>
    <w:p w14:paraId="08CEFB1C" w14:textId="049552E1" w:rsidR="00E55B67" w:rsidRPr="00846769" w:rsidRDefault="00E55B67" w:rsidP="00E55B67">
      <w:r w:rsidRPr="00846769">
        <w:t xml:space="preserve">The </w:t>
      </w:r>
      <w:r w:rsidR="006E7F76" w:rsidRPr="00846769">
        <w:t xml:space="preserve">water </w:t>
      </w:r>
      <w:r w:rsidRPr="00846769">
        <w:t xml:space="preserve">temperature range for </w:t>
      </w:r>
      <w:r w:rsidRPr="00846769">
        <w:rPr>
          <w:i/>
          <w:iCs/>
        </w:rPr>
        <w:t xml:space="preserve">P. amurensis </w:t>
      </w:r>
      <w:r w:rsidRPr="00846769">
        <w:t xml:space="preserve">is between 5 </w:t>
      </w:r>
      <w:r w:rsidRPr="00B270CB">
        <w:t>and 25</w:t>
      </w:r>
      <w:r w:rsidRPr="00B270CB">
        <w:rPr>
          <w:rFonts w:cstheme="minorHAnsi"/>
        </w:rPr>
        <w:t>°</w:t>
      </w:r>
      <w:r w:rsidRPr="00B270CB">
        <w:t xml:space="preserve">C (Thompson &amp; </w:t>
      </w:r>
      <w:proofErr w:type="spellStart"/>
      <w:r w:rsidRPr="00B270CB">
        <w:t>Parchaso</w:t>
      </w:r>
      <w:proofErr w:type="spellEnd"/>
      <w:r w:rsidRPr="00B270CB">
        <w:t xml:space="preserve"> 201</w:t>
      </w:r>
      <w:r w:rsidR="00846769" w:rsidRPr="00B270CB">
        <w:t>2</w:t>
      </w:r>
      <w:r w:rsidRPr="00B270CB">
        <w:t>)</w:t>
      </w:r>
      <w:r w:rsidRPr="00846769">
        <w:t xml:space="preserve"> and the salinity range is between 0.1 ppt and 33 </w:t>
      </w:r>
      <w:r w:rsidRPr="00DD01E4">
        <w:t>ppt. Nicolini and Penry (2000) showed</w:t>
      </w:r>
      <w:r w:rsidRPr="00846769">
        <w:t xml:space="preserve"> that adult </w:t>
      </w:r>
      <w:r w:rsidRPr="00846769">
        <w:rPr>
          <w:i/>
          <w:iCs/>
        </w:rPr>
        <w:t>P.</w:t>
      </w:r>
      <w:r w:rsidR="00FF70DD">
        <w:rPr>
          <w:i/>
          <w:iCs/>
        </w:rPr>
        <w:t> </w:t>
      </w:r>
      <w:r w:rsidRPr="00846769">
        <w:rPr>
          <w:i/>
          <w:iCs/>
        </w:rPr>
        <w:t xml:space="preserve">amurensis </w:t>
      </w:r>
      <w:r w:rsidRPr="00846769">
        <w:t>can tolerate weeks of exposure at 35 ppt.</w:t>
      </w:r>
    </w:p>
    <w:p w14:paraId="07841673" w14:textId="6F993F2D" w:rsidR="00E55B67" w:rsidRPr="00846769" w:rsidRDefault="00E6260A" w:rsidP="00E55B67">
      <w:r w:rsidRPr="00846769">
        <w:rPr>
          <w:i/>
          <w:iCs/>
        </w:rPr>
        <w:t>Potamocorbula</w:t>
      </w:r>
      <w:r w:rsidR="00E55B67" w:rsidRPr="00846769">
        <w:rPr>
          <w:i/>
          <w:iCs/>
        </w:rPr>
        <w:t xml:space="preserve"> amu</w:t>
      </w:r>
      <w:r w:rsidR="00E55B67" w:rsidRPr="00DD01E4">
        <w:rPr>
          <w:i/>
          <w:iCs/>
        </w:rPr>
        <w:t xml:space="preserve">rensis </w:t>
      </w:r>
      <w:r w:rsidR="00E55B67" w:rsidRPr="00DD01E4">
        <w:t>is an efficient suspension feeder with a versatile diet (</w:t>
      </w:r>
      <w:proofErr w:type="spellStart"/>
      <w:r w:rsidR="00E55B67" w:rsidRPr="00DD01E4">
        <w:t>Parchaso</w:t>
      </w:r>
      <w:proofErr w:type="spellEnd"/>
      <w:r w:rsidR="00E55B67" w:rsidRPr="00DD01E4">
        <w:t xml:space="preserve"> &amp; Thompson 2002). The</w:t>
      </w:r>
      <w:r w:rsidR="00E55B67" w:rsidRPr="00846769">
        <w:t xml:space="preserve"> </w:t>
      </w:r>
      <w:r w:rsidR="00E55B67" w:rsidRPr="00B270CB">
        <w:t xml:space="preserve">versatile diet is suspected to be a key to its invasion success, being able to </w:t>
      </w:r>
      <w:r w:rsidR="00154FA4" w:rsidRPr="00B270CB">
        <w:t>feed on food of various sizes</w:t>
      </w:r>
      <w:r w:rsidR="00E55B67" w:rsidRPr="00B270CB">
        <w:t xml:space="preserve"> (</w:t>
      </w:r>
      <w:proofErr w:type="spellStart"/>
      <w:r w:rsidR="00E55B67" w:rsidRPr="00B270CB">
        <w:t>Parchaso</w:t>
      </w:r>
      <w:proofErr w:type="spellEnd"/>
      <w:r w:rsidR="00E55B67" w:rsidRPr="00B270CB">
        <w:t xml:space="preserve"> &amp; Thompson 2002). </w:t>
      </w:r>
      <w:r w:rsidR="00E55B67" w:rsidRPr="00B270CB">
        <w:rPr>
          <w:i/>
          <w:iCs/>
        </w:rPr>
        <w:t xml:space="preserve">Potamocorbula amurensis </w:t>
      </w:r>
      <w:r w:rsidR="00E55B67" w:rsidRPr="00B270CB">
        <w:t xml:space="preserve">can consume large amounts of zooplankton when at high densities, reducing food sources for other marine organisms. When at high densities, </w:t>
      </w:r>
      <w:r w:rsidR="00E55B67" w:rsidRPr="00B270CB">
        <w:rPr>
          <w:i/>
          <w:iCs/>
        </w:rPr>
        <w:t xml:space="preserve">P. amurensis </w:t>
      </w:r>
      <w:r w:rsidR="00E55B67" w:rsidRPr="00B270CB">
        <w:t xml:space="preserve">have outcompeted several bivalves, disrupting established ecological communities in the San Francisco Estuary. </w:t>
      </w:r>
      <w:r w:rsidR="00E1670C" w:rsidRPr="00B270CB">
        <w:t xml:space="preserve">It should be noted that San Francisco Estuary is heavily polluted, and this may </w:t>
      </w:r>
      <w:r w:rsidR="00F62CE1" w:rsidRPr="00B270CB">
        <w:t xml:space="preserve">influence the competitive interactions that </w:t>
      </w:r>
      <w:r w:rsidR="00F62CE1" w:rsidRPr="00B270CB">
        <w:rPr>
          <w:i/>
          <w:iCs/>
        </w:rPr>
        <w:t>P.</w:t>
      </w:r>
      <w:r w:rsidR="00FF70DD">
        <w:rPr>
          <w:i/>
          <w:iCs/>
        </w:rPr>
        <w:t> </w:t>
      </w:r>
      <w:r w:rsidR="00F62CE1" w:rsidRPr="00B270CB">
        <w:rPr>
          <w:i/>
          <w:iCs/>
        </w:rPr>
        <w:t xml:space="preserve">amurensis </w:t>
      </w:r>
      <w:r w:rsidR="00F62CE1" w:rsidRPr="00B270CB">
        <w:t>has with ecological communities in the estuary</w:t>
      </w:r>
      <w:r w:rsidR="006E7F76" w:rsidRPr="00B270CB">
        <w:t xml:space="preserve">. </w:t>
      </w:r>
      <w:proofErr w:type="spellStart"/>
      <w:r w:rsidR="006E7F76" w:rsidRPr="00B270CB">
        <w:t>Baumsteiger</w:t>
      </w:r>
      <w:proofErr w:type="spellEnd"/>
      <w:r w:rsidR="006E7F76" w:rsidRPr="00B270CB">
        <w:t xml:space="preserve"> </w:t>
      </w:r>
      <w:r w:rsidR="00FA1E54" w:rsidRPr="00B270CB">
        <w:t xml:space="preserve">et al. </w:t>
      </w:r>
      <w:r w:rsidR="006E7F76" w:rsidRPr="00B270CB">
        <w:t>(2017) found</w:t>
      </w:r>
      <w:r w:rsidR="006E7F76" w:rsidRPr="00846769">
        <w:t xml:space="preserve"> that salinity is a strong driver in the abundance and distribution of </w:t>
      </w:r>
      <w:r w:rsidR="006E7F76" w:rsidRPr="00846769">
        <w:rPr>
          <w:i/>
          <w:iCs/>
        </w:rPr>
        <w:t xml:space="preserve">P. amurensis </w:t>
      </w:r>
      <w:r w:rsidR="006E7F76" w:rsidRPr="00846769">
        <w:t xml:space="preserve">in San Francisco Estuary. </w:t>
      </w:r>
    </w:p>
    <w:p w14:paraId="715DF2DF" w14:textId="77777777" w:rsidR="00E55B67" w:rsidRPr="00846769" w:rsidRDefault="00E55B67" w:rsidP="00E55B67">
      <w:r w:rsidRPr="00846769">
        <w:t xml:space="preserve">Predators of </w:t>
      </w:r>
      <w:r w:rsidRPr="00846769">
        <w:rPr>
          <w:i/>
          <w:iCs/>
        </w:rPr>
        <w:t xml:space="preserve">P. amurensis </w:t>
      </w:r>
      <w:r w:rsidRPr="00846769">
        <w:t xml:space="preserve">will likely include any benthic feeding fish capable of consuming the clam. For example, sturgeons are the main predator of </w:t>
      </w:r>
      <w:r w:rsidRPr="00846769">
        <w:rPr>
          <w:i/>
          <w:iCs/>
        </w:rPr>
        <w:t xml:space="preserve">P. amurensis </w:t>
      </w:r>
      <w:r w:rsidRPr="00846769">
        <w:t xml:space="preserve">in its native range. Other predators include sea birds and crabs. </w:t>
      </w:r>
    </w:p>
    <w:p w14:paraId="3C3B3E96" w14:textId="77777777" w:rsidR="00E55B67" w:rsidRPr="00846769" w:rsidRDefault="00E55B67" w:rsidP="00DC52AA">
      <w:pPr>
        <w:pStyle w:val="Heading6"/>
        <w:spacing w:after="40"/>
        <w:rPr>
          <w:color w:val="262626" w:themeColor="text1" w:themeTint="D9"/>
        </w:rPr>
      </w:pPr>
      <w:r w:rsidRPr="00846769">
        <w:rPr>
          <w:color w:val="262626" w:themeColor="text1" w:themeTint="D9"/>
        </w:rPr>
        <w:t>Reproduction and growth</w:t>
      </w:r>
    </w:p>
    <w:p w14:paraId="47DCD7C9" w14:textId="65199F73" w:rsidR="00E55B67" w:rsidRPr="00846769" w:rsidRDefault="00E55B67" w:rsidP="00E55B67">
      <w:r w:rsidRPr="00846769">
        <w:rPr>
          <w:i/>
          <w:iCs/>
        </w:rPr>
        <w:t xml:space="preserve">Potamocorbula amurensis </w:t>
      </w:r>
      <w:r w:rsidRPr="00846769">
        <w:t xml:space="preserve">has separate sexes. Usually, </w:t>
      </w:r>
      <w:r w:rsidRPr="00846769">
        <w:rPr>
          <w:i/>
          <w:iCs/>
        </w:rPr>
        <w:t xml:space="preserve">P. amurensis </w:t>
      </w:r>
      <w:r w:rsidRPr="00846769">
        <w:t>spawn</w:t>
      </w:r>
      <w:r w:rsidR="0009165A" w:rsidRPr="00846769">
        <w:t>s</w:t>
      </w:r>
      <w:r w:rsidRPr="00846769">
        <w:t xml:space="preserve"> twice a year, typically around summer and autumn, however, field studies indicate that </w:t>
      </w:r>
      <w:r w:rsidRPr="00846769">
        <w:rPr>
          <w:i/>
          <w:iCs/>
        </w:rPr>
        <w:t xml:space="preserve">P. amurensis </w:t>
      </w:r>
      <w:r w:rsidRPr="00846769">
        <w:t xml:space="preserve">continually trickle spawn throughout the </w:t>
      </w:r>
      <w:r w:rsidRPr="00DD01E4">
        <w:t>year (</w:t>
      </w:r>
      <w:proofErr w:type="spellStart"/>
      <w:r w:rsidRPr="00DD01E4">
        <w:t>Parchaso</w:t>
      </w:r>
      <w:proofErr w:type="spellEnd"/>
      <w:r w:rsidRPr="00DD01E4">
        <w:t xml:space="preserve"> &amp; Thompson 2002). Spawning</w:t>
      </w:r>
      <w:r w:rsidRPr="00846769">
        <w:t xml:space="preserve"> can occur in a broad range of salinities and water temperatures. In its introduced range, </w:t>
      </w:r>
      <w:r w:rsidRPr="00846769">
        <w:rPr>
          <w:i/>
          <w:iCs/>
        </w:rPr>
        <w:t xml:space="preserve">P. amurensis </w:t>
      </w:r>
      <w:r w:rsidRPr="00846769">
        <w:t xml:space="preserve">has been observed spawning between 6 and 23°C water temperature and </w:t>
      </w:r>
      <w:r w:rsidR="001463BA">
        <w:t xml:space="preserve">salinity </w:t>
      </w:r>
      <w:r w:rsidRPr="00846769">
        <w:t>between 0</w:t>
      </w:r>
      <w:r w:rsidRPr="00DD01E4">
        <w:t>.1 and 27.6 ppt (</w:t>
      </w:r>
      <w:proofErr w:type="spellStart"/>
      <w:r w:rsidRPr="00DD01E4">
        <w:t>Parchaso</w:t>
      </w:r>
      <w:proofErr w:type="spellEnd"/>
      <w:r w:rsidRPr="00DD01E4">
        <w:t xml:space="preserve"> &amp; Thompson 2002). Females release between 45,000 and</w:t>
      </w:r>
      <w:r w:rsidRPr="00846769">
        <w:t xml:space="preserve"> 220,000 eggs which are non-buoyant and are fertilised near the sediment. Fertilised eggs develop into non-mobile and non-feeding trochophore larvae within 24 hours of fertilisation. Feeding veliger larvae develop 7 to 24 hours later where they continue to develop in the water column until they settle between days 17 and 19. Newly settled clams can become </w:t>
      </w:r>
      <w:r w:rsidR="00297452" w:rsidRPr="00846769">
        <w:t xml:space="preserve">reproductively </w:t>
      </w:r>
      <w:r w:rsidRPr="00846769">
        <w:t xml:space="preserve">mature within two months, which is around 5 mm shell length. </w:t>
      </w:r>
      <w:r w:rsidRPr="00846769">
        <w:rPr>
          <w:i/>
          <w:iCs/>
        </w:rPr>
        <w:t xml:space="preserve">Potamocorbula amurensis </w:t>
      </w:r>
      <w:r w:rsidRPr="00846769">
        <w:t>can live for around 2</w:t>
      </w:r>
      <w:r w:rsidR="006E7F76" w:rsidRPr="00846769">
        <w:t xml:space="preserve"> to 2.5</w:t>
      </w:r>
      <w:r w:rsidRPr="00846769">
        <w:t xml:space="preserve"> years</w:t>
      </w:r>
      <w:r w:rsidR="00F00830" w:rsidRPr="00846769">
        <w:t xml:space="preserve"> (</w:t>
      </w:r>
      <w:proofErr w:type="spellStart"/>
      <w:r w:rsidR="00F00830" w:rsidRPr="00846769">
        <w:t>Baumsteiger</w:t>
      </w:r>
      <w:proofErr w:type="spellEnd"/>
      <w:r w:rsidR="00F00830" w:rsidRPr="00846769">
        <w:t xml:space="preserve"> et al. 2017)</w:t>
      </w:r>
      <w:r w:rsidRPr="00846769">
        <w:t xml:space="preserve">. </w:t>
      </w:r>
    </w:p>
    <w:p w14:paraId="7E4F04F2" w14:textId="2E19425E" w:rsidR="00E55B67" w:rsidRPr="00846769" w:rsidRDefault="00E55B67" w:rsidP="00E55B67">
      <w:r w:rsidRPr="00846769">
        <w:t xml:space="preserve">Gametes of </w:t>
      </w:r>
      <w:r w:rsidRPr="00846769">
        <w:rPr>
          <w:i/>
          <w:iCs/>
        </w:rPr>
        <w:t xml:space="preserve">P. amurensis </w:t>
      </w:r>
      <w:r w:rsidRPr="00846769">
        <w:t>are highly tolerant of changes in salinities, capable of surviving 10 ppt step increase or decrease in salinity. Embryos that are two hours old can tolerate salinities from 10 to 30 ppt and by the time they are 24 hours old they can tolerate the same range of salinities (2 to 30 ppt) as adults</w:t>
      </w:r>
      <w:r w:rsidR="00F00830" w:rsidRPr="00846769">
        <w:t xml:space="preserve"> </w:t>
      </w:r>
      <w:r w:rsidR="00F00830" w:rsidRPr="00DD01E4">
        <w:t>(Nicolini &amp; Penry 2000)</w:t>
      </w:r>
      <w:r w:rsidRPr="00DD01E4">
        <w:t xml:space="preserve">. </w:t>
      </w:r>
    </w:p>
    <w:p w14:paraId="387DAA55" w14:textId="77777777" w:rsidR="00E55B67" w:rsidRPr="00846769" w:rsidRDefault="00E55B67" w:rsidP="00DC52AA">
      <w:pPr>
        <w:pStyle w:val="Heading6"/>
        <w:spacing w:after="40"/>
        <w:rPr>
          <w:color w:val="262626" w:themeColor="text1" w:themeTint="D9"/>
        </w:rPr>
      </w:pPr>
      <w:r w:rsidRPr="00846769">
        <w:rPr>
          <w:color w:val="262626" w:themeColor="text1" w:themeTint="D9"/>
        </w:rPr>
        <w:t>Pathways and vectors</w:t>
      </w:r>
    </w:p>
    <w:p w14:paraId="47FC4071" w14:textId="7415AFAE" w:rsidR="00E55B67" w:rsidRPr="00846769" w:rsidRDefault="00E55B67" w:rsidP="00E55B67">
      <w:r w:rsidRPr="00846769">
        <w:rPr>
          <w:i/>
          <w:iCs/>
        </w:rPr>
        <w:t xml:space="preserve">Potamocorbula amurensis </w:t>
      </w:r>
      <w:r w:rsidRPr="00846769">
        <w:t>was introduced into San Francisco Estuary from its native range by ballast water</w:t>
      </w:r>
      <w:r w:rsidR="006E7F76" w:rsidRPr="00846769">
        <w:t xml:space="preserve"> </w:t>
      </w:r>
      <w:r w:rsidRPr="00B270CB">
        <w:t>(Carlton et al. 1990). All</w:t>
      </w:r>
      <w:r w:rsidRPr="00846769">
        <w:t xml:space="preserve"> life stages</w:t>
      </w:r>
      <w:r w:rsidR="00F62CE1" w:rsidRPr="00846769">
        <w:t xml:space="preserve"> of </w:t>
      </w:r>
      <w:r w:rsidRPr="00846769">
        <w:rPr>
          <w:i/>
          <w:iCs/>
        </w:rPr>
        <w:t xml:space="preserve">P. amurensis </w:t>
      </w:r>
      <w:r w:rsidRPr="00846769">
        <w:t xml:space="preserve">can tolerate a broad range of water temperature and salinity increasing its chance of establishing once discharged into a new </w:t>
      </w:r>
      <w:r w:rsidRPr="00933093">
        <w:t xml:space="preserve">area. </w:t>
      </w:r>
      <w:r w:rsidRPr="00933093">
        <w:rPr>
          <w:i/>
          <w:iCs/>
        </w:rPr>
        <w:t xml:space="preserve">Potamocorbula amurensis </w:t>
      </w:r>
      <w:r w:rsidRPr="00933093">
        <w:t xml:space="preserve">is not an epifaunal species, so is unlikely to spread via biofouling. </w:t>
      </w:r>
      <w:r w:rsidRPr="00B270CB">
        <w:t>However, Davidson et al. (2008) recorded</w:t>
      </w:r>
      <w:r w:rsidRPr="00846769">
        <w:t xml:space="preserve"> </w:t>
      </w:r>
      <w:r w:rsidRPr="00846769">
        <w:rPr>
          <w:i/>
          <w:iCs/>
        </w:rPr>
        <w:t xml:space="preserve">P. amurensis </w:t>
      </w:r>
      <w:r w:rsidRPr="00846769">
        <w:t xml:space="preserve">within sediment accumulated within a biofouling community on a vessel. Once introduced to an area, </w:t>
      </w:r>
      <w:r w:rsidRPr="00846769">
        <w:rPr>
          <w:i/>
          <w:iCs/>
        </w:rPr>
        <w:t xml:space="preserve">P. amurensis </w:t>
      </w:r>
      <w:r w:rsidRPr="00846769">
        <w:t xml:space="preserve">can disperse throughout an estuarine system. Newly settled and juvenile clams can disperse attached to other particles or </w:t>
      </w:r>
      <w:r w:rsidRPr="00846769">
        <w:lastRenderedPageBreak/>
        <w:t xml:space="preserve">surfaces that can drift. This is unlikely to result in large geographic range extensions but could be an important secondary pathway. </w:t>
      </w:r>
    </w:p>
    <w:p w14:paraId="3341066B" w14:textId="77777777" w:rsidR="00E55B67" w:rsidRPr="00846769" w:rsidRDefault="00E55B67" w:rsidP="00DC52AA">
      <w:pPr>
        <w:pStyle w:val="Heading6"/>
        <w:spacing w:after="40"/>
        <w:rPr>
          <w:color w:val="262626" w:themeColor="text1" w:themeTint="D9"/>
        </w:rPr>
      </w:pPr>
      <w:r w:rsidRPr="00846769">
        <w:rPr>
          <w:color w:val="262626" w:themeColor="text1" w:themeTint="D9"/>
        </w:rPr>
        <w:t>Potential impacts</w:t>
      </w:r>
    </w:p>
    <w:p w14:paraId="60A008C4" w14:textId="7AF89DAB" w:rsidR="00E55B67" w:rsidRPr="00846769" w:rsidRDefault="00E55B67" w:rsidP="00E55B67">
      <w:r w:rsidRPr="00846769">
        <w:t xml:space="preserve">High densities of </w:t>
      </w:r>
      <w:r w:rsidRPr="00846769">
        <w:rPr>
          <w:i/>
          <w:iCs/>
        </w:rPr>
        <w:t>P</w:t>
      </w:r>
      <w:r w:rsidR="005F6EAB" w:rsidRPr="00846769">
        <w:rPr>
          <w:i/>
          <w:iCs/>
        </w:rPr>
        <w:t>.</w:t>
      </w:r>
      <w:r w:rsidRPr="00846769">
        <w:rPr>
          <w:i/>
          <w:iCs/>
        </w:rPr>
        <w:t xml:space="preserve"> amurensis </w:t>
      </w:r>
      <w:r w:rsidRPr="00846769">
        <w:t xml:space="preserve">can outcompete native species for space and food. A fivefold decrease in phytoplankton production in San Francisco Estuary has been attributed to high density </w:t>
      </w:r>
      <w:r w:rsidRPr="00846769">
        <w:rPr>
          <w:i/>
          <w:iCs/>
        </w:rPr>
        <w:t>P.</w:t>
      </w:r>
      <w:r w:rsidR="00FF70DD">
        <w:rPr>
          <w:i/>
          <w:iCs/>
        </w:rPr>
        <w:t> </w:t>
      </w:r>
      <w:r w:rsidRPr="00846769">
        <w:rPr>
          <w:i/>
          <w:iCs/>
        </w:rPr>
        <w:t xml:space="preserve">amurensis </w:t>
      </w:r>
      <w:r w:rsidRPr="005F7F32">
        <w:t>popul</w:t>
      </w:r>
      <w:r w:rsidRPr="00B270CB">
        <w:t xml:space="preserve">ations. Two copepods, a rotifer, and a mysid shrimp concurrently declined with the phytoplankton, presumably due to food limitation or direct consumption by </w:t>
      </w:r>
      <w:r w:rsidRPr="00B270CB">
        <w:rPr>
          <w:i/>
          <w:iCs/>
        </w:rPr>
        <w:t>P.</w:t>
      </w:r>
      <w:r w:rsidR="00FF70DD">
        <w:rPr>
          <w:i/>
          <w:iCs/>
        </w:rPr>
        <w:t> </w:t>
      </w:r>
      <w:r w:rsidRPr="00B270CB">
        <w:rPr>
          <w:i/>
          <w:iCs/>
        </w:rPr>
        <w:t>amurensis</w:t>
      </w:r>
      <w:r w:rsidRPr="00B270CB">
        <w:t xml:space="preserve"> (Kimmerer et al. 1994).</w:t>
      </w:r>
    </w:p>
    <w:p w14:paraId="767D357F" w14:textId="2EC5A73A" w:rsidR="00E55B67" w:rsidRPr="00846769" w:rsidRDefault="00E55B67" w:rsidP="00E55B67">
      <w:r w:rsidRPr="00B270CB">
        <w:t>Sousa et al. (2009) ha</w:t>
      </w:r>
      <w:r w:rsidR="0009165A" w:rsidRPr="00B270CB">
        <w:t>ve</w:t>
      </w:r>
      <w:r w:rsidRPr="00DD01E4">
        <w:t xml:space="preserve"> also</w:t>
      </w:r>
      <w:r w:rsidRPr="00846769">
        <w:t xml:space="preserve"> p</w:t>
      </w:r>
      <w:r w:rsidR="00803DCE">
        <w:t>roposed</w:t>
      </w:r>
      <w:r w:rsidRPr="00846769">
        <w:t xml:space="preserve"> that </w:t>
      </w:r>
      <w:r w:rsidRPr="00846769">
        <w:rPr>
          <w:i/>
          <w:iCs/>
        </w:rPr>
        <w:t xml:space="preserve">P. amurensis </w:t>
      </w:r>
      <w:r w:rsidRPr="00846769">
        <w:t xml:space="preserve">can indirectly alter the ecosystem once introduced by changing sediment chemistry, light penetration in the water column, sediment type, and hydrodynamics. High density populations can also impact fisheries, by interfering with gear as bycatch or by limiting target fisheries species by taking up their space. </w:t>
      </w:r>
    </w:p>
    <w:p w14:paraId="3C7A315D" w14:textId="77777777" w:rsidR="00E55B67" w:rsidRPr="00846769" w:rsidRDefault="00E55B67" w:rsidP="00DC52AA">
      <w:pPr>
        <w:pStyle w:val="Heading5"/>
        <w:spacing w:after="40"/>
        <w:rPr>
          <w:color w:val="262626" w:themeColor="text1" w:themeTint="D9"/>
          <w:sz w:val="24"/>
          <w:szCs w:val="24"/>
        </w:rPr>
      </w:pPr>
      <w:r w:rsidRPr="00846769">
        <w:rPr>
          <w:color w:val="262626" w:themeColor="text1" w:themeTint="D9"/>
          <w:sz w:val="24"/>
          <w:szCs w:val="24"/>
        </w:rPr>
        <w:t>Global and Australian distribution</w:t>
      </w:r>
    </w:p>
    <w:p w14:paraId="36C489BD" w14:textId="614510F9" w:rsidR="00E55B67" w:rsidRPr="00C131A0" w:rsidRDefault="00E55B67" w:rsidP="00E55B67">
      <w:r w:rsidRPr="00846769">
        <w:rPr>
          <w:i/>
          <w:iCs/>
        </w:rPr>
        <w:t xml:space="preserve">Potamocorbula amurensis </w:t>
      </w:r>
      <w:r w:rsidRPr="00846769">
        <w:t xml:space="preserve">is native to the estuarine habitats of Russia to southern China. It has been introduced to San Francisco Bay, USA, in 1986 where it has become established and has caused negative impacts on the benthic community (Carlton et </w:t>
      </w:r>
      <w:r w:rsidRPr="00531FF6">
        <w:t xml:space="preserve">al. 1990). In 2020, </w:t>
      </w:r>
      <w:r w:rsidRPr="00531FF6">
        <w:rPr>
          <w:i/>
          <w:iCs/>
        </w:rPr>
        <w:t xml:space="preserve">P. amurensis </w:t>
      </w:r>
      <w:r w:rsidRPr="00531FF6">
        <w:t>was reported from Europe for the first time, when it was detected in the Sche</w:t>
      </w:r>
      <w:r w:rsidR="00E6260A" w:rsidRPr="00531FF6">
        <w:t>l</w:t>
      </w:r>
      <w:r w:rsidRPr="00531FF6">
        <w:t>dt Estuary, Belgium (</w:t>
      </w:r>
      <w:r w:rsidRPr="00A04E26">
        <w:t xml:space="preserve">Dumoulin &amp; </w:t>
      </w:r>
      <w:proofErr w:type="spellStart"/>
      <w:r w:rsidRPr="00A04E26">
        <w:t>Langeraert</w:t>
      </w:r>
      <w:proofErr w:type="spellEnd"/>
      <w:r w:rsidR="00531FF6" w:rsidRPr="00531FF6">
        <w:t xml:space="preserve"> 2020</w:t>
      </w:r>
      <w:r w:rsidRPr="00531FF6">
        <w:t>)</w:t>
      </w:r>
      <w:r w:rsidR="00803DCE">
        <w:t>, but its establishment in Europe is currently unknown</w:t>
      </w:r>
      <w:r w:rsidRPr="00531FF6">
        <w:t xml:space="preserve"> (</w:t>
      </w:r>
      <w:r w:rsidR="006C5232" w:rsidRPr="00A04E26">
        <w:fldChar w:fldCharType="begin"/>
      </w:r>
      <w:r w:rsidR="006C5232" w:rsidRPr="00531FF6">
        <w:instrText xml:space="preserve"> REF _Ref171943498 \h </w:instrText>
      </w:r>
      <w:r w:rsidR="00531FF6">
        <w:instrText xml:space="preserve"> \* MERGEFORMAT </w:instrText>
      </w:r>
      <w:r w:rsidR="006C5232" w:rsidRPr="00A04E26">
        <w:fldChar w:fldCharType="separate"/>
      </w:r>
      <w:r w:rsidR="006C5232" w:rsidRPr="00531FF6">
        <w:t>Map 1</w:t>
      </w:r>
      <w:r w:rsidR="006C5232" w:rsidRPr="00A04E26">
        <w:fldChar w:fldCharType="end"/>
      </w:r>
      <w:r w:rsidRPr="00531FF6">
        <w:t>)</w:t>
      </w:r>
      <w:r w:rsidR="00803DCE">
        <w:t>.</w:t>
      </w:r>
      <w:r w:rsidR="00803DCE" w:rsidRPr="00803DCE">
        <w:rPr>
          <w:rStyle w:val="CommentReference"/>
        </w:rPr>
        <w:t xml:space="preserve"> </w:t>
      </w:r>
      <w:r w:rsidRPr="00531FF6">
        <w:rPr>
          <w:i/>
          <w:iCs/>
        </w:rPr>
        <w:t xml:space="preserve">Potamocorbula amurensis </w:t>
      </w:r>
      <w:r w:rsidRPr="00531FF6">
        <w:t>has never</w:t>
      </w:r>
      <w:r w:rsidRPr="00846769">
        <w:t xml:space="preserve"> been reported in Australia.</w:t>
      </w:r>
      <w:r w:rsidR="00C131A0">
        <w:t xml:space="preserve"> Species range mapping from ABARES shows that the southern half of Australia, from </w:t>
      </w:r>
      <w:r w:rsidR="0083658B">
        <w:t xml:space="preserve">Exmouth and </w:t>
      </w:r>
      <w:r w:rsidR="00C131A0">
        <w:t xml:space="preserve">Shark Bay in WA to Mackay in QLD, is potentially suitable for </w:t>
      </w:r>
      <w:r w:rsidR="00C131A0">
        <w:rPr>
          <w:i/>
          <w:iCs/>
        </w:rPr>
        <w:t xml:space="preserve">P. amurensis </w:t>
      </w:r>
      <w:r w:rsidR="00C131A0">
        <w:t>establishment (</w:t>
      </w:r>
      <w:r w:rsidR="00C131A0">
        <w:fldChar w:fldCharType="begin"/>
      </w:r>
      <w:r w:rsidR="00C131A0">
        <w:instrText xml:space="preserve"> REF _Ref189491511 \h </w:instrText>
      </w:r>
      <w:r w:rsidR="00C131A0">
        <w:fldChar w:fldCharType="separate"/>
      </w:r>
      <w:r w:rsidR="00C131A0">
        <w:t xml:space="preserve">Map </w:t>
      </w:r>
      <w:r w:rsidR="00C131A0">
        <w:rPr>
          <w:noProof/>
        </w:rPr>
        <w:t>2</w:t>
      </w:r>
      <w:r w:rsidR="00C131A0">
        <w:fldChar w:fldCharType="end"/>
      </w:r>
      <w:r w:rsidR="00C131A0">
        <w:t>).</w:t>
      </w:r>
    </w:p>
    <w:p w14:paraId="5FD5284D" w14:textId="7464CB25" w:rsidR="006C5232" w:rsidRPr="00846769" w:rsidRDefault="006C5232" w:rsidP="006C5232">
      <w:pPr>
        <w:pStyle w:val="Caption"/>
      </w:pPr>
      <w:bookmarkStart w:id="588" w:name="_Ref171943498"/>
      <w:bookmarkStart w:id="589" w:name="_Toc191999555"/>
      <w:r w:rsidRPr="00846769">
        <w:t xml:space="preserve">Map </w:t>
      </w:r>
      <w:r w:rsidR="003F066A">
        <w:fldChar w:fldCharType="begin"/>
      </w:r>
      <w:r w:rsidR="003F066A">
        <w:instrText xml:space="preserve"> SEQ Map \* ARABIC </w:instrText>
      </w:r>
      <w:r w:rsidR="003F066A">
        <w:fldChar w:fldCharType="separate"/>
      </w:r>
      <w:r w:rsidR="00F95AEC">
        <w:rPr>
          <w:noProof/>
        </w:rPr>
        <w:t>1</w:t>
      </w:r>
      <w:r w:rsidR="003F066A">
        <w:fldChar w:fldCharType="end"/>
      </w:r>
      <w:bookmarkEnd w:id="588"/>
      <w:r w:rsidRPr="00846769">
        <w:t xml:space="preserve"> </w:t>
      </w:r>
      <w:r w:rsidRPr="00846769">
        <w:rPr>
          <w:color w:val="262626" w:themeColor="text1" w:themeTint="D9"/>
        </w:rPr>
        <w:t xml:space="preserve">Known global distribution of </w:t>
      </w:r>
      <w:r w:rsidRPr="00846769">
        <w:rPr>
          <w:i/>
          <w:iCs/>
          <w:color w:val="262626" w:themeColor="text1" w:themeTint="D9"/>
        </w:rPr>
        <w:t>Potamocorbula amurensis</w:t>
      </w:r>
      <w:bookmarkEnd w:id="589"/>
    </w:p>
    <w:p w14:paraId="6373CB4E" w14:textId="77777777" w:rsidR="00E55B67" w:rsidRPr="00846769" w:rsidRDefault="00E55B67" w:rsidP="00E55B67">
      <w:r w:rsidRPr="00846769">
        <w:rPr>
          <w:noProof/>
        </w:rPr>
        <w:drawing>
          <wp:inline distT="0" distB="0" distL="0" distR="0" wp14:anchorId="491F960F" wp14:editId="23AE62D1">
            <wp:extent cx="5731510" cy="2882200"/>
            <wp:effectExtent l="0" t="0" r="2540" b="0"/>
            <wp:docPr id="25" name="Picture 25" descr="Greyscale world map for the known global distribution of Potamocorbula amurensis. Distribution is shown in blue circles, yellow diamonds, and red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eyscale world map for the known global distribution of Potamocorbula amurensis. Distribution is shown in blue circles, yellow diamonds, and red triangles. "/>
                    <pic:cNvPicPr/>
                  </pic:nvPicPr>
                  <pic:blipFill>
                    <a:blip r:embed="rId201" cstate="email">
                      <a:extLst>
                        <a:ext uri="{28A0092B-C50C-407E-A947-70E740481C1C}">
                          <a14:useLocalDpi xmlns:a14="http://schemas.microsoft.com/office/drawing/2010/main" val="0"/>
                        </a:ext>
                      </a:extLst>
                    </a:blip>
                    <a:srcRect/>
                    <a:stretch>
                      <a:fillRect/>
                    </a:stretch>
                  </pic:blipFill>
                  <pic:spPr bwMode="auto">
                    <a:xfrm>
                      <a:off x="0" y="0"/>
                      <a:ext cx="5731510" cy="2882200"/>
                    </a:xfrm>
                    <a:prstGeom prst="rect">
                      <a:avLst/>
                    </a:prstGeom>
                    <a:ln>
                      <a:noFill/>
                    </a:ln>
                    <a:extLst>
                      <a:ext uri="{53640926-AAD7-44D8-BBD7-CCE9431645EC}">
                        <a14:shadowObscured xmlns:a14="http://schemas.microsoft.com/office/drawing/2010/main"/>
                      </a:ext>
                    </a:extLst>
                  </pic:spPr>
                </pic:pic>
              </a:graphicData>
            </a:graphic>
          </wp:inline>
        </w:drawing>
      </w:r>
    </w:p>
    <w:p w14:paraId="6C4B49D9" w14:textId="00AECA54" w:rsidR="003F066A" w:rsidRDefault="00E55B67" w:rsidP="00E55B67">
      <w:pPr>
        <w:pStyle w:val="FigureTableNoteSource"/>
      </w:pPr>
      <w:r w:rsidRPr="00846769">
        <w:rPr>
          <w:rStyle w:val="Emphasis"/>
          <w:b/>
          <w:bCs/>
          <w:i w:val="0"/>
          <w:iCs w:val="0"/>
        </w:rPr>
        <w:t>Data source</w:t>
      </w:r>
      <w:r w:rsidRPr="00846769">
        <w:rPr>
          <w:rStyle w:val="Emphasis"/>
          <w:i w:val="0"/>
          <w:iCs w:val="0"/>
        </w:rPr>
        <w:t>:</w:t>
      </w:r>
      <w:r w:rsidRPr="00846769">
        <w:rPr>
          <w:rStyle w:val="Emphasis"/>
        </w:rPr>
        <w:t xml:space="preserve"> </w:t>
      </w:r>
      <w:r w:rsidRPr="00846769">
        <w:t>GBIF.org (</w:t>
      </w:r>
      <w:r w:rsidR="0092315C" w:rsidRPr="00846769">
        <w:t>1</w:t>
      </w:r>
      <w:r w:rsidR="00F62CE1" w:rsidRPr="00846769">
        <w:t>3</w:t>
      </w:r>
      <w:r w:rsidRPr="00846769">
        <w:t xml:space="preserve"> May 202</w:t>
      </w:r>
      <w:r w:rsidR="0092315C" w:rsidRPr="00846769">
        <w:t>4</w:t>
      </w:r>
      <w:r w:rsidRPr="00846769">
        <w:t>)</w:t>
      </w:r>
      <w:r w:rsidR="00F62CE1" w:rsidRPr="00846769">
        <w:t xml:space="preserve"> </w:t>
      </w:r>
      <w:r w:rsidRPr="00846769">
        <w:t>GBIF Occurrence Download</w:t>
      </w:r>
      <w:r w:rsidR="00DC552B" w:rsidRPr="00846769">
        <w:t>:</w:t>
      </w:r>
      <w:r w:rsidRPr="00846769">
        <w:t> </w:t>
      </w:r>
      <w:hyperlink r:id="rId202" w:history="1">
        <w:r w:rsidR="00A70E48" w:rsidRPr="00E642E2">
          <w:rPr>
            <w:rStyle w:val="Hyperlink"/>
            <w:sz w:val="18"/>
          </w:rPr>
          <w:t>https://doi.org/10.15468/dl.8uvfps</w:t>
        </w:r>
      </w:hyperlink>
    </w:p>
    <w:p w14:paraId="4C94A985" w14:textId="77777777" w:rsidR="003F066A" w:rsidRDefault="003F066A">
      <w:pPr>
        <w:spacing w:after="160" w:line="259" w:lineRule="auto"/>
        <w:rPr>
          <w:rFonts w:ascii="Calibri" w:hAnsi="Calibri"/>
          <w:sz w:val="18"/>
        </w:rPr>
      </w:pPr>
      <w:r>
        <w:br w:type="page"/>
      </w:r>
    </w:p>
    <w:p w14:paraId="3E4B065C" w14:textId="66E8B947" w:rsidR="003F066A" w:rsidRPr="006A25E1" w:rsidRDefault="003F066A" w:rsidP="00A04E26">
      <w:pPr>
        <w:pStyle w:val="Caption"/>
      </w:pPr>
      <w:bookmarkStart w:id="590" w:name="_Ref189491511"/>
      <w:bookmarkStart w:id="591" w:name="_Toc191999556"/>
      <w:r>
        <w:lastRenderedPageBreak/>
        <w:t xml:space="preserve">Map </w:t>
      </w:r>
      <w:r>
        <w:fldChar w:fldCharType="begin"/>
      </w:r>
      <w:r>
        <w:instrText xml:space="preserve"> SEQ Map \* ARABIC </w:instrText>
      </w:r>
      <w:r>
        <w:fldChar w:fldCharType="separate"/>
      </w:r>
      <w:r>
        <w:rPr>
          <w:noProof/>
        </w:rPr>
        <w:t>2</w:t>
      </w:r>
      <w:r>
        <w:fldChar w:fldCharType="end"/>
      </w:r>
      <w:bookmarkEnd w:id="590"/>
      <w:r w:rsidR="006A25E1">
        <w:t xml:space="preserve"> </w:t>
      </w:r>
      <w:bookmarkStart w:id="592" w:name="_Hlk189657696"/>
      <w:r w:rsidR="006A25E1">
        <w:t xml:space="preserve">Maximum potential range of </w:t>
      </w:r>
      <w:r w:rsidR="006A25E1">
        <w:rPr>
          <w:i/>
          <w:iCs/>
        </w:rPr>
        <w:t xml:space="preserve">Potamocorbula amurensis </w:t>
      </w:r>
      <w:r w:rsidR="006A25E1">
        <w:t>in Australian waters, indicating areas of potential suitability in red, and potential unsuitability in green</w:t>
      </w:r>
      <w:bookmarkEnd w:id="592"/>
      <w:bookmarkEnd w:id="591"/>
    </w:p>
    <w:p w14:paraId="7AE8FA33" w14:textId="100C2DF0" w:rsidR="00A70E48" w:rsidRDefault="003F066A" w:rsidP="00A70E48">
      <w:r>
        <w:rPr>
          <w:noProof/>
        </w:rPr>
        <w:drawing>
          <wp:inline distT="0" distB="0" distL="0" distR="0" wp14:anchorId="033D712B" wp14:editId="1C73DB3D">
            <wp:extent cx="5553075" cy="3876675"/>
            <wp:effectExtent l="0" t="0" r="9525" b="9525"/>
            <wp:docPr id="565429962" name="Picture 1" descr="Red and green map of Australia showing the potential range for Potamocorbula amur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29962" name="Picture 1" descr="Red and green map of Australia showing the potential range for Potamocorbula amurensis."/>
                    <pic:cNvPicPr/>
                  </pic:nvPicPr>
                  <pic:blipFill rotWithShape="1">
                    <a:blip r:embed="rId203" cstate="email">
                      <a:extLst>
                        <a:ext uri="{28A0092B-C50C-407E-A947-70E740481C1C}">
                          <a14:useLocalDpi xmlns:a14="http://schemas.microsoft.com/office/drawing/2010/main" val="0"/>
                        </a:ext>
                      </a:extLst>
                    </a:blip>
                    <a:srcRect/>
                    <a:stretch/>
                  </pic:blipFill>
                  <pic:spPr bwMode="auto">
                    <a:xfrm>
                      <a:off x="0" y="0"/>
                      <a:ext cx="5553075" cy="3876675"/>
                    </a:xfrm>
                    <a:prstGeom prst="rect">
                      <a:avLst/>
                    </a:prstGeom>
                    <a:ln>
                      <a:noFill/>
                    </a:ln>
                    <a:extLst>
                      <a:ext uri="{53640926-AAD7-44D8-BBD7-CCE9431645EC}">
                        <a14:shadowObscured xmlns:a14="http://schemas.microsoft.com/office/drawing/2010/main"/>
                      </a:ext>
                    </a:extLst>
                  </pic:spPr>
                </pic:pic>
              </a:graphicData>
            </a:graphic>
          </wp:inline>
        </w:drawing>
      </w:r>
    </w:p>
    <w:p w14:paraId="25299337" w14:textId="25A76A86" w:rsidR="003F066A" w:rsidRPr="00A70E48" w:rsidRDefault="003F066A" w:rsidP="003F066A">
      <w:pPr>
        <w:pStyle w:val="FigureTableNoteSource"/>
      </w:pPr>
      <w:bookmarkStart w:id="593" w:name="_Hlk189657832"/>
      <w:r w:rsidRPr="00846769">
        <w:rPr>
          <w:rStyle w:val="Emphasis"/>
          <w:b/>
          <w:bCs/>
          <w:i w:val="0"/>
          <w:iCs w:val="0"/>
        </w:rPr>
        <w:t>Data source</w:t>
      </w:r>
      <w:r w:rsidRPr="00846769">
        <w:rPr>
          <w:rStyle w:val="Emphasis"/>
          <w:i w:val="0"/>
          <w:iCs w:val="0"/>
        </w:rPr>
        <w:t>:</w:t>
      </w:r>
      <w:r w:rsidRPr="00846769">
        <w:rPr>
          <w:rStyle w:val="Emphasis"/>
        </w:rPr>
        <w:t xml:space="preserve"> </w:t>
      </w:r>
      <w:r w:rsidR="006A25E1">
        <w:rPr>
          <w:rStyle w:val="Emphasis"/>
          <w:i w:val="0"/>
          <w:iCs w:val="0"/>
        </w:rPr>
        <w:t>Australian Bureau of Agricultural and Resource Economics and Sciences (</w:t>
      </w:r>
      <w:r w:rsidR="006A25E1">
        <w:t>ABARES) 2024</w:t>
      </w:r>
      <w:r w:rsidRPr="00846769">
        <w:t xml:space="preserve"> </w:t>
      </w:r>
    </w:p>
    <w:bookmarkEnd w:id="593"/>
    <w:p w14:paraId="1F5CF3DC" w14:textId="77777777" w:rsidR="00E55B67" w:rsidRPr="00846769" w:rsidRDefault="00E55B67" w:rsidP="00DC52AA">
      <w:pPr>
        <w:pStyle w:val="Heading5"/>
        <w:spacing w:after="40"/>
        <w:ind w:left="851" w:hanging="851"/>
        <w:rPr>
          <w:color w:val="262626" w:themeColor="text1" w:themeTint="D9"/>
        </w:rPr>
      </w:pPr>
      <w:r w:rsidRPr="00846769">
        <w:rPr>
          <w:color w:val="262626" w:themeColor="text1" w:themeTint="D9"/>
        </w:rPr>
        <w:t>Invasion history</w:t>
      </w:r>
    </w:p>
    <w:p w14:paraId="4C03F34C" w14:textId="31A90696" w:rsidR="00E55B67" w:rsidRPr="00846769" w:rsidRDefault="00E55B67" w:rsidP="00E55B67">
      <w:r w:rsidRPr="00846769">
        <w:rPr>
          <w:i/>
          <w:iCs/>
        </w:rPr>
        <w:t xml:space="preserve">Potamocorbula amurensis </w:t>
      </w:r>
      <w:r w:rsidRPr="00846769">
        <w:t>was first collected from the inner brackish areas of San Francisco Bay in 1986 (Carlton et al. 1990). By late 1987, the clam had spread and is now an established part of the benthic community. The planktonic larvae can spend between 17 and 19 days in the water column. The pathways of spread since its introduction into San Francisco is likely by natural dispersal. Newly settled larvae and juveniles secrete byss</w:t>
      </w:r>
      <w:r w:rsidR="0009165A" w:rsidRPr="00846769">
        <w:t>al</w:t>
      </w:r>
      <w:r w:rsidRPr="00846769">
        <w:t xml:space="preserve"> threads which can attach to solid particles or surfaces or to other clams. Juveniles can also be transported in accumulated sediment within fouling </w:t>
      </w:r>
      <w:r w:rsidRPr="00933093">
        <w:t xml:space="preserve">communities. </w:t>
      </w:r>
      <w:r w:rsidR="005F6EAB" w:rsidRPr="00933093">
        <w:t xml:space="preserve">The first record of </w:t>
      </w:r>
      <w:r w:rsidR="005F6EAB" w:rsidRPr="00933093">
        <w:rPr>
          <w:i/>
          <w:iCs/>
        </w:rPr>
        <w:t xml:space="preserve">P. amurensis </w:t>
      </w:r>
      <w:r w:rsidR="005F6EAB" w:rsidRPr="00933093">
        <w:t xml:space="preserve">in Europe </w:t>
      </w:r>
      <w:r w:rsidRPr="00933093">
        <w:t xml:space="preserve">was from </w:t>
      </w:r>
      <w:r w:rsidR="005F6EAB" w:rsidRPr="00933093">
        <w:t xml:space="preserve">the </w:t>
      </w:r>
      <w:r w:rsidRPr="00933093">
        <w:t>Sche</w:t>
      </w:r>
      <w:r w:rsidR="00E6260A" w:rsidRPr="00933093">
        <w:t>l</w:t>
      </w:r>
      <w:r w:rsidRPr="00933093">
        <w:t xml:space="preserve">dt </w:t>
      </w:r>
      <w:r w:rsidR="005F6EAB" w:rsidRPr="00933093">
        <w:t>E</w:t>
      </w:r>
      <w:r w:rsidRPr="00933093">
        <w:t xml:space="preserve">stuary in Belgium in 2020 (Dumoulin </w:t>
      </w:r>
      <w:r w:rsidR="00E36FCB" w:rsidRPr="00933093">
        <w:t>&amp;</w:t>
      </w:r>
      <w:r w:rsidRPr="00933093">
        <w:t xml:space="preserve"> </w:t>
      </w:r>
      <w:proofErr w:type="spellStart"/>
      <w:r w:rsidR="00933093" w:rsidRPr="00933093">
        <w:t>Langeraert</w:t>
      </w:r>
      <w:proofErr w:type="spellEnd"/>
      <w:r w:rsidRPr="00933093">
        <w:t xml:space="preserve"> 2020).</w:t>
      </w:r>
      <w:r w:rsidRPr="00846769">
        <w:t xml:space="preserve"> </w:t>
      </w:r>
    </w:p>
    <w:p w14:paraId="4E99832D" w14:textId="77777777" w:rsidR="00E55B67" w:rsidRPr="00846769" w:rsidRDefault="00E55B67" w:rsidP="00DC52AA">
      <w:pPr>
        <w:pStyle w:val="Heading5"/>
        <w:spacing w:after="40"/>
        <w:rPr>
          <w:color w:val="262626" w:themeColor="text1" w:themeTint="D9"/>
        </w:rPr>
      </w:pPr>
      <w:r w:rsidRPr="00846769">
        <w:rPr>
          <w:color w:val="262626" w:themeColor="text1" w:themeTint="D9"/>
        </w:rPr>
        <w:t>Diseases</w:t>
      </w:r>
    </w:p>
    <w:p w14:paraId="724A23A5" w14:textId="76873342" w:rsidR="00E55B67" w:rsidRPr="00846769" w:rsidRDefault="00E55B67" w:rsidP="00E55B67">
      <w:r w:rsidRPr="00846769">
        <w:t xml:space="preserve">Specific disease data on </w:t>
      </w:r>
      <w:r w:rsidRPr="00846769">
        <w:rPr>
          <w:i/>
          <w:iCs/>
        </w:rPr>
        <w:t>P</w:t>
      </w:r>
      <w:r w:rsidR="005F6EAB" w:rsidRPr="00846769">
        <w:rPr>
          <w:i/>
          <w:iCs/>
        </w:rPr>
        <w:t>.</w:t>
      </w:r>
      <w:r w:rsidRPr="00846769">
        <w:rPr>
          <w:i/>
          <w:iCs/>
        </w:rPr>
        <w:t xml:space="preserve"> amurensis </w:t>
      </w:r>
      <w:r w:rsidRPr="00846769">
        <w:t xml:space="preserve">is scarce. The propensity of </w:t>
      </w:r>
      <w:r w:rsidRPr="00846769">
        <w:rPr>
          <w:i/>
          <w:iCs/>
        </w:rPr>
        <w:t xml:space="preserve">P. amurensis </w:t>
      </w:r>
      <w:r w:rsidRPr="00846769">
        <w:t>to occupy degraded habitats and its efficient filter feeding behaviour means it is effective at concentrating toxins such as selenium and pesticides from the water column which have an inherent human</w:t>
      </w:r>
      <w:r w:rsidR="0009165A" w:rsidRPr="00846769">
        <w:t xml:space="preserve"> </w:t>
      </w:r>
      <w:r w:rsidRPr="00846769">
        <w:t>health risk if they were to be consumed (</w:t>
      </w:r>
      <w:r w:rsidR="00FA1E54" w:rsidRPr="00846769">
        <w:t xml:space="preserve">Thompson </w:t>
      </w:r>
      <w:r w:rsidR="00846769" w:rsidRPr="00846769">
        <w:t xml:space="preserve">&amp; </w:t>
      </w:r>
      <w:proofErr w:type="spellStart"/>
      <w:r w:rsidR="00846769" w:rsidRPr="00846769">
        <w:t>Parchaso</w:t>
      </w:r>
      <w:proofErr w:type="spellEnd"/>
      <w:r w:rsidR="00846769" w:rsidRPr="00846769">
        <w:t xml:space="preserve"> </w:t>
      </w:r>
      <w:r w:rsidR="00FA1E54" w:rsidRPr="00846769">
        <w:t>2012</w:t>
      </w:r>
      <w:r w:rsidRPr="00846769">
        <w:t xml:space="preserve">). </w:t>
      </w:r>
    </w:p>
    <w:p w14:paraId="7D9C467A" w14:textId="734F04C7" w:rsidR="00F53200" w:rsidRPr="00846769" w:rsidRDefault="00E55B67">
      <w:pPr>
        <w:spacing w:after="160" w:line="259" w:lineRule="auto"/>
        <w:rPr>
          <w:rStyle w:val="Emphasis"/>
          <w:rFonts w:eastAsia="Times New Roman" w:cs="Times New Roman"/>
          <w:b/>
          <w:bCs/>
          <w:color w:val="444444"/>
          <w:sz w:val="28"/>
          <w:szCs w:val="24"/>
          <w:highlight w:val="yellow"/>
        </w:rPr>
      </w:pPr>
      <w:r w:rsidRPr="00846769">
        <w:t xml:space="preserve">Transmissible disseminated neoplasia has been reported from other clam species </w:t>
      </w:r>
      <w:r w:rsidRPr="00846769">
        <w:rPr>
          <w:i/>
          <w:iCs/>
        </w:rPr>
        <w:t xml:space="preserve">Mya arenaria </w:t>
      </w:r>
      <w:r w:rsidRPr="00846769">
        <w:t xml:space="preserve">and </w:t>
      </w:r>
      <w:proofErr w:type="spellStart"/>
      <w:r w:rsidRPr="00846769">
        <w:rPr>
          <w:i/>
          <w:iCs/>
        </w:rPr>
        <w:t>Venerupis</w:t>
      </w:r>
      <w:proofErr w:type="spellEnd"/>
      <w:r w:rsidRPr="00846769">
        <w:rPr>
          <w:i/>
          <w:iCs/>
        </w:rPr>
        <w:t xml:space="preserve"> corrugata </w:t>
      </w:r>
      <w:r w:rsidRPr="00846769">
        <w:t xml:space="preserve">suggesting that </w:t>
      </w:r>
      <w:r w:rsidRPr="00846769">
        <w:rPr>
          <w:i/>
          <w:iCs/>
        </w:rPr>
        <w:t xml:space="preserve">P. amurensis </w:t>
      </w:r>
      <w:r w:rsidRPr="00846769">
        <w:t xml:space="preserve">could be </w:t>
      </w:r>
      <w:r w:rsidRPr="00B270CB">
        <w:t xml:space="preserve">susceptible </w:t>
      </w:r>
      <w:r w:rsidRPr="00634A79">
        <w:t>(Metzger et al. 2016).</w:t>
      </w:r>
      <w:r w:rsidRPr="00846769">
        <w:t xml:space="preserve"> </w:t>
      </w:r>
    </w:p>
    <w:p w14:paraId="112CE3FE" w14:textId="319D60EE" w:rsidR="004E5649" w:rsidRPr="00846769" w:rsidRDefault="004E5649" w:rsidP="004E5649">
      <w:pPr>
        <w:pStyle w:val="Heading4"/>
        <w:spacing w:after="120"/>
        <w:rPr>
          <w:rStyle w:val="Emphasis"/>
          <w:color w:val="262626" w:themeColor="text1" w:themeTint="D9"/>
        </w:rPr>
      </w:pPr>
      <w:r w:rsidRPr="00846769">
        <w:rPr>
          <w:rStyle w:val="Emphasis"/>
          <w:color w:val="262626" w:themeColor="text1" w:themeTint="D9"/>
        </w:rPr>
        <w:lastRenderedPageBreak/>
        <w:t>Varicorbula gibba</w:t>
      </w:r>
    </w:p>
    <w:p w14:paraId="1EAEEFB8" w14:textId="3BC65A05" w:rsidR="004E0AAC" w:rsidRPr="00246AE3" w:rsidRDefault="00F62CE1" w:rsidP="00F62CE1">
      <w:r w:rsidRPr="00846769">
        <w:rPr>
          <w:i/>
          <w:iCs/>
        </w:rPr>
        <w:t xml:space="preserve">Varicorbula gibba </w:t>
      </w:r>
      <w:r w:rsidRPr="00846769">
        <w:t xml:space="preserve">is known as the </w:t>
      </w:r>
      <w:r w:rsidR="004E0AAC" w:rsidRPr="00846769">
        <w:t>European clam</w:t>
      </w:r>
      <w:r w:rsidRPr="00846769">
        <w:t xml:space="preserve">, the </w:t>
      </w:r>
      <w:r w:rsidR="004E0AAC" w:rsidRPr="00846769">
        <w:t>European basket shell clam</w:t>
      </w:r>
      <w:r w:rsidRPr="00846769">
        <w:t xml:space="preserve">, </w:t>
      </w:r>
      <w:r w:rsidR="004E0AAC" w:rsidRPr="00846769">
        <w:t>or basket shell</w:t>
      </w:r>
      <w:r w:rsidRPr="00846769">
        <w:t xml:space="preserve">. It is native to </w:t>
      </w:r>
      <w:r w:rsidR="004E0AAC" w:rsidRPr="00846769">
        <w:t>northwestern Europe from Norway through to the Mediterranean Sea. It has been introduced to Australia and is established in Port Phillip Bay, Victori</w:t>
      </w:r>
      <w:r w:rsidR="006A25E1">
        <w:t xml:space="preserve">a, and </w:t>
      </w:r>
      <w:r w:rsidR="004E0AAC" w:rsidRPr="00846769">
        <w:t xml:space="preserve">the Derwent Estuary, </w:t>
      </w:r>
      <w:r w:rsidR="004E0AAC" w:rsidRPr="008E6EB9">
        <w:t>Tasmania</w:t>
      </w:r>
      <w:r w:rsidR="006A25E1" w:rsidRPr="008E6EB9">
        <w:t xml:space="preserve"> </w:t>
      </w:r>
      <w:r w:rsidR="004E0AAC" w:rsidRPr="008E6EB9">
        <w:t>(</w:t>
      </w:r>
      <w:r w:rsidR="00B36659" w:rsidRPr="00634A79">
        <w:t>Derwent Estuary Program 2008; Wiltshire et al. 20</w:t>
      </w:r>
      <w:r w:rsidR="00246AE3" w:rsidRPr="00634A79">
        <w:t>10</w:t>
      </w:r>
      <w:r w:rsidR="004E0AAC" w:rsidRPr="00634A79">
        <w:t>)</w:t>
      </w:r>
      <w:r w:rsidR="00FF4EF8" w:rsidRPr="00634A79">
        <w:t>.</w:t>
      </w:r>
      <w:r w:rsidR="00FF4EF8" w:rsidRPr="008E6EB9">
        <w:t xml:space="preserve"> It was </w:t>
      </w:r>
      <w:r w:rsidR="006A25E1" w:rsidRPr="008E6EB9">
        <w:t xml:space="preserve">previously detected in Port Adelaide, South Australia, </w:t>
      </w:r>
      <w:r w:rsidR="00FF4EF8" w:rsidRPr="008E6EB9">
        <w:t xml:space="preserve">but does not appear to have established there based on </w:t>
      </w:r>
      <w:r w:rsidR="001C0880">
        <w:t>traditional (dredge and grab sampling)</w:t>
      </w:r>
      <w:r w:rsidR="001C0880" w:rsidRPr="008E6EB9">
        <w:t xml:space="preserve"> </w:t>
      </w:r>
      <w:r w:rsidR="00FF4EF8" w:rsidRPr="008E6EB9">
        <w:t>and molecular surveillance (</w:t>
      </w:r>
      <w:r w:rsidR="00FF4EF8" w:rsidRPr="00634A79">
        <w:t>Wiltshire and Deveney 2011, Wiltshire et al. 2022</w:t>
      </w:r>
      <w:r w:rsidR="00FF4EF8" w:rsidRPr="008E6EB9">
        <w:t>).</w:t>
      </w:r>
      <w:r w:rsidR="006A25E1" w:rsidRPr="008E6EB9">
        <w:t xml:space="preserve"> </w:t>
      </w:r>
      <w:r w:rsidR="004E0AAC" w:rsidRPr="008E6EB9">
        <w:rPr>
          <w:i/>
          <w:iCs/>
        </w:rPr>
        <w:t>Varicorbula</w:t>
      </w:r>
      <w:r w:rsidR="004E0AAC" w:rsidRPr="00846769">
        <w:rPr>
          <w:i/>
          <w:iCs/>
        </w:rPr>
        <w:t xml:space="preserve"> gibba </w:t>
      </w:r>
      <w:r w:rsidR="004E0AAC" w:rsidRPr="00846769">
        <w:t xml:space="preserve">is the only </w:t>
      </w:r>
      <w:r w:rsidR="00491D9C" w:rsidRPr="00846769">
        <w:t>introduced</w:t>
      </w:r>
      <w:r w:rsidR="004E0AAC" w:rsidRPr="00846769">
        <w:t xml:space="preserve"> Corbulid to have become </w:t>
      </w:r>
      <w:r w:rsidR="004E0AAC" w:rsidRPr="008E6EB9">
        <w:t xml:space="preserve">established in </w:t>
      </w:r>
      <w:r w:rsidR="004E0AAC" w:rsidRPr="00634A79">
        <w:t>Australia</w:t>
      </w:r>
      <w:r w:rsidR="00B36659" w:rsidRPr="00634A79">
        <w:t xml:space="preserve"> (</w:t>
      </w:r>
      <w:proofErr w:type="spellStart"/>
      <w:r w:rsidR="00B36659" w:rsidRPr="00634A79">
        <w:t>Lamprell</w:t>
      </w:r>
      <w:proofErr w:type="spellEnd"/>
      <w:r w:rsidR="00B36659" w:rsidRPr="00634A79">
        <w:t xml:space="preserve"> </w:t>
      </w:r>
      <w:r w:rsidR="00E36FCB" w:rsidRPr="00634A79">
        <w:t>&amp;</w:t>
      </w:r>
      <w:r w:rsidR="00B36659" w:rsidRPr="00634A79">
        <w:t xml:space="preserve"> Healy 1998</w:t>
      </w:r>
      <w:r w:rsidR="00B36659" w:rsidRPr="008E6EB9">
        <w:t>).</w:t>
      </w:r>
      <w:r w:rsidR="004E0AAC" w:rsidRPr="00246AE3">
        <w:t xml:space="preserve"> </w:t>
      </w:r>
    </w:p>
    <w:p w14:paraId="799AF37E" w14:textId="3E41E2E3" w:rsidR="004E0AAC" w:rsidRPr="008E6EB9" w:rsidRDefault="004E0AAC" w:rsidP="00F62CE1">
      <w:r w:rsidRPr="00246AE3">
        <w:rPr>
          <w:i/>
          <w:iCs/>
        </w:rPr>
        <w:t xml:space="preserve">Varicorbula gibba </w:t>
      </w:r>
      <w:r w:rsidRPr="00246AE3">
        <w:t>is a small clam</w:t>
      </w:r>
      <w:r w:rsidRPr="00846769">
        <w:t xml:space="preserve"> with a maximum shell length between 15</w:t>
      </w:r>
      <w:r w:rsidR="003E0CB9">
        <w:rPr>
          <w:rFonts w:cstheme="minorHAnsi"/>
        </w:rPr>
        <w:t>‒</w:t>
      </w:r>
      <w:r w:rsidRPr="00846769">
        <w:t>20 mm. It is an infaunal clam that is relatively immobile and sedentary, and burrows in thick</w:t>
      </w:r>
      <w:r w:rsidR="00491D9C" w:rsidRPr="00846769">
        <w:t>,</w:t>
      </w:r>
      <w:r w:rsidRPr="00846769">
        <w:t xml:space="preserve"> muddy sand with coarse elements</w:t>
      </w:r>
      <w:r w:rsidR="00B36659" w:rsidRPr="00846769">
        <w:t>.</w:t>
      </w:r>
      <w:r w:rsidRPr="00846769">
        <w:t xml:space="preserve"> It </w:t>
      </w:r>
      <w:r w:rsidR="008C0F6A" w:rsidRPr="00846769">
        <w:t xml:space="preserve">usually </w:t>
      </w:r>
      <w:r w:rsidRPr="00846769">
        <w:t xml:space="preserve">inhabits the shallow sublittoral zone </w:t>
      </w:r>
      <w:r w:rsidR="008C0F6A" w:rsidRPr="008E6EB9">
        <w:t xml:space="preserve">ranging from depths of 3 to 140 m. </w:t>
      </w:r>
      <w:r w:rsidRPr="008E6EB9">
        <w:t xml:space="preserve"> </w:t>
      </w:r>
    </w:p>
    <w:p w14:paraId="3F023C69" w14:textId="1CE152E3" w:rsidR="004E0AAC" w:rsidRPr="00846769" w:rsidRDefault="00491D9C" w:rsidP="00F62CE1">
      <w:r w:rsidRPr="008E6EB9">
        <w:t xml:space="preserve">The clam is not known to pose significant risks in areas it has invaded. </w:t>
      </w:r>
      <w:r w:rsidRPr="00634A79">
        <w:t xml:space="preserve">Holmes </w:t>
      </w:r>
      <w:r w:rsidR="00E36FCB" w:rsidRPr="00634A79">
        <w:t>and</w:t>
      </w:r>
      <w:r w:rsidRPr="00634A79">
        <w:t xml:space="preserve"> Miller (2006)</w:t>
      </w:r>
      <w:r w:rsidRPr="00846769">
        <w:t xml:space="preserve"> suggested that </w:t>
      </w:r>
      <w:r w:rsidRPr="00846769">
        <w:rPr>
          <w:i/>
          <w:iCs/>
        </w:rPr>
        <w:t xml:space="preserve">V. </w:t>
      </w:r>
      <w:r w:rsidR="00E6260A" w:rsidRPr="00846769">
        <w:rPr>
          <w:i/>
          <w:iCs/>
        </w:rPr>
        <w:t>gibba</w:t>
      </w:r>
      <w:r w:rsidRPr="00846769">
        <w:rPr>
          <w:i/>
          <w:iCs/>
        </w:rPr>
        <w:t xml:space="preserve"> </w:t>
      </w:r>
      <w:r w:rsidRPr="00846769">
        <w:t xml:space="preserve">is an inferior competitor and only becomes dominant when environmental conditions become hypoxic. It was observed that </w:t>
      </w:r>
      <w:r w:rsidRPr="00846769">
        <w:rPr>
          <w:i/>
          <w:iCs/>
        </w:rPr>
        <w:t xml:space="preserve">V. </w:t>
      </w:r>
      <w:r w:rsidR="00E6260A" w:rsidRPr="00846769">
        <w:rPr>
          <w:i/>
          <w:iCs/>
        </w:rPr>
        <w:t>gibba</w:t>
      </w:r>
      <w:r w:rsidRPr="00846769">
        <w:rPr>
          <w:i/>
          <w:iCs/>
        </w:rPr>
        <w:t xml:space="preserve"> </w:t>
      </w:r>
      <w:r w:rsidRPr="00846769">
        <w:t xml:space="preserve">had significant impact on the size and growth of scallops in </w:t>
      </w:r>
      <w:r w:rsidRPr="00246AE3">
        <w:t xml:space="preserve">Port Phillip Bay </w:t>
      </w:r>
      <w:r w:rsidRPr="008E6EB9">
        <w:t>(T</w:t>
      </w:r>
      <w:r w:rsidRPr="00634A79">
        <w:t>alman &amp; Keough, 2001</w:t>
      </w:r>
      <w:r w:rsidRPr="008E6EB9">
        <w:t>). However</w:t>
      </w:r>
      <w:r w:rsidRPr="00246AE3">
        <w:t>, it is only likely to have impacts in hypoxic environments, such</w:t>
      </w:r>
      <w:r w:rsidRPr="00846769">
        <w:t xml:space="preserve"> as those altered by human activity, and is unlikely to pose a risk in unaltered habitats under normal oxygen level </w:t>
      </w:r>
      <w:r w:rsidRPr="00246AE3">
        <w:t>conditions (</w:t>
      </w:r>
      <w:r w:rsidR="00B36659" w:rsidRPr="00246AE3">
        <w:t xml:space="preserve">Holmes </w:t>
      </w:r>
      <w:r w:rsidR="00E36FCB" w:rsidRPr="00246AE3">
        <w:t>&amp;</w:t>
      </w:r>
      <w:r w:rsidR="00B36659" w:rsidRPr="00246AE3">
        <w:t xml:space="preserve"> Miller 2006</w:t>
      </w:r>
      <w:r w:rsidRPr="00246AE3">
        <w:t>).</w:t>
      </w:r>
      <w:r w:rsidRPr="00846769">
        <w:t xml:space="preserve"> </w:t>
      </w:r>
    </w:p>
    <w:p w14:paraId="37BA559F" w14:textId="44CB3036" w:rsidR="00F62CE1" w:rsidRPr="00846769" w:rsidRDefault="00491D9C" w:rsidP="001933EE">
      <w:r w:rsidRPr="00846769">
        <w:rPr>
          <w:i/>
          <w:iCs/>
        </w:rPr>
        <w:t xml:space="preserve">Varicorbula gibba </w:t>
      </w:r>
      <w:r w:rsidRPr="00846769">
        <w:t>is not nationally listed in Australia</w:t>
      </w:r>
      <w:r w:rsidR="009243C3" w:rsidRPr="00846769">
        <w:t xml:space="preserve"> on either the APMPL or EEPL</w:t>
      </w:r>
      <w:r w:rsidR="004035EA" w:rsidRPr="00846769">
        <w:t xml:space="preserve">. </w:t>
      </w:r>
      <w:r w:rsidRPr="00846769">
        <w:t xml:space="preserve">It is included on </w:t>
      </w:r>
      <w:r w:rsidR="009243C3" w:rsidRPr="00846769">
        <w:t xml:space="preserve">marine pest surveillance lists for most jurisdictions in </w:t>
      </w:r>
      <w:proofErr w:type="gramStart"/>
      <w:r w:rsidR="009243C3" w:rsidRPr="00846769">
        <w:t>Australia, and</w:t>
      </w:r>
      <w:proofErr w:type="gramEnd"/>
      <w:r w:rsidR="009243C3" w:rsidRPr="00846769">
        <w:t xml:space="preserve"> is listed as a noxious species in some jurisdictions</w:t>
      </w:r>
      <w:r w:rsidRPr="00846769">
        <w:t xml:space="preserve">. A </w:t>
      </w:r>
      <w:hyperlink r:id="rId204" w:history="1">
        <w:r w:rsidRPr="00846769">
          <w:rPr>
            <w:rStyle w:val="Hyperlink"/>
          </w:rPr>
          <w:t>National Control Plan (NCP)</w:t>
        </w:r>
      </w:hyperlink>
      <w:r w:rsidRPr="00846769">
        <w:t xml:space="preserve"> was developed for </w:t>
      </w:r>
      <w:r w:rsidRPr="00846769">
        <w:rPr>
          <w:i/>
          <w:iCs/>
        </w:rPr>
        <w:t xml:space="preserve">V. </w:t>
      </w:r>
      <w:r w:rsidR="00E6260A" w:rsidRPr="00846769">
        <w:rPr>
          <w:i/>
          <w:iCs/>
        </w:rPr>
        <w:t>gibba</w:t>
      </w:r>
      <w:r w:rsidRPr="00846769">
        <w:rPr>
          <w:i/>
          <w:iCs/>
        </w:rPr>
        <w:t xml:space="preserve"> </w:t>
      </w:r>
      <w:r w:rsidRPr="00846769">
        <w:t xml:space="preserve">in 2008. </w:t>
      </w:r>
      <w:r w:rsidR="009243C3" w:rsidRPr="00846769">
        <w:t xml:space="preserve">NCPs were developed to assist with management of established marine pests in Australia which may have significant impacts but are deemed non-eradicable. </w:t>
      </w:r>
      <w:r w:rsidR="00F62CE1" w:rsidRPr="00846769">
        <w:t xml:space="preserve"> </w:t>
      </w:r>
    </w:p>
    <w:p w14:paraId="6A2B24E0" w14:textId="6B109DF3" w:rsidR="001453AC" w:rsidRPr="00846769" w:rsidRDefault="001453AC" w:rsidP="001453AC">
      <w:pPr>
        <w:pStyle w:val="Caption"/>
      </w:pPr>
      <w:bookmarkStart w:id="594" w:name="_Toc191999502"/>
      <w:r w:rsidRPr="00846769">
        <w:t xml:space="preserve">Table </w:t>
      </w:r>
      <w:r w:rsidRPr="00846769">
        <w:fldChar w:fldCharType="begin"/>
      </w:r>
      <w:r w:rsidRPr="00846769">
        <w:instrText xml:space="preserve"> SEQ Table \* ARABIC </w:instrText>
      </w:r>
      <w:r w:rsidRPr="00846769">
        <w:fldChar w:fldCharType="separate"/>
      </w:r>
      <w:r w:rsidR="005E4F41">
        <w:rPr>
          <w:noProof/>
        </w:rPr>
        <w:t>7</w:t>
      </w:r>
      <w:r w:rsidRPr="00846769">
        <w:fldChar w:fldCharType="end"/>
      </w:r>
      <w:r w:rsidRPr="00846769">
        <w:t xml:space="preserve"> </w:t>
      </w:r>
      <w:r w:rsidRPr="00846769">
        <w:rPr>
          <w:color w:val="262626" w:themeColor="text1" w:themeTint="D9"/>
          <w:lang w:eastAsia="ja-JP"/>
        </w:rPr>
        <w:t xml:space="preserve">Taxonomic classification of </w:t>
      </w:r>
      <w:r w:rsidRPr="00846769">
        <w:rPr>
          <w:rStyle w:val="Emphasis"/>
          <w:color w:val="262626" w:themeColor="text1" w:themeTint="D9"/>
        </w:rPr>
        <w:t>Varicorbula gibba</w:t>
      </w:r>
      <w:bookmarkEnd w:id="594"/>
    </w:p>
    <w:tbl>
      <w:tblPr>
        <w:tblStyle w:val="TableGrid"/>
        <w:tblW w:w="0" w:type="auto"/>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1526"/>
        <w:gridCol w:w="2585"/>
      </w:tblGrid>
      <w:tr w:rsidR="00F62CE1" w:rsidRPr="00846769" w14:paraId="312E3381" w14:textId="77777777" w:rsidTr="00A04E26">
        <w:trPr>
          <w:cantSplit/>
          <w:tblHeader/>
        </w:trPr>
        <w:tc>
          <w:tcPr>
            <w:tcW w:w="1526" w:type="dxa"/>
            <w:shd w:val="clear" w:color="auto" w:fill="FFFFFF" w:themeFill="background1"/>
          </w:tcPr>
          <w:p w14:paraId="02738277" w14:textId="77777777" w:rsidR="00F62CE1" w:rsidRPr="00846769" w:rsidRDefault="00F62CE1" w:rsidP="006966B1">
            <w:pPr>
              <w:pStyle w:val="TableText"/>
              <w:rPr>
                <w:rFonts w:cstheme="minorHAnsi"/>
                <w:b/>
                <w:bCs/>
              </w:rPr>
            </w:pPr>
            <w:bookmarkStart w:id="595" w:name="Table_7"/>
            <w:bookmarkEnd w:id="595"/>
            <w:r w:rsidRPr="00846769">
              <w:rPr>
                <w:rFonts w:cstheme="minorHAnsi"/>
                <w:b/>
                <w:bCs/>
              </w:rPr>
              <w:t>Classification</w:t>
            </w:r>
          </w:p>
        </w:tc>
        <w:tc>
          <w:tcPr>
            <w:tcW w:w="2585" w:type="dxa"/>
            <w:shd w:val="clear" w:color="auto" w:fill="FFFFFF" w:themeFill="background1"/>
          </w:tcPr>
          <w:p w14:paraId="2460D092" w14:textId="394C92BC" w:rsidR="00F62CE1" w:rsidRPr="00846769" w:rsidRDefault="00F62CE1" w:rsidP="006966B1">
            <w:pPr>
              <w:pStyle w:val="TableText"/>
              <w:rPr>
                <w:rStyle w:val="Emphasis"/>
                <w:rFonts w:cstheme="minorHAnsi"/>
                <w:b/>
                <w:bCs/>
              </w:rPr>
            </w:pPr>
            <w:r w:rsidRPr="00846769">
              <w:rPr>
                <w:rStyle w:val="Emphasis"/>
                <w:rFonts w:cstheme="minorHAnsi"/>
                <w:b/>
                <w:bCs/>
              </w:rPr>
              <w:t>Varicorbula gibba</w:t>
            </w:r>
          </w:p>
        </w:tc>
      </w:tr>
      <w:tr w:rsidR="00F62CE1" w:rsidRPr="00846769" w14:paraId="7376B72A" w14:textId="77777777" w:rsidTr="00A04E26">
        <w:trPr>
          <w:cantSplit/>
          <w:tblHeader/>
        </w:trPr>
        <w:tc>
          <w:tcPr>
            <w:tcW w:w="1526" w:type="dxa"/>
            <w:shd w:val="clear" w:color="auto" w:fill="FFFFFF" w:themeFill="background1"/>
          </w:tcPr>
          <w:p w14:paraId="547AAAC3" w14:textId="77777777" w:rsidR="00F62CE1" w:rsidRPr="00846769" w:rsidRDefault="00F62CE1" w:rsidP="006966B1">
            <w:pPr>
              <w:pStyle w:val="TableText"/>
              <w:rPr>
                <w:rFonts w:cstheme="minorHAnsi"/>
              </w:rPr>
            </w:pPr>
            <w:r w:rsidRPr="00846769">
              <w:rPr>
                <w:rFonts w:cstheme="minorHAnsi"/>
              </w:rPr>
              <w:t>Phylum</w:t>
            </w:r>
          </w:p>
        </w:tc>
        <w:tc>
          <w:tcPr>
            <w:tcW w:w="2585" w:type="dxa"/>
            <w:shd w:val="clear" w:color="auto" w:fill="FFFFFF" w:themeFill="background1"/>
          </w:tcPr>
          <w:p w14:paraId="00F5DEF3" w14:textId="77777777" w:rsidR="00F62CE1" w:rsidRPr="00846769" w:rsidRDefault="00F62CE1" w:rsidP="006966B1">
            <w:pPr>
              <w:pStyle w:val="TableText"/>
              <w:rPr>
                <w:rFonts w:cstheme="minorHAnsi"/>
              </w:rPr>
            </w:pPr>
            <w:r w:rsidRPr="00846769">
              <w:rPr>
                <w:rFonts w:cstheme="minorHAnsi"/>
              </w:rPr>
              <w:t>Mollusca</w:t>
            </w:r>
          </w:p>
        </w:tc>
      </w:tr>
      <w:tr w:rsidR="00F62CE1" w:rsidRPr="00846769" w14:paraId="1C26E064" w14:textId="77777777" w:rsidTr="00A04E26">
        <w:trPr>
          <w:cantSplit/>
          <w:tblHeader/>
        </w:trPr>
        <w:tc>
          <w:tcPr>
            <w:tcW w:w="1526" w:type="dxa"/>
            <w:shd w:val="clear" w:color="auto" w:fill="FFFFFF" w:themeFill="background1"/>
          </w:tcPr>
          <w:p w14:paraId="2C5DAA84" w14:textId="77777777" w:rsidR="00F62CE1" w:rsidRPr="00846769" w:rsidRDefault="00F62CE1" w:rsidP="006966B1">
            <w:pPr>
              <w:pStyle w:val="TableText"/>
              <w:rPr>
                <w:rFonts w:cstheme="minorHAnsi"/>
              </w:rPr>
            </w:pPr>
            <w:r w:rsidRPr="00846769">
              <w:rPr>
                <w:rFonts w:cstheme="minorHAnsi"/>
              </w:rPr>
              <w:t>Class</w:t>
            </w:r>
          </w:p>
        </w:tc>
        <w:tc>
          <w:tcPr>
            <w:tcW w:w="2585" w:type="dxa"/>
            <w:shd w:val="clear" w:color="auto" w:fill="FFFFFF" w:themeFill="background1"/>
          </w:tcPr>
          <w:p w14:paraId="20634A52" w14:textId="77777777" w:rsidR="00F62CE1" w:rsidRPr="00846769" w:rsidRDefault="00F62CE1" w:rsidP="006966B1">
            <w:pPr>
              <w:pStyle w:val="TableText"/>
              <w:rPr>
                <w:rFonts w:cstheme="minorHAnsi"/>
              </w:rPr>
            </w:pPr>
            <w:r w:rsidRPr="00846769">
              <w:rPr>
                <w:rFonts w:cstheme="minorHAnsi"/>
              </w:rPr>
              <w:t>Bivalvia</w:t>
            </w:r>
          </w:p>
        </w:tc>
      </w:tr>
      <w:tr w:rsidR="00F62CE1" w:rsidRPr="00846769" w14:paraId="27E16AF9" w14:textId="77777777" w:rsidTr="00A04E26">
        <w:trPr>
          <w:cantSplit/>
          <w:tblHeader/>
        </w:trPr>
        <w:tc>
          <w:tcPr>
            <w:tcW w:w="1526" w:type="dxa"/>
            <w:shd w:val="clear" w:color="auto" w:fill="FFFFFF" w:themeFill="background1"/>
          </w:tcPr>
          <w:p w14:paraId="1A7B2370" w14:textId="77777777" w:rsidR="00F62CE1" w:rsidRPr="00846769" w:rsidRDefault="00F62CE1" w:rsidP="006966B1">
            <w:pPr>
              <w:pStyle w:val="TableText"/>
              <w:rPr>
                <w:rFonts w:cstheme="minorHAnsi"/>
              </w:rPr>
            </w:pPr>
            <w:r w:rsidRPr="00846769">
              <w:rPr>
                <w:rFonts w:cstheme="minorHAnsi"/>
              </w:rPr>
              <w:t>Order</w:t>
            </w:r>
          </w:p>
        </w:tc>
        <w:tc>
          <w:tcPr>
            <w:tcW w:w="2585" w:type="dxa"/>
            <w:shd w:val="clear" w:color="auto" w:fill="FFFFFF" w:themeFill="background1"/>
          </w:tcPr>
          <w:p w14:paraId="010B41A1" w14:textId="77777777" w:rsidR="00F62CE1" w:rsidRPr="00846769" w:rsidRDefault="00F62CE1" w:rsidP="006966B1">
            <w:pPr>
              <w:pStyle w:val="TableText"/>
              <w:rPr>
                <w:rFonts w:cstheme="minorHAnsi"/>
              </w:rPr>
            </w:pPr>
            <w:proofErr w:type="spellStart"/>
            <w:r w:rsidRPr="00846769">
              <w:rPr>
                <w:rFonts w:cstheme="minorHAnsi"/>
              </w:rPr>
              <w:t>Myida</w:t>
            </w:r>
            <w:proofErr w:type="spellEnd"/>
          </w:p>
        </w:tc>
      </w:tr>
      <w:tr w:rsidR="00F62CE1" w:rsidRPr="00846769" w14:paraId="674A9459" w14:textId="77777777" w:rsidTr="00A04E26">
        <w:trPr>
          <w:cantSplit/>
          <w:tblHeader/>
        </w:trPr>
        <w:tc>
          <w:tcPr>
            <w:tcW w:w="1526" w:type="dxa"/>
            <w:shd w:val="clear" w:color="auto" w:fill="FFFFFF" w:themeFill="background1"/>
          </w:tcPr>
          <w:p w14:paraId="0DD18FC1" w14:textId="77777777" w:rsidR="00F62CE1" w:rsidRPr="00846769" w:rsidRDefault="00F62CE1" w:rsidP="006966B1">
            <w:pPr>
              <w:pStyle w:val="TableText"/>
              <w:rPr>
                <w:rFonts w:cstheme="minorHAnsi"/>
              </w:rPr>
            </w:pPr>
            <w:r w:rsidRPr="00846769">
              <w:rPr>
                <w:rFonts w:cstheme="minorHAnsi"/>
              </w:rPr>
              <w:t>Family</w:t>
            </w:r>
          </w:p>
        </w:tc>
        <w:tc>
          <w:tcPr>
            <w:tcW w:w="2585" w:type="dxa"/>
            <w:shd w:val="clear" w:color="auto" w:fill="FFFFFF" w:themeFill="background1"/>
          </w:tcPr>
          <w:p w14:paraId="3B848E0E" w14:textId="77777777" w:rsidR="00F62CE1" w:rsidRPr="00846769" w:rsidRDefault="00F62CE1" w:rsidP="006966B1">
            <w:pPr>
              <w:pStyle w:val="TableText"/>
              <w:rPr>
                <w:rFonts w:cstheme="minorHAnsi"/>
              </w:rPr>
            </w:pPr>
            <w:r w:rsidRPr="00846769">
              <w:rPr>
                <w:rFonts w:cstheme="minorHAnsi"/>
              </w:rPr>
              <w:t>Corbulidae</w:t>
            </w:r>
          </w:p>
        </w:tc>
      </w:tr>
      <w:tr w:rsidR="00F62CE1" w:rsidRPr="00846769" w14:paraId="0CC4A236" w14:textId="77777777" w:rsidTr="00A04E26">
        <w:trPr>
          <w:cantSplit/>
          <w:tblHeader/>
        </w:trPr>
        <w:tc>
          <w:tcPr>
            <w:tcW w:w="1526" w:type="dxa"/>
            <w:shd w:val="clear" w:color="auto" w:fill="FFFFFF" w:themeFill="background1"/>
          </w:tcPr>
          <w:p w14:paraId="332A1A03" w14:textId="77777777" w:rsidR="00F62CE1" w:rsidRPr="00846769" w:rsidRDefault="00F62CE1" w:rsidP="006966B1">
            <w:pPr>
              <w:pStyle w:val="TableText"/>
              <w:rPr>
                <w:rFonts w:cstheme="minorHAnsi"/>
              </w:rPr>
            </w:pPr>
            <w:r w:rsidRPr="00846769">
              <w:rPr>
                <w:rFonts w:cstheme="minorHAnsi"/>
              </w:rPr>
              <w:t>Genus</w:t>
            </w:r>
          </w:p>
        </w:tc>
        <w:tc>
          <w:tcPr>
            <w:tcW w:w="2585" w:type="dxa"/>
            <w:shd w:val="clear" w:color="auto" w:fill="FFFFFF" w:themeFill="background1"/>
          </w:tcPr>
          <w:p w14:paraId="7134AC58" w14:textId="0C7E88E8" w:rsidR="00F62CE1" w:rsidRPr="00846769" w:rsidRDefault="004E0AAC" w:rsidP="006966B1">
            <w:pPr>
              <w:pStyle w:val="TableText"/>
              <w:rPr>
                <w:rStyle w:val="Emphasis"/>
                <w:rFonts w:cstheme="minorHAnsi"/>
              </w:rPr>
            </w:pPr>
            <w:r w:rsidRPr="00846769">
              <w:rPr>
                <w:rStyle w:val="Emphasis"/>
                <w:rFonts w:cstheme="minorHAnsi"/>
              </w:rPr>
              <w:t>V</w:t>
            </w:r>
            <w:r w:rsidRPr="00846769">
              <w:rPr>
                <w:rStyle w:val="Emphasis"/>
              </w:rPr>
              <w:t>aricorbula</w:t>
            </w:r>
          </w:p>
        </w:tc>
      </w:tr>
    </w:tbl>
    <w:p w14:paraId="6E8F9701" w14:textId="77777777" w:rsidR="00F62CE1" w:rsidRPr="00846769" w:rsidRDefault="00F62CE1" w:rsidP="00DC52AA">
      <w:pPr>
        <w:pStyle w:val="Heading5"/>
        <w:spacing w:before="120" w:after="120"/>
        <w:rPr>
          <w:color w:val="262626" w:themeColor="text1" w:themeTint="D9"/>
          <w:sz w:val="24"/>
          <w:szCs w:val="24"/>
        </w:rPr>
      </w:pPr>
      <w:r w:rsidRPr="00846769">
        <w:rPr>
          <w:color w:val="262626" w:themeColor="text1" w:themeTint="D9"/>
          <w:sz w:val="24"/>
          <w:szCs w:val="24"/>
        </w:rPr>
        <w:t>Diagnostic features for identification</w:t>
      </w:r>
    </w:p>
    <w:p w14:paraId="5AB2216C" w14:textId="77777777" w:rsidR="00F62CE1" w:rsidRPr="00846769" w:rsidRDefault="00F62CE1" w:rsidP="00DC52AA">
      <w:pPr>
        <w:pStyle w:val="Heading6"/>
        <w:spacing w:after="40"/>
        <w:rPr>
          <w:color w:val="262626" w:themeColor="text1" w:themeTint="D9"/>
        </w:rPr>
      </w:pPr>
      <w:r w:rsidRPr="00846769">
        <w:rPr>
          <w:color w:val="262626" w:themeColor="text1" w:themeTint="D9"/>
        </w:rPr>
        <w:t>Field identification</w:t>
      </w:r>
    </w:p>
    <w:p w14:paraId="4CACDC70" w14:textId="00A9EC05" w:rsidR="003D6F2A" w:rsidRPr="00846769" w:rsidRDefault="00F62CE1" w:rsidP="00F62CE1">
      <w:r w:rsidRPr="00846769">
        <w:t xml:space="preserve">The shell of </w:t>
      </w:r>
      <w:r w:rsidR="009243C3" w:rsidRPr="00846769">
        <w:rPr>
          <w:i/>
          <w:iCs/>
        </w:rPr>
        <w:t>V. gibba</w:t>
      </w:r>
      <w:r w:rsidRPr="00846769">
        <w:rPr>
          <w:i/>
          <w:iCs/>
        </w:rPr>
        <w:t xml:space="preserve"> </w:t>
      </w:r>
      <w:r w:rsidRPr="00846769">
        <w:t xml:space="preserve">is </w:t>
      </w:r>
      <w:r w:rsidR="009243C3" w:rsidRPr="00846769">
        <w:t>small and thick and grows between 15</w:t>
      </w:r>
      <w:r w:rsidR="003E0CB9">
        <w:rPr>
          <w:rFonts w:cstheme="minorHAnsi"/>
        </w:rPr>
        <w:t>‒</w:t>
      </w:r>
      <w:r w:rsidR="009243C3" w:rsidRPr="00846769">
        <w:t>20 mm in length</w:t>
      </w:r>
      <w:r w:rsidRPr="00846769">
        <w:t xml:space="preserve">. </w:t>
      </w:r>
      <w:r w:rsidR="009243C3" w:rsidRPr="00846769">
        <w:t>The</w:t>
      </w:r>
      <w:r w:rsidRPr="00846769">
        <w:t xml:space="preserve"> shell </w:t>
      </w:r>
      <w:r w:rsidR="009243C3" w:rsidRPr="00846769">
        <w:t xml:space="preserve">is whitish in colour with distinct variable brownish or reddish colour </w:t>
      </w:r>
      <w:proofErr w:type="gramStart"/>
      <w:r w:rsidR="009243C3" w:rsidRPr="00846769">
        <w:t>pattern</w:t>
      </w:r>
      <w:r w:rsidR="003D6F2A" w:rsidRPr="00846769">
        <w:t>, and</w:t>
      </w:r>
      <w:proofErr w:type="gramEnd"/>
      <w:r w:rsidR="003D6F2A" w:rsidRPr="00846769">
        <w:t xml:space="preserve"> is deep purple or white internally</w:t>
      </w:r>
      <w:r w:rsidR="009243C3" w:rsidRPr="00846769">
        <w:t xml:space="preserve">. </w:t>
      </w:r>
    </w:p>
    <w:p w14:paraId="7162EBF8" w14:textId="018D3215" w:rsidR="009243C3" w:rsidRPr="00846769" w:rsidRDefault="009243C3" w:rsidP="00F62CE1">
      <w:r w:rsidRPr="00846769">
        <w:t>It is characterised by a shell that is markedly asymmetrical, with the right valve being much larger and overhanging than the left valve (</w:t>
      </w:r>
      <w:r w:rsidR="00192097" w:rsidRPr="00846769">
        <w:fldChar w:fldCharType="begin"/>
      </w:r>
      <w:r w:rsidR="00192097" w:rsidRPr="00846769">
        <w:instrText xml:space="preserve"> REF _Ref172500835 \h </w:instrText>
      </w:r>
      <w:r w:rsidR="00192097" w:rsidRPr="00846769">
        <w:fldChar w:fldCharType="separate"/>
      </w:r>
      <w:r w:rsidR="00192097" w:rsidRPr="00846769">
        <w:t>Photo 6</w:t>
      </w:r>
      <w:r w:rsidR="00192097" w:rsidRPr="00846769">
        <w:fldChar w:fldCharType="end"/>
      </w:r>
      <w:r w:rsidRPr="00846769">
        <w:t xml:space="preserve">). The right valve umbo extends beyond the margin of the left valve. </w:t>
      </w:r>
      <w:r w:rsidR="003D6F2A" w:rsidRPr="00846769">
        <w:t xml:space="preserve">Sculpture on right valve is well developed and flat with moderately wide concentric ridges, while the left valve has finer, closely set raised ridges crossed by several raised radial ribs. </w:t>
      </w:r>
      <w:r w:rsidR="003D6F2A" w:rsidRPr="00846769">
        <w:lastRenderedPageBreak/>
        <w:t xml:space="preserve">Both valves have well-defined post-umbonal carina. Periostracum on right valve is thin and light brown. </w:t>
      </w:r>
    </w:p>
    <w:p w14:paraId="1DD46C8B" w14:textId="5EEC2C18" w:rsidR="002C4901" w:rsidRPr="00846769" w:rsidRDefault="002C4901" w:rsidP="002C4901">
      <w:pPr>
        <w:pStyle w:val="Caption"/>
      </w:pPr>
      <w:bookmarkStart w:id="596" w:name="_Ref172500835"/>
      <w:bookmarkStart w:id="597" w:name="_Toc191999530"/>
      <w:r w:rsidRPr="00846769">
        <w:t xml:space="preserve">Photo </w:t>
      </w:r>
      <w:r w:rsidRPr="00846769">
        <w:fldChar w:fldCharType="begin"/>
      </w:r>
      <w:r w:rsidRPr="00846769">
        <w:instrText xml:space="preserve"> SEQ Photo \* ARABIC </w:instrText>
      </w:r>
      <w:r w:rsidRPr="00846769">
        <w:fldChar w:fldCharType="separate"/>
      </w:r>
      <w:r w:rsidR="00300312" w:rsidRPr="00846769">
        <w:t>6</w:t>
      </w:r>
      <w:r w:rsidRPr="00846769">
        <w:fldChar w:fldCharType="end"/>
      </w:r>
      <w:bookmarkEnd w:id="596"/>
      <w:r w:rsidRPr="00846769">
        <w:t xml:space="preserve"> </w:t>
      </w:r>
      <w:r w:rsidRPr="00846769">
        <w:rPr>
          <w:color w:val="262626" w:themeColor="text1" w:themeTint="D9"/>
        </w:rPr>
        <w:t xml:space="preserve">An image of two </w:t>
      </w:r>
      <w:r w:rsidRPr="00846769">
        <w:rPr>
          <w:i/>
          <w:iCs/>
          <w:color w:val="262626" w:themeColor="text1" w:themeTint="D9"/>
        </w:rPr>
        <w:t xml:space="preserve">Varicorbula gibba </w:t>
      </w:r>
      <w:r w:rsidRPr="00846769">
        <w:rPr>
          <w:color w:val="262626" w:themeColor="text1" w:themeTint="D9"/>
        </w:rPr>
        <w:t>specimens showing two different sizes. Note how the smaller valve fits into the larger valve for the specimen on the left.</w:t>
      </w:r>
      <w:bookmarkEnd w:id="597"/>
    </w:p>
    <w:p w14:paraId="22245D0B" w14:textId="182DEB72" w:rsidR="00C4585A" w:rsidRPr="00846769" w:rsidRDefault="00C4585A" w:rsidP="00C4585A">
      <w:r w:rsidRPr="00846769">
        <w:rPr>
          <w:noProof/>
        </w:rPr>
        <w:drawing>
          <wp:inline distT="0" distB="0" distL="0" distR="0" wp14:anchorId="34AE3C45" wp14:editId="340E1CCE">
            <wp:extent cx="5692500" cy="2409825"/>
            <wp:effectExtent l="0" t="0" r="3810" b="0"/>
            <wp:docPr id="1808060819" name="Picture 1" descr="Coloured photograph of one large and one small Varicorbula gibba showing how the smaller valve fits into the larger val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60819" name="Picture 1" descr="Coloured photograph of one large and one small Varicorbula gibba showing how the smaller valve fits into the larger valve. "/>
                    <pic:cNvPicPr/>
                  </pic:nvPicPr>
                  <pic:blipFill rotWithShape="1">
                    <a:blip r:embed="rId205" cstate="email">
                      <a:extLst>
                        <a:ext uri="{28A0092B-C50C-407E-A947-70E740481C1C}">
                          <a14:useLocalDpi xmlns:a14="http://schemas.microsoft.com/office/drawing/2010/main" val="0"/>
                        </a:ext>
                      </a:extLst>
                    </a:blip>
                    <a:srcRect/>
                    <a:stretch/>
                  </pic:blipFill>
                  <pic:spPr bwMode="auto">
                    <a:xfrm flipV="1">
                      <a:off x="0" y="0"/>
                      <a:ext cx="5694241" cy="2410562"/>
                    </a:xfrm>
                    <a:prstGeom prst="rect">
                      <a:avLst/>
                    </a:prstGeom>
                    <a:ln>
                      <a:noFill/>
                    </a:ln>
                    <a:extLst>
                      <a:ext uri="{53640926-AAD7-44D8-BBD7-CCE9431645EC}">
                        <a14:shadowObscured xmlns:a14="http://schemas.microsoft.com/office/drawing/2010/main"/>
                      </a:ext>
                    </a:extLst>
                  </pic:spPr>
                </pic:pic>
              </a:graphicData>
            </a:graphic>
          </wp:inline>
        </w:drawing>
      </w:r>
    </w:p>
    <w:p w14:paraId="764BF9B0" w14:textId="70901A23" w:rsidR="006C5232" w:rsidRPr="00846769" w:rsidRDefault="00C4585A" w:rsidP="006C5232">
      <w:pPr>
        <w:rPr>
          <w:sz w:val="18"/>
          <w:szCs w:val="18"/>
        </w:rPr>
      </w:pPr>
      <w:r w:rsidRPr="00846769">
        <w:rPr>
          <w:rStyle w:val="Emphasis"/>
          <w:i w:val="0"/>
          <w:iCs w:val="0"/>
          <w:sz w:val="18"/>
          <w:szCs w:val="18"/>
        </w:rPr>
        <w:t>Source</w:t>
      </w:r>
      <w:r w:rsidRPr="00846769">
        <w:rPr>
          <w:rStyle w:val="Emphasis"/>
          <w:sz w:val="18"/>
          <w:szCs w:val="18"/>
        </w:rPr>
        <w:t xml:space="preserve">: </w:t>
      </w:r>
      <w:r w:rsidR="006C5232" w:rsidRPr="00846769">
        <w:rPr>
          <w:sz w:val="18"/>
          <w:szCs w:val="18"/>
        </w:rPr>
        <w:t>Evan Rees, Northern Australia Quarantine Strategy (NAQS)</w:t>
      </w:r>
    </w:p>
    <w:p w14:paraId="58638A45" w14:textId="77777777" w:rsidR="00BE7931" w:rsidRPr="00846769" w:rsidRDefault="00BE7931" w:rsidP="00BE7931">
      <w:pPr>
        <w:pStyle w:val="Heading6"/>
        <w:spacing w:after="40"/>
        <w:rPr>
          <w:color w:val="262626" w:themeColor="text1" w:themeTint="D9"/>
        </w:rPr>
      </w:pPr>
      <w:r w:rsidRPr="00846769">
        <w:rPr>
          <w:color w:val="262626" w:themeColor="text1" w:themeTint="D9"/>
        </w:rPr>
        <w:t>Similar native species</w:t>
      </w:r>
    </w:p>
    <w:p w14:paraId="19046356" w14:textId="3F40A35F" w:rsidR="00BE7931" w:rsidRPr="00846769" w:rsidRDefault="00BE7931" w:rsidP="00BE7931">
      <w:r w:rsidRPr="00846769">
        <w:rPr>
          <w:i/>
          <w:iCs/>
        </w:rPr>
        <w:t xml:space="preserve">Varicorbula gibba </w:t>
      </w:r>
      <w:r w:rsidRPr="00846769">
        <w:t>is unlikely to be distinguished from native Australian bivalves in the field. It is morphologically very similar to native Australian Corbulidae (</w:t>
      </w:r>
      <w:proofErr w:type="spellStart"/>
      <w:r w:rsidRPr="00846769">
        <w:rPr>
          <w:i/>
          <w:iCs/>
        </w:rPr>
        <w:t>Corbula</w:t>
      </w:r>
      <w:proofErr w:type="spellEnd"/>
      <w:r w:rsidRPr="00846769">
        <w:rPr>
          <w:i/>
          <w:iCs/>
        </w:rPr>
        <w:t xml:space="preserve"> </w:t>
      </w:r>
      <w:proofErr w:type="spellStart"/>
      <w:r w:rsidRPr="00846769">
        <w:rPr>
          <w:i/>
          <w:iCs/>
        </w:rPr>
        <w:t>hydropica</w:t>
      </w:r>
      <w:proofErr w:type="spellEnd"/>
      <w:r w:rsidRPr="00846769">
        <w:rPr>
          <w:i/>
          <w:iCs/>
        </w:rPr>
        <w:t xml:space="preserve"> </w:t>
      </w:r>
      <w:r w:rsidRPr="00846769">
        <w:t xml:space="preserve">and </w:t>
      </w:r>
      <w:r w:rsidRPr="00846769">
        <w:rPr>
          <w:i/>
          <w:iCs/>
        </w:rPr>
        <w:t xml:space="preserve">C. </w:t>
      </w:r>
      <w:proofErr w:type="spellStart"/>
      <w:r w:rsidRPr="00846769">
        <w:rPr>
          <w:i/>
          <w:iCs/>
        </w:rPr>
        <w:t>smithiana</w:t>
      </w:r>
      <w:proofErr w:type="spellEnd"/>
      <w:r w:rsidRPr="00846769">
        <w:rPr>
          <w:i/>
          <w:iCs/>
        </w:rPr>
        <w:t xml:space="preserve">, </w:t>
      </w:r>
      <w:r w:rsidRPr="00846769">
        <w:t xml:space="preserve">and </w:t>
      </w:r>
      <w:proofErr w:type="spellStart"/>
      <w:r w:rsidRPr="00846769">
        <w:rPr>
          <w:i/>
          <w:iCs/>
        </w:rPr>
        <w:t>Lentidium</w:t>
      </w:r>
      <w:proofErr w:type="spellEnd"/>
      <w:r w:rsidRPr="00846769">
        <w:rPr>
          <w:i/>
          <w:iCs/>
        </w:rPr>
        <w:t xml:space="preserve"> </w:t>
      </w:r>
      <w:proofErr w:type="spellStart"/>
      <w:r w:rsidRPr="00846769">
        <w:rPr>
          <w:i/>
          <w:iCs/>
        </w:rPr>
        <w:t>origolacus</w:t>
      </w:r>
      <w:proofErr w:type="spellEnd"/>
      <w:r w:rsidRPr="00846769">
        <w:t xml:space="preserve">), </w:t>
      </w:r>
      <w:proofErr w:type="spellStart"/>
      <w:r w:rsidRPr="00846769">
        <w:t>Mactridae</w:t>
      </w:r>
      <w:proofErr w:type="spellEnd"/>
      <w:r w:rsidRPr="00846769">
        <w:t xml:space="preserve"> (</w:t>
      </w:r>
      <w:proofErr w:type="spellStart"/>
      <w:r w:rsidRPr="00846769">
        <w:rPr>
          <w:i/>
          <w:iCs/>
        </w:rPr>
        <w:t>Spisula</w:t>
      </w:r>
      <w:proofErr w:type="spellEnd"/>
      <w:r w:rsidRPr="00846769">
        <w:rPr>
          <w:i/>
          <w:iCs/>
        </w:rPr>
        <w:t xml:space="preserve"> </w:t>
      </w:r>
      <w:proofErr w:type="spellStart"/>
      <w:r w:rsidRPr="00846769">
        <w:rPr>
          <w:i/>
          <w:iCs/>
        </w:rPr>
        <w:t>trigonella</w:t>
      </w:r>
      <w:proofErr w:type="spellEnd"/>
      <w:r w:rsidRPr="00846769">
        <w:rPr>
          <w:i/>
          <w:iCs/>
        </w:rPr>
        <w:t xml:space="preserve"> </w:t>
      </w:r>
      <w:r w:rsidRPr="00846769">
        <w:t xml:space="preserve">and </w:t>
      </w:r>
      <w:proofErr w:type="spellStart"/>
      <w:r w:rsidRPr="00846769">
        <w:rPr>
          <w:i/>
          <w:iCs/>
        </w:rPr>
        <w:t>Mactra</w:t>
      </w:r>
      <w:proofErr w:type="spellEnd"/>
      <w:r w:rsidRPr="00846769">
        <w:rPr>
          <w:i/>
          <w:iCs/>
        </w:rPr>
        <w:t xml:space="preserve"> pura</w:t>
      </w:r>
      <w:r w:rsidRPr="00846769">
        <w:t xml:space="preserve">), and </w:t>
      </w:r>
      <w:proofErr w:type="spellStart"/>
      <w:r w:rsidRPr="00846769">
        <w:t>Mesodesmatidae</w:t>
      </w:r>
      <w:proofErr w:type="spellEnd"/>
      <w:r w:rsidRPr="00846769">
        <w:t xml:space="preserve"> (</w:t>
      </w:r>
      <w:proofErr w:type="spellStart"/>
      <w:r w:rsidRPr="00846769">
        <w:rPr>
          <w:i/>
          <w:iCs/>
        </w:rPr>
        <w:t>Paphies</w:t>
      </w:r>
      <w:proofErr w:type="spellEnd"/>
      <w:r w:rsidRPr="00846769">
        <w:rPr>
          <w:i/>
          <w:iCs/>
        </w:rPr>
        <w:t xml:space="preserve"> </w:t>
      </w:r>
      <w:r w:rsidRPr="00846769">
        <w:t xml:space="preserve">spp.). </w:t>
      </w:r>
    </w:p>
    <w:p w14:paraId="49A4F13E" w14:textId="34509168" w:rsidR="006F7483" w:rsidRPr="00846769" w:rsidRDefault="006F7483" w:rsidP="007208A6">
      <w:pPr>
        <w:pStyle w:val="Heading6"/>
        <w:spacing w:after="40"/>
        <w:rPr>
          <w:color w:val="262626" w:themeColor="text1" w:themeTint="D9"/>
        </w:rPr>
      </w:pPr>
      <w:r w:rsidRPr="00846769">
        <w:rPr>
          <w:color w:val="262626" w:themeColor="text1" w:themeTint="D9"/>
        </w:rPr>
        <w:t>Laboratory and molecular identification</w:t>
      </w:r>
    </w:p>
    <w:p w14:paraId="07437832" w14:textId="43785326" w:rsidR="00360246" w:rsidRPr="00846769" w:rsidRDefault="00360246" w:rsidP="00360246">
      <w:r w:rsidRPr="00846769">
        <w:t xml:space="preserve">A molecular phylogenetic </w:t>
      </w:r>
      <w:r w:rsidRPr="00246AE3">
        <w:t xml:space="preserve">study </w:t>
      </w:r>
      <w:r w:rsidRPr="008E6EB9">
        <w:t xml:space="preserve">by </w:t>
      </w:r>
      <w:r w:rsidRPr="00634A79">
        <w:t>Hallan et al. (2013)</w:t>
      </w:r>
      <w:r w:rsidRPr="00246AE3">
        <w:t xml:space="preserve"> included</w:t>
      </w:r>
      <w:r w:rsidRPr="00846769">
        <w:t xml:space="preserve"> </w:t>
      </w:r>
      <w:r w:rsidRPr="00846769">
        <w:rPr>
          <w:i/>
          <w:iCs/>
        </w:rPr>
        <w:t xml:space="preserve">V. gibba </w:t>
      </w:r>
      <w:r w:rsidRPr="00846769">
        <w:t xml:space="preserve">using 18S rRNA and 28S rRNA genes. </w:t>
      </w:r>
      <w:r w:rsidR="00587CC4">
        <w:t>A qPCR assay targeting the 28S gene region was developed for this species and applied to surveillance in 2015</w:t>
      </w:r>
      <w:r w:rsidR="003637A4">
        <w:rPr>
          <w:rFonts w:cstheme="minorHAnsi"/>
        </w:rPr>
        <w:t>‒</w:t>
      </w:r>
      <w:r w:rsidR="00587CC4">
        <w:t>2016 (</w:t>
      </w:r>
      <w:r w:rsidR="00587CC4" w:rsidRPr="00634A79">
        <w:t>Deveney et al. 2017; Wiltshire et al. 2017</w:t>
      </w:r>
      <w:proofErr w:type="gramStart"/>
      <w:r w:rsidR="00587CC4" w:rsidRPr="008E6EB9">
        <w:t>), but</w:t>
      </w:r>
      <w:proofErr w:type="gramEnd"/>
      <w:r w:rsidR="00587CC4">
        <w:t xml:space="preserve"> returned detections in areas without known occurrence of the species, including in Darwin, where water temperature is likely to exceed the species tolerance and hence occurrence is unlikely (Deveney et al. 2017). Subsequent assessment demonstrated the 28S assay for </w:t>
      </w:r>
      <w:r w:rsidR="00587CC4">
        <w:rPr>
          <w:i/>
          <w:iCs/>
        </w:rPr>
        <w:t xml:space="preserve">V. gibba </w:t>
      </w:r>
      <w:r w:rsidR="00587CC4">
        <w:t>was not specific (Wiltshire et al. 2023), and a new assay for this species, targeting the COI gene region, has been developed and operationally validated (Wiltshire et al. in pre</w:t>
      </w:r>
      <w:r w:rsidR="00E31076">
        <w:t>ss</w:t>
      </w:r>
      <w:r w:rsidR="00587CC4">
        <w:t>). The COI assay shows high sensitivity and specificity for Australian application (</w:t>
      </w:r>
      <w:r w:rsidR="001C0880">
        <w:t>Wiltshire et al. in press</w:t>
      </w:r>
      <w:r w:rsidR="00587CC4">
        <w:t xml:space="preserve">). </w:t>
      </w:r>
      <w:r w:rsidR="00587CC4" w:rsidRPr="00846769">
        <w:t xml:space="preserve"> </w:t>
      </w:r>
    </w:p>
    <w:p w14:paraId="668DD5C8" w14:textId="1DCB2EB7" w:rsidR="00360246" w:rsidRPr="00846769" w:rsidRDefault="00360246" w:rsidP="00360246">
      <w:pPr>
        <w:rPr>
          <w:rFonts w:cstheme="minorHAnsi"/>
        </w:rPr>
      </w:pPr>
      <w:r w:rsidRPr="00846769">
        <w:rPr>
          <w:rFonts w:cstheme="minorHAnsi"/>
        </w:rPr>
        <w:t>Refer to the guidelines for development and validation of assays for marine pests</w:t>
      </w:r>
      <w:r w:rsidRPr="00846769">
        <w:t xml:space="preserve"> for further information</w:t>
      </w:r>
      <w:r w:rsidRPr="00846769">
        <w:rPr>
          <w:rFonts w:cstheme="minorHAnsi"/>
        </w:rPr>
        <w:t xml:space="preserve"> and </w:t>
      </w:r>
      <w:hyperlink r:id="rId206" w:anchor=":~:text=Compendium%20of%20introduced%20marine%20pest%20molecular%20studies%20relevant%20to%20Australia,-Department%20of%20Agriculture&amp;text=This%20compendium%20provides%20a%20central,research%20and%20surveillance%20in%20Australia." w:history="1">
        <w:r w:rsidR="00587CC4" w:rsidRPr="00846769">
          <w:rPr>
            <w:rStyle w:val="Hyperlink"/>
            <w:rFonts w:cstheme="minorHAnsi"/>
          </w:rPr>
          <w:t>compendium of introduced marine pest molecular studies relevant to Australia</w:t>
        </w:r>
      </w:hyperlink>
      <w:r w:rsidRPr="00846769">
        <w:rPr>
          <w:rFonts w:cstheme="minorHAnsi"/>
        </w:rPr>
        <w:t>.</w:t>
      </w:r>
    </w:p>
    <w:p w14:paraId="4707A9E9" w14:textId="77777777" w:rsidR="006F7483" w:rsidRPr="00846769" w:rsidRDefault="006F7483" w:rsidP="007208A6">
      <w:pPr>
        <w:pStyle w:val="Heading5"/>
        <w:spacing w:after="120"/>
        <w:rPr>
          <w:color w:val="262626" w:themeColor="text1" w:themeTint="D9"/>
          <w:sz w:val="24"/>
          <w:szCs w:val="24"/>
        </w:rPr>
      </w:pPr>
      <w:r w:rsidRPr="00846769">
        <w:rPr>
          <w:color w:val="262626" w:themeColor="text1" w:themeTint="D9"/>
          <w:sz w:val="24"/>
          <w:szCs w:val="24"/>
        </w:rPr>
        <w:t>Life history and ecology</w:t>
      </w:r>
    </w:p>
    <w:p w14:paraId="0C0E3939" w14:textId="77777777" w:rsidR="006F7483" w:rsidRPr="00846769" w:rsidRDefault="006F7483" w:rsidP="007208A6">
      <w:pPr>
        <w:pStyle w:val="Heading6"/>
        <w:spacing w:after="40"/>
        <w:rPr>
          <w:color w:val="262626" w:themeColor="text1" w:themeTint="D9"/>
        </w:rPr>
      </w:pPr>
      <w:r w:rsidRPr="00846769">
        <w:rPr>
          <w:color w:val="262626" w:themeColor="text1" w:themeTint="D9"/>
        </w:rPr>
        <w:t>Life habit</w:t>
      </w:r>
    </w:p>
    <w:p w14:paraId="08761FF0" w14:textId="4B6A399E" w:rsidR="00F5735C" w:rsidRPr="00846769" w:rsidRDefault="00F5735C" w:rsidP="00F5735C">
      <w:r w:rsidRPr="00846769">
        <w:rPr>
          <w:i/>
          <w:iCs/>
        </w:rPr>
        <w:t xml:space="preserve">Varicorbula gibba </w:t>
      </w:r>
      <w:r w:rsidRPr="00846769">
        <w:t>is a shallow burrowing infaunal clam that inhabits thick, muddy sand. It can attach to gravel and stones by a single byssal thread and is highly tolerant of low oxygen levels and survives well in polluted environments.</w:t>
      </w:r>
      <w:r w:rsidR="00E6260A" w:rsidRPr="00846769">
        <w:t xml:space="preserve"> It usually inhabits the shallow sublittoral zone ranging from depths of 3 to 140 m.  </w:t>
      </w:r>
      <w:r w:rsidRPr="00846769">
        <w:t xml:space="preserve"> </w:t>
      </w:r>
    </w:p>
    <w:p w14:paraId="7DA58E2A" w14:textId="58AE1075" w:rsidR="007208A6" w:rsidRPr="008E6EB9" w:rsidRDefault="001124E5" w:rsidP="00F5735C">
      <w:r w:rsidRPr="00846769">
        <w:lastRenderedPageBreak/>
        <w:t xml:space="preserve">Temperature tolerances of adult </w:t>
      </w:r>
      <w:r w:rsidRPr="00846769">
        <w:rPr>
          <w:i/>
          <w:iCs/>
        </w:rPr>
        <w:t xml:space="preserve">V. gibba </w:t>
      </w:r>
      <w:r w:rsidRPr="00846769">
        <w:t xml:space="preserve">range </w:t>
      </w:r>
      <w:r w:rsidRPr="008E6EB9">
        <w:t xml:space="preserve">between </w:t>
      </w:r>
      <w:r w:rsidR="003637A4" w:rsidRPr="008E6EB9">
        <w:t>–</w:t>
      </w:r>
      <w:r w:rsidRPr="008E6EB9">
        <w:t>1 to 27</w:t>
      </w:r>
      <w:r w:rsidRPr="008E6EB9">
        <w:rPr>
          <w:rFonts w:cstheme="minorHAnsi"/>
        </w:rPr>
        <w:t>°</w:t>
      </w:r>
      <w:r w:rsidRPr="008E6EB9">
        <w:t>C (</w:t>
      </w:r>
      <w:r w:rsidR="001C1FE4" w:rsidRPr="00634A79">
        <w:t>Richmond et al. 2010</w:t>
      </w:r>
      <w:r w:rsidRPr="00634A79">
        <w:t>).</w:t>
      </w:r>
      <w:r w:rsidRPr="008E6EB9">
        <w:t xml:space="preserve"> </w:t>
      </w:r>
      <w:r w:rsidR="00ED05B4" w:rsidRPr="008E6EB9">
        <w:t>Adult growth has been observed at ambient water temperatures around the world between 8</w:t>
      </w:r>
      <w:r w:rsidR="003637A4" w:rsidRPr="008E6EB9">
        <w:rPr>
          <w:rFonts w:cstheme="minorHAnsi"/>
        </w:rPr>
        <w:t>‒</w:t>
      </w:r>
      <w:r w:rsidR="00ED05B4" w:rsidRPr="008E6EB9">
        <w:t>26</w:t>
      </w:r>
      <w:r w:rsidR="00ED05B4" w:rsidRPr="008E6EB9">
        <w:rPr>
          <w:rFonts w:cstheme="minorHAnsi"/>
        </w:rPr>
        <w:t>°</w:t>
      </w:r>
      <w:r w:rsidR="00ED05B4" w:rsidRPr="008E6EB9">
        <w:t>C (</w:t>
      </w:r>
      <w:r w:rsidR="00E36FCB" w:rsidRPr="008E6EB9">
        <w:t>Talman 2000</w:t>
      </w:r>
      <w:r w:rsidR="00ED05B4" w:rsidRPr="008E6EB9">
        <w:t>). Planktonic larvae have an optimum temperature of 15</w:t>
      </w:r>
      <w:r w:rsidR="003637A4" w:rsidRPr="008E6EB9">
        <w:rPr>
          <w:rFonts w:cstheme="minorHAnsi"/>
        </w:rPr>
        <w:t>‒</w:t>
      </w:r>
      <w:r w:rsidR="00ED05B4" w:rsidRPr="008E6EB9">
        <w:t>16</w:t>
      </w:r>
      <w:r w:rsidR="00ED05B4" w:rsidRPr="008E6EB9">
        <w:rPr>
          <w:rFonts w:cstheme="minorHAnsi"/>
        </w:rPr>
        <w:t>°</w:t>
      </w:r>
      <w:r w:rsidR="00ED05B4" w:rsidRPr="008E6EB9">
        <w:t>C (</w:t>
      </w:r>
      <w:r w:rsidR="00246AE3" w:rsidRPr="00634A79">
        <w:t>Jensen 1990</w:t>
      </w:r>
      <w:r w:rsidR="00ED05B4" w:rsidRPr="008E6EB9">
        <w:t xml:space="preserve">). </w:t>
      </w:r>
    </w:p>
    <w:p w14:paraId="2AEB111F" w14:textId="537B2905" w:rsidR="001124E5" w:rsidRPr="008E6EB9" w:rsidRDefault="007208A6" w:rsidP="00F5735C">
      <w:r w:rsidRPr="008E6EB9">
        <w:t xml:space="preserve">Adult </w:t>
      </w:r>
      <w:r w:rsidRPr="008E6EB9">
        <w:rPr>
          <w:i/>
          <w:iCs/>
        </w:rPr>
        <w:t xml:space="preserve">V. gibba </w:t>
      </w:r>
      <w:r w:rsidRPr="008E6EB9">
        <w:t xml:space="preserve">can survive salinity at 0 ppt for up to two days without mortality, and up to 10 days with increasing mortality (Holmes </w:t>
      </w:r>
      <w:r w:rsidR="00E36FCB" w:rsidRPr="008E6EB9">
        <w:t>&amp;</w:t>
      </w:r>
      <w:r w:rsidRPr="008E6EB9">
        <w:t xml:space="preserve"> Miller 2006). The following salinities have been recorded for survival of this species around the world: 26</w:t>
      </w:r>
      <w:r w:rsidR="003637A4" w:rsidRPr="008E6EB9">
        <w:t>–</w:t>
      </w:r>
      <w:r w:rsidRPr="008E6EB9">
        <w:t>39 ppt in ambient Port Phillip Bay (</w:t>
      </w:r>
      <w:r w:rsidRPr="00634A79">
        <w:t>Talman 2000),</w:t>
      </w:r>
      <w:r w:rsidRPr="008E6EB9">
        <w:t xml:space="preserve"> 28</w:t>
      </w:r>
      <w:r w:rsidR="003E0CB9" w:rsidRPr="008E6EB9">
        <w:rPr>
          <w:rFonts w:cstheme="minorHAnsi"/>
        </w:rPr>
        <w:t>‒</w:t>
      </w:r>
      <w:r w:rsidRPr="008E6EB9">
        <w:t xml:space="preserve">34 ppt in ambient </w:t>
      </w:r>
      <w:proofErr w:type="spellStart"/>
      <w:r w:rsidRPr="008E6EB9">
        <w:t>Limfjord</w:t>
      </w:r>
      <w:proofErr w:type="spellEnd"/>
      <w:r w:rsidRPr="008E6EB9">
        <w:t>, Denmark (Jensen 1990), 27</w:t>
      </w:r>
      <w:r w:rsidR="003E0CB9" w:rsidRPr="008E6EB9">
        <w:rPr>
          <w:rFonts w:cstheme="minorHAnsi"/>
        </w:rPr>
        <w:t>‒</w:t>
      </w:r>
      <w:r w:rsidRPr="008E6EB9">
        <w:t xml:space="preserve">32 ppt in ambient Denmark </w:t>
      </w:r>
      <w:r w:rsidR="00ED05B4" w:rsidRPr="008E6EB9">
        <w:t>(</w:t>
      </w:r>
      <w:r w:rsidRPr="00634A79">
        <w:t>Jensen 1988</w:t>
      </w:r>
      <w:r w:rsidRPr="008E6EB9">
        <w:t xml:space="preserve">). </w:t>
      </w:r>
      <w:r w:rsidR="00ED05B4" w:rsidRPr="008E6EB9">
        <w:t>Planktonic larvae can survive in up to 33.5 ppt (</w:t>
      </w:r>
      <w:r w:rsidR="00246AE3" w:rsidRPr="008E6EB9">
        <w:t>Jensen 1990</w:t>
      </w:r>
      <w:r w:rsidR="00ED05B4" w:rsidRPr="008E6EB9">
        <w:t xml:space="preserve">). </w:t>
      </w:r>
    </w:p>
    <w:p w14:paraId="4C91E877" w14:textId="67CD0F04" w:rsidR="00ED05B4" w:rsidRPr="008E6EB9" w:rsidRDefault="00ED05B4" w:rsidP="00F5735C">
      <w:pPr>
        <w:rPr>
          <w:u w:val="single"/>
        </w:rPr>
      </w:pPr>
      <w:r w:rsidRPr="008E6EB9">
        <w:rPr>
          <w:i/>
          <w:iCs/>
        </w:rPr>
        <w:t xml:space="preserve">Varicorbula gibba </w:t>
      </w:r>
      <w:r w:rsidRPr="008E6EB9">
        <w:t xml:space="preserve">is a ciliary suspension feeder that feeds on particulate organic matter, bacteria, and bottom living diatoms. Clams use the inhalant siphon to draw water containing food sources, and into the mantle cavity of the animal </w:t>
      </w:r>
      <w:r w:rsidRPr="00634A79">
        <w:t>(Yonge 1946</w:t>
      </w:r>
      <w:r w:rsidRPr="008E6EB9">
        <w:t xml:space="preserve">). </w:t>
      </w:r>
      <w:r w:rsidRPr="008E6EB9">
        <w:rPr>
          <w:i/>
          <w:iCs/>
        </w:rPr>
        <w:t xml:space="preserve">Varicorbula gibba </w:t>
      </w:r>
      <w:r w:rsidRPr="008E6EB9">
        <w:t xml:space="preserve">can compete with native bivalves for food and space. It is thought that </w:t>
      </w:r>
      <w:r w:rsidRPr="008E6EB9">
        <w:rPr>
          <w:i/>
          <w:iCs/>
        </w:rPr>
        <w:t xml:space="preserve">V. gibba </w:t>
      </w:r>
      <w:r w:rsidRPr="008E6EB9">
        <w:t xml:space="preserve">may compete with the scallop </w:t>
      </w:r>
      <w:r w:rsidRPr="008E6EB9">
        <w:rPr>
          <w:i/>
          <w:iCs/>
        </w:rPr>
        <w:t xml:space="preserve">Pecten </w:t>
      </w:r>
      <w:proofErr w:type="spellStart"/>
      <w:r w:rsidRPr="008E6EB9">
        <w:rPr>
          <w:i/>
          <w:iCs/>
        </w:rPr>
        <w:t>fumatus</w:t>
      </w:r>
      <w:proofErr w:type="spellEnd"/>
      <w:r w:rsidRPr="008E6EB9">
        <w:rPr>
          <w:i/>
          <w:iCs/>
        </w:rPr>
        <w:t xml:space="preserve"> </w:t>
      </w:r>
      <w:r w:rsidRPr="008E6EB9">
        <w:t xml:space="preserve">in deeper parts of Port Phillip Bay where </w:t>
      </w:r>
      <w:r w:rsidRPr="008E6EB9">
        <w:rPr>
          <w:i/>
          <w:iCs/>
        </w:rPr>
        <w:t xml:space="preserve">V. gibba </w:t>
      </w:r>
      <w:r w:rsidRPr="008E6EB9">
        <w:t xml:space="preserve">is abundant (Talman 1998). </w:t>
      </w:r>
    </w:p>
    <w:p w14:paraId="44318620" w14:textId="7A1AB0C4" w:rsidR="00F5735C" w:rsidRPr="008E6EB9" w:rsidRDefault="00F5735C" w:rsidP="00F5735C">
      <w:r w:rsidRPr="008E6EB9">
        <w:t xml:space="preserve">Predators of </w:t>
      </w:r>
      <w:r w:rsidR="00ED05B4" w:rsidRPr="008E6EB9">
        <w:rPr>
          <w:i/>
          <w:iCs/>
        </w:rPr>
        <w:t>V. gibba</w:t>
      </w:r>
      <w:r w:rsidRPr="008E6EB9">
        <w:rPr>
          <w:i/>
          <w:iCs/>
        </w:rPr>
        <w:t xml:space="preserve"> </w:t>
      </w:r>
      <w:r w:rsidRPr="008E6EB9">
        <w:t xml:space="preserve">include </w:t>
      </w:r>
      <w:r w:rsidR="00ED05B4" w:rsidRPr="008E6EB9">
        <w:t xml:space="preserve">gastropods, crustaceans, fish, and echinoderms. </w:t>
      </w:r>
      <w:r w:rsidR="00246AE3" w:rsidRPr="008E6EB9">
        <w:t>The c</w:t>
      </w:r>
      <w:r w:rsidR="00ED05B4" w:rsidRPr="008E6EB9">
        <w:t>lams are also a food source for common E</w:t>
      </w:r>
      <w:r w:rsidR="00AD5C46">
        <w:t>i</w:t>
      </w:r>
      <w:r w:rsidR="00246AE3" w:rsidRPr="008E6EB9">
        <w:t>d</w:t>
      </w:r>
      <w:r w:rsidR="00ED05B4" w:rsidRPr="008E6EB9">
        <w:t>er ducks (</w:t>
      </w:r>
      <w:r w:rsidR="00ED05B4" w:rsidRPr="008E6EB9">
        <w:rPr>
          <w:i/>
          <w:iCs/>
        </w:rPr>
        <w:t xml:space="preserve">Somateria </w:t>
      </w:r>
      <w:proofErr w:type="spellStart"/>
      <w:r w:rsidR="00ED05B4" w:rsidRPr="008E6EB9">
        <w:rPr>
          <w:i/>
          <w:iCs/>
        </w:rPr>
        <w:t>mollissima</w:t>
      </w:r>
      <w:proofErr w:type="spellEnd"/>
      <w:r w:rsidR="00ED05B4" w:rsidRPr="008E6EB9">
        <w:t>) overseas</w:t>
      </w:r>
      <w:r w:rsidR="00246AE3" w:rsidRPr="008E6EB9">
        <w:t>.</w:t>
      </w:r>
    </w:p>
    <w:p w14:paraId="16DA8846" w14:textId="77777777" w:rsidR="006F7483" w:rsidRPr="008E6EB9" w:rsidRDefault="006F7483" w:rsidP="007208A6">
      <w:pPr>
        <w:pStyle w:val="Heading6"/>
        <w:spacing w:after="40"/>
        <w:rPr>
          <w:color w:val="262626" w:themeColor="text1" w:themeTint="D9"/>
        </w:rPr>
      </w:pPr>
      <w:r w:rsidRPr="008E6EB9">
        <w:rPr>
          <w:color w:val="262626" w:themeColor="text1" w:themeTint="D9"/>
        </w:rPr>
        <w:t>Reproduction and growth</w:t>
      </w:r>
    </w:p>
    <w:p w14:paraId="20857DA9" w14:textId="3BD1ABB3" w:rsidR="00B27001" w:rsidRPr="00846769" w:rsidRDefault="00B27001" w:rsidP="00B27001">
      <w:r w:rsidRPr="008E6EB9">
        <w:rPr>
          <w:i/>
          <w:iCs/>
        </w:rPr>
        <w:t xml:space="preserve">Varicorbula gibba </w:t>
      </w:r>
      <w:r w:rsidRPr="008E6EB9">
        <w:t>has separate sexes and are broadcast spawners. In the northern hemisphere, reproduction and settlement take place in summer and autumn, although larvae have been found in winter. Growth rate of clams is about 4</w:t>
      </w:r>
      <w:r w:rsidR="003E0CB9" w:rsidRPr="008E6EB9">
        <w:rPr>
          <w:rFonts w:cstheme="minorHAnsi"/>
        </w:rPr>
        <w:t>‒</w:t>
      </w:r>
      <w:r w:rsidRPr="008E6EB9">
        <w:t xml:space="preserve">7 mm per year depending on location. The lifespan of </w:t>
      </w:r>
      <w:r w:rsidRPr="008E6EB9">
        <w:rPr>
          <w:i/>
          <w:iCs/>
        </w:rPr>
        <w:t>V.</w:t>
      </w:r>
      <w:r w:rsidR="00FF70DD">
        <w:rPr>
          <w:i/>
          <w:iCs/>
        </w:rPr>
        <w:t> </w:t>
      </w:r>
      <w:r w:rsidRPr="008E6EB9">
        <w:rPr>
          <w:i/>
          <w:iCs/>
        </w:rPr>
        <w:t xml:space="preserve">gibba </w:t>
      </w:r>
      <w:r w:rsidRPr="008E6EB9">
        <w:t>is about 1</w:t>
      </w:r>
      <w:r w:rsidR="003637A4" w:rsidRPr="008E6EB9">
        <w:rPr>
          <w:rFonts w:cstheme="minorHAnsi"/>
        </w:rPr>
        <w:t>‒</w:t>
      </w:r>
      <w:r w:rsidRPr="008E6EB9">
        <w:t xml:space="preserve">2 years, but clams </w:t>
      </w:r>
      <w:r w:rsidR="00AD5C46" w:rsidRPr="008E6EB9">
        <w:t>c</w:t>
      </w:r>
      <w:r w:rsidR="00AD5C46">
        <w:t>an</w:t>
      </w:r>
      <w:r w:rsidR="00AD5C46" w:rsidRPr="008E6EB9">
        <w:t xml:space="preserve"> </w:t>
      </w:r>
      <w:r w:rsidRPr="008E6EB9">
        <w:t>reach 5 years of age (Jensen 1990). Recruitment is possibly influenced by adult-larval dynamics, with higher numbers of adults resulting in lower numbers of recruits (</w:t>
      </w:r>
      <w:r w:rsidRPr="00634A79">
        <w:t>Rueda et al. 2001).</w:t>
      </w:r>
      <w:r w:rsidRPr="00846769">
        <w:t xml:space="preserve"> </w:t>
      </w:r>
    </w:p>
    <w:p w14:paraId="62C2B281" w14:textId="77777777" w:rsidR="006F7483" w:rsidRPr="00846769" w:rsidRDefault="006F7483" w:rsidP="00E37AD0">
      <w:pPr>
        <w:pStyle w:val="Heading6"/>
        <w:spacing w:after="40"/>
        <w:rPr>
          <w:color w:val="262626" w:themeColor="text1" w:themeTint="D9"/>
        </w:rPr>
      </w:pPr>
      <w:r w:rsidRPr="00846769">
        <w:rPr>
          <w:color w:val="262626" w:themeColor="text1" w:themeTint="D9"/>
        </w:rPr>
        <w:t>Pathways and vectors</w:t>
      </w:r>
    </w:p>
    <w:p w14:paraId="7977DB77" w14:textId="5543D702" w:rsidR="00ED05B4" w:rsidRPr="00846769" w:rsidRDefault="00E37AD0" w:rsidP="00ED05B4">
      <w:r w:rsidRPr="00846769">
        <w:rPr>
          <w:i/>
          <w:iCs/>
        </w:rPr>
        <w:t xml:space="preserve">Varicorbula gibba </w:t>
      </w:r>
      <w:r w:rsidRPr="00846769">
        <w:t xml:space="preserve">is thought to have been transported via shipping activities. As an infaunal clam, it is unlikely to be spread via biofouling, and shipping ballast water or ballast tank sediments are the likely source of introduction into Australia. It is believed that </w:t>
      </w:r>
      <w:r w:rsidRPr="00846769">
        <w:rPr>
          <w:i/>
          <w:iCs/>
        </w:rPr>
        <w:t xml:space="preserve">V. gibba </w:t>
      </w:r>
      <w:r w:rsidRPr="00846769">
        <w:t xml:space="preserve">was transported to Tasmania from Victoria via domestic shipping as a </w:t>
      </w:r>
      <w:r w:rsidRPr="00246AE3">
        <w:t>secondary pathway (Derwent Estuary Program 2008).</w:t>
      </w:r>
      <w:r w:rsidRPr="00846769">
        <w:t xml:space="preserve"> </w:t>
      </w:r>
      <w:r w:rsidR="001C1FE4" w:rsidRPr="00846769">
        <w:t>It is not known how it was introduced into South Australia</w:t>
      </w:r>
      <w:r w:rsidR="00AD5C46">
        <w:t>.</w:t>
      </w:r>
    </w:p>
    <w:p w14:paraId="2F5B75CB" w14:textId="5C9D5244" w:rsidR="006F7483" w:rsidRPr="00846769" w:rsidRDefault="006F7483" w:rsidP="006F7483">
      <w:pPr>
        <w:pStyle w:val="Heading6"/>
        <w:rPr>
          <w:color w:val="262626" w:themeColor="text1" w:themeTint="D9"/>
        </w:rPr>
      </w:pPr>
      <w:r w:rsidRPr="00846769">
        <w:rPr>
          <w:color w:val="262626" w:themeColor="text1" w:themeTint="D9"/>
        </w:rPr>
        <w:t>Potential impacts</w:t>
      </w:r>
    </w:p>
    <w:p w14:paraId="222E04BA" w14:textId="16BB0012" w:rsidR="00ED05B4" w:rsidRPr="00846769" w:rsidRDefault="00DE1C98" w:rsidP="00ED05B4">
      <w:r w:rsidRPr="00846769">
        <w:t xml:space="preserve">There are no reports of adverse environmental impacts in the native range of </w:t>
      </w:r>
      <w:r w:rsidRPr="00846769">
        <w:rPr>
          <w:i/>
          <w:iCs/>
        </w:rPr>
        <w:t xml:space="preserve">V. gibba </w:t>
      </w:r>
      <w:r w:rsidRPr="00846769">
        <w:t>(</w:t>
      </w:r>
      <w:r w:rsidR="00F47511">
        <w:t xml:space="preserve">Richard </w:t>
      </w:r>
      <w:r w:rsidRPr="00846769">
        <w:t>Willan</w:t>
      </w:r>
      <w:r w:rsidR="00F47511">
        <w:t xml:space="preserve"> [MAGNT]</w:t>
      </w:r>
      <w:r w:rsidRPr="00846769">
        <w:t>, pers. comm.</w:t>
      </w:r>
      <w:r w:rsidR="00F47511">
        <w:t>, April 2023</w:t>
      </w:r>
      <w:r w:rsidRPr="00846769">
        <w:t xml:space="preserve">). It is suggested to be an inferior competitor, especially in habitats with normal oxygen levels, and only becomes dominant when environmental conditions become </w:t>
      </w:r>
      <w:r w:rsidRPr="00246AE3">
        <w:t xml:space="preserve">hypoxic (Holmes </w:t>
      </w:r>
      <w:r w:rsidR="00E36FCB" w:rsidRPr="00246AE3">
        <w:t>&amp;</w:t>
      </w:r>
      <w:r w:rsidRPr="00246AE3">
        <w:t xml:space="preserve"> Miller 2006). In</w:t>
      </w:r>
      <w:r w:rsidRPr="00846769">
        <w:t xml:space="preserve"> Australia, there was concern that densities of </w:t>
      </w:r>
      <w:r w:rsidRPr="00846769">
        <w:rPr>
          <w:i/>
          <w:iCs/>
        </w:rPr>
        <w:t xml:space="preserve">V. gibba </w:t>
      </w:r>
      <w:r w:rsidRPr="00846769">
        <w:t xml:space="preserve">in certain localities could “alter the ecology” of native benthic </w:t>
      </w:r>
      <w:r w:rsidRPr="00246AE3">
        <w:t xml:space="preserve">communities as it is a suspension feeder that occupies the same depth stratum as many endemic benthic </w:t>
      </w:r>
      <w:r w:rsidRPr="008E6EB9">
        <w:t>species (</w:t>
      </w:r>
      <w:r w:rsidRPr="00634A79">
        <w:t xml:space="preserve">Talman </w:t>
      </w:r>
      <w:r w:rsidR="00E36FCB" w:rsidRPr="00634A79">
        <w:t>&amp;</w:t>
      </w:r>
      <w:r w:rsidRPr="00634A79">
        <w:t xml:space="preserve"> Keough </w:t>
      </w:r>
      <w:r w:rsidR="00246AE3" w:rsidRPr="00634A79">
        <w:t>2001</w:t>
      </w:r>
      <w:r w:rsidRPr="008E6EB9">
        <w:t>). It</w:t>
      </w:r>
      <w:r w:rsidRPr="00846769">
        <w:t xml:space="preserve"> is believed that </w:t>
      </w:r>
      <w:r w:rsidRPr="00846769">
        <w:rPr>
          <w:i/>
          <w:iCs/>
        </w:rPr>
        <w:t xml:space="preserve">V. gibba </w:t>
      </w:r>
      <w:r w:rsidRPr="00846769">
        <w:t xml:space="preserve">had a significant impact on the size and growth of scallops in Port Phillip Bay </w:t>
      </w:r>
      <w:r w:rsidRPr="00246AE3">
        <w:t xml:space="preserve">(Talman </w:t>
      </w:r>
      <w:r w:rsidR="00E36FCB" w:rsidRPr="00246AE3">
        <w:t>&amp;</w:t>
      </w:r>
      <w:r w:rsidRPr="00246AE3">
        <w:t xml:space="preserve"> Keough 2001).</w:t>
      </w:r>
      <w:r w:rsidRPr="00846769">
        <w:t xml:space="preserve"> </w:t>
      </w:r>
    </w:p>
    <w:p w14:paraId="471F72A0" w14:textId="7C3717F8" w:rsidR="00DE1C98" w:rsidRPr="00846769" w:rsidRDefault="00DE1C98" w:rsidP="00ED05B4">
      <w:r w:rsidRPr="00846769">
        <w:t xml:space="preserve">In 2008, a </w:t>
      </w:r>
      <w:hyperlink r:id="rId207" w:history="1">
        <w:r w:rsidRPr="00846769">
          <w:rPr>
            <w:rStyle w:val="Hyperlink"/>
          </w:rPr>
          <w:t>National Control Plan (NCP)</w:t>
        </w:r>
      </w:hyperlink>
      <w:r w:rsidRPr="00846769">
        <w:t xml:space="preserve"> was developed for </w:t>
      </w:r>
      <w:r w:rsidRPr="00846769">
        <w:rPr>
          <w:i/>
          <w:iCs/>
        </w:rPr>
        <w:t xml:space="preserve">V. gibba </w:t>
      </w:r>
      <w:r w:rsidRPr="00846769">
        <w:t xml:space="preserve">in Australia. The NCP states that economic and environmental impacts of this species is likely to be ‘low.’ Overseas, there is strong evidence that </w:t>
      </w:r>
      <w:r w:rsidRPr="00846769">
        <w:rPr>
          <w:i/>
          <w:iCs/>
        </w:rPr>
        <w:t xml:space="preserve">V. gibba </w:t>
      </w:r>
      <w:r w:rsidRPr="00846769">
        <w:t xml:space="preserve">establishes in high densities in response to habitat degradation and hypoxia </w:t>
      </w:r>
      <w:r w:rsidRPr="00846769">
        <w:lastRenderedPageBreak/>
        <w:t xml:space="preserve">but will not dominate in undisturbed </w:t>
      </w:r>
      <w:r w:rsidRPr="008E6EB9">
        <w:t>environments. There has been little evidence of this occurring in Australian populations, however “boom and bust” cycles have been observed (</w:t>
      </w:r>
      <w:r w:rsidRPr="00634A79">
        <w:t>Edgar</w:t>
      </w:r>
      <w:r w:rsidR="007F3FF4" w:rsidRPr="00634A79">
        <w:t xml:space="preserve">, Davey &amp; Shepherd </w:t>
      </w:r>
      <w:r w:rsidR="00E37AD0" w:rsidRPr="00634A79">
        <w:t>2009</w:t>
      </w:r>
      <w:r w:rsidR="00E37AD0" w:rsidRPr="008E6EB9">
        <w:t>)</w:t>
      </w:r>
      <w:r w:rsidRPr="008E6EB9">
        <w:t>.</w:t>
      </w:r>
      <w:r w:rsidRPr="00846769">
        <w:t xml:space="preserve"> </w:t>
      </w:r>
    </w:p>
    <w:p w14:paraId="30DE5631" w14:textId="77777777" w:rsidR="006F7483" w:rsidRPr="00846769" w:rsidRDefault="006F7483" w:rsidP="00E37AD0">
      <w:pPr>
        <w:pStyle w:val="Heading5"/>
        <w:spacing w:after="40"/>
        <w:rPr>
          <w:color w:val="262626" w:themeColor="text1" w:themeTint="D9"/>
          <w:sz w:val="24"/>
          <w:szCs w:val="24"/>
        </w:rPr>
      </w:pPr>
      <w:r w:rsidRPr="00846769">
        <w:rPr>
          <w:color w:val="262626" w:themeColor="text1" w:themeTint="D9"/>
          <w:sz w:val="24"/>
          <w:szCs w:val="24"/>
        </w:rPr>
        <w:t>Global and Australian distribution</w:t>
      </w:r>
    </w:p>
    <w:p w14:paraId="6DE89254" w14:textId="346FB2F9" w:rsidR="009B6A9A" w:rsidRPr="00846769" w:rsidRDefault="009B6A9A" w:rsidP="004E5649">
      <w:pPr>
        <w:rPr>
          <w:i/>
          <w:iCs/>
        </w:rPr>
      </w:pPr>
      <w:r w:rsidRPr="00846769">
        <w:rPr>
          <w:i/>
          <w:iCs/>
        </w:rPr>
        <w:t xml:space="preserve">Varicorbula gibba </w:t>
      </w:r>
      <w:r w:rsidRPr="00846769">
        <w:t>is native between Norway and the Mediterranean</w:t>
      </w:r>
      <w:r w:rsidR="00E37AD0" w:rsidRPr="00846769">
        <w:t xml:space="preserve"> Sea</w:t>
      </w:r>
      <w:r w:rsidR="00DA29A1" w:rsidRPr="00846769">
        <w:t xml:space="preserve">. </w:t>
      </w:r>
      <w:r w:rsidRPr="00846769">
        <w:t xml:space="preserve">Specifically, it has been recorded along the Atlantic Coast from the Norwegian Sea to Northern Island and the Iberian Peninsula, and is also found in the Mediterranean, Adriatic, and </w:t>
      </w:r>
      <w:r w:rsidRPr="007F3FF4">
        <w:t xml:space="preserve">Baltic </w:t>
      </w:r>
      <w:r w:rsidRPr="008E6EB9">
        <w:t>Seas (</w:t>
      </w:r>
      <w:r w:rsidRPr="00634A79">
        <w:t>Mirjana 2006</w:t>
      </w:r>
      <w:r w:rsidRPr="008E6EB9">
        <w:t>).</w:t>
      </w:r>
      <w:r w:rsidRPr="007F3FF4">
        <w:t xml:space="preserve"> The</w:t>
      </w:r>
      <w:r w:rsidRPr="00846769">
        <w:t xml:space="preserve"> species is only known to be introduced to Australia outside of its native European range. In Australia, it was first found in Victoria, then Tasmania, then South Australia</w:t>
      </w:r>
      <w:r w:rsidR="00DA29A1" w:rsidRPr="00846769">
        <w:t xml:space="preserve"> (</w:t>
      </w:r>
      <w:r w:rsidR="00C131A0">
        <w:fldChar w:fldCharType="begin"/>
      </w:r>
      <w:r w:rsidR="00C131A0">
        <w:instrText xml:space="preserve"> REF _Ref189491650 \h </w:instrText>
      </w:r>
      <w:r w:rsidR="00C131A0">
        <w:fldChar w:fldCharType="separate"/>
      </w:r>
      <w:r w:rsidR="00C131A0" w:rsidRPr="00846769">
        <w:t xml:space="preserve">Map </w:t>
      </w:r>
      <w:r w:rsidR="00C131A0">
        <w:rPr>
          <w:noProof/>
        </w:rPr>
        <w:t>3</w:t>
      </w:r>
      <w:r w:rsidR="00C131A0">
        <w:fldChar w:fldCharType="end"/>
      </w:r>
      <w:r w:rsidR="00DA29A1" w:rsidRPr="00846769">
        <w:t>)</w:t>
      </w:r>
      <w:r w:rsidRPr="00846769">
        <w:t xml:space="preserve">. It is the first introduced corbulid to establish in Australia. </w:t>
      </w:r>
      <w:r w:rsidR="0083658B">
        <w:t xml:space="preserve">Species range mapping from ABARES shows that the southern half of Australia, from Shark Bay in WA to Bundaberg in QLD, is potentially suitable for </w:t>
      </w:r>
      <w:r w:rsidR="0083658B">
        <w:rPr>
          <w:i/>
          <w:iCs/>
        </w:rPr>
        <w:t xml:space="preserve">V. gibba </w:t>
      </w:r>
      <w:r w:rsidR="0083658B">
        <w:t>establishment (</w:t>
      </w:r>
      <w:r w:rsidR="0083658B">
        <w:fldChar w:fldCharType="begin"/>
      </w:r>
      <w:r w:rsidR="0083658B">
        <w:instrText xml:space="preserve"> REF _Ref189491911 \h </w:instrText>
      </w:r>
      <w:r w:rsidR="0083658B">
        <w:fldChar w:fldCharType="separate"/>
      </w:r>
      <w:r w:rsidR="0083658B">
        <w:t xml:space="preserve">Map </w:t>
      </w:r>
      <w:r w:rsidR="0083658B">
        <w:rPr>
          <w:noProof/>
        </w:rPr>
        <w:t>4</w:t>
      </w:r>
      <w:r w:rsidR="0083658B">
        <w:fldChar w:fldCharType="end"/>
      </w:r>
      <w:r w:rsidR="0083658B">
        <w:t>).</w:t>
      </w:r>
    </w:p>
    <w:p w14:paraId="6CCC42C3" w14:textId="0E75D06F" w:rsidR="006C5232" w:rsidRPr="00846769" w:rsidRDefault="006C5232" w:rsidP="006C5232">
      <w:pPr>
        <w:pStyle w:val="Caption"/>
      </w:pPr>
      <w:bookmarkStart w:id="598" w:name="_Ref189491650"/>
      <w:bookmarkStart w:id="599" w:name="_Ref171943808"/>
      <w:bookmarkStart w:id="600" w:name="_Toc191999557"/>
      <w:r w:rsidRPr="00846769">
        <w:t xml:space="preserve">Map </w:t>
      </w:r>
      <w:r w:rsidR="003F066A">
        <w:fldChar w:fldCharType="begin"/>
      </w:r>
      <w:r w:rsidR="003F066A">
        <w:instrText xml:space="preserve"> SEQ Map \* ARABIC </w:instrText>
      </w:r>
      <w:r w:rsidR="003F066A">
        <w:fldChar w:fldCharType="separate"/>
      </w:r>
      <w:r w:rsidR="003F066A">
        <w:rPr>
          <w:noProof/>
        </w:rPr>
        <w:t>3</w:t>
      </w:r>
      <w:r w:rsidR="003F066A">
        <w:fldChar w:fldCharType="end"/>
      </w:r>
      <w:bookmarkEnd w:id="598"/>
      <w:bookmarkEnd w:id="599"/>
      <w:r w:rsidRPr="00846769">
        <w:t xml:space="preserve"> </w:t>
      </w:r>
      <w:r w:rsidR="00587CC4" w:rsidRPr="00846769">
        <w:rPr>
          <w:color w:val="262626" w:themeColor="text1" w:themeTint="D9"/>
        </w:rPr>
        <w:t xml:space="preserve">Known global distribution of </w:t>
      </w:r>
      <w:r w:rsidR="00587CC4" w:rsidRPr="00846769">
        <w:rPr>
          <w:i/>
          <w:iCs/>
          <w:color w:val="262626" w:themeColor="text1" w:themeTint="D9"/>
        </w:rPr>
        <w:t>Varicorbula gibba</w:t>
      </w:r>
      <w:bookmarkEnd w:id="600"/>
    </w:p>
    <w:p w14:paraId="0642A06F" w14:textId="4BE393FF" w:rsidR="004E5649" w:rsidRPr="00846769" w:rsidRDefault="004E5649" w:rsidP="004E5649">
      <w:r w:rsidRPr="00846769">
        <w:rPr>
          <w:noProof/>
        </w:rPr>
        <w:drawing>
          <wp:inline distT="0" distB="0" distL="0" distR="0" wp14:anchorId="74B16E42" wp14:editId="7C286095">
            <wp:extent cx="5731510" cy="2826907"/>
            <wp:effectExtent l="0" t="0" r="2540" b="0"/>
            <wp:docPr id="1315857624" name="Picture 1" descr="Greyscale world map for the known global distribution of Varicorbula gibba. Distribution is shown in blue circles, yellow diamonds, and red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57624" name="Picture 1" descr="Greyscale world map for the known global distribution of Varicorbula gibba. Distribution is shown in blue circles, yellow diamonds, and red triangles. "/>
                    <pic:cNvPicPr/>
                  </pic:nvPicPr>
                  <pic:blipFill>
                    <a:blip r:embed="rId208" cstate="email">
                      <a:extLst>
                        <a:ext uri="{28A0092B-C50C-407E-A947-70E740481C1C}">
                          <a14:useLocalDpi xmlns:a14="http://schemas.microsoft.com/office/drawing/2010/main" val="0"/>
                        </a:ext>
                      </a:extLst>
                    </a:blip>
                    <a:stretch>
                      <a:fillRect/>
                    </a:stretch>
                  </pic:blipFill>
                  <pic:spPr>
                    <a:xfrm>
                      <a:off x="0" y="0"/>
                      <a:ext cx="5731510" cy="2826907"/>
                    </a:xfrm>
                    <a:prstGeom prst="rect">
                      <a:avLst/>
                    </a:prstGeom>
                  </pic:spPr>
                </pic:pic>
              </a:graphicData>
            </a:graphic>
          </wp:inline>
        </w:drawing>
      </w:r>
    </w:p>
    <w:p w14:paraId="6F72DACD" w14:textId="19F4C135" w:rsidR="00CA4D62" w:rsidRDefault="00CA4D62" w:rsidP="00CA4D62">
      <w:pPr>
        <w:pStyle w:val="FigureTableNoteSource"/>
      </w:pPr>
      <w:r w:rsidRPr="00846769">
        <w:rPr>
          <w:rStyle w:val="Emphasis"/>
          <w:b/>
          <w:bCs/>
          <w:i w:val="0"/>
          <w:iCs w:val="0"/>
          <w:color w:val="262626" w:themeColor="text1" w:themeTint="D9"/>
        </w:rPr>
        <w:t>Data source:</w:t>
      </w:r>
      <w:r w:rsidRPr="00846769">
        <w:rPr>
          <w:rStyle w:val="Emphasis"/>
          <w:color w:val="262626" w:themeColor="text1" w:themeTint="D9"/>
        </w:rPr>
        <w:t xml:space="preserve"> </w:t>
      </w:r>
      <w:r w:rsidRPr="00846769">
        <w:t>GBIF.org (1</w:t>
      </w:r>
      <w:r w:rsidR="00B8676E" w:rsidRPr="00846769">
        <w:t xml:space="preserve">7 </w:t>
      </w:r>
      <w:r w:rsidRPr="00846769">
        <w:t>May 2024) GBIF Occurrence Download: </w:t>
      </w:r>
      <w:hyperlink r:id="rId209" w:history="1">
        <w:r w:rsidR="00F4447C" w:rsidRPr="00E642E2">
          <w:rPr>
            <w:rStyle w:val="Hyperlink"/>
            <w:sz w:val="18"/>
          </w:rPr>
          <w:t>https://doi.org/10.15468/dl.gkb79k</w:t>
        </w:r>
      </w:hyperlink>
    </w:p>
    <w:p w14:paraId="5C3A678C" w14:textId="065E1576" w:rsidR="00F7769F" w:rsidRDefault="00F7769F" w:rsidP="00F7769F">
      <w:pPr>
        <w:pStyle w:val="Caption"/>
      </w:pPr>
      <w:bookmarkStart w:id="601" w:name="_Ref189491911"/>
      <w:bookmarkStart w:id="602" w:name="_Toc191999558"/>
      <w:r>
        <w:lastRenderedPageBreak/>
        <w:t xml:space="preserve">Map </w:t>
      </w:r>
      <w:r>
        <w:fldChar w:fldCharType="begin"/>
      </w:r>
      <w:r>
        <w:instrText xml:space="preserve"> SEQ Map \* ARABIC </w:instrText>
      </w:r>
      <w:r>
        <w:fldChar w:fldCharType="separate"/>
      </w:r>
      <w:r>
        <w:rPr>
          <w:noProof/>
        </w:rPr>
        <w:t>4</w:t>
      </w:r>
      <w:r>
        <w:fldChar w:fldCharType="end"/>
      </w:r>
      <w:bookmarkEnd w:id="601"/>
      <w:r w:rsidR="00031CEC">
        <w:t xml:space="preserve"> Maximum potential range of </w:t>
      </w:r>
      <w:r w:rsidR="00031CEC">
        <w:rPr>
          <w:i/>
          <w:iCs/>
        </w:rPr>
        <w:t xml:space="preserve">Varicorbula gibba </w:t>
      </w:r>
      <w:r w:rsidR="00031CEC">
        <w:t>in Australian waters, indicating areas of potential suitability in red, and potential unsuitability in green</w:t>
      </w:r>
      <w:bookmarkEnd w:id="602"/>
    </w:p>
    <w:p w14:paraId="58FFC416" w14:textId="760E8CAA" w:rsidR="00F4447C" w:rsidRDefault="00F7769F" w:rsidP="00F4447C">
      <w:r>
        <w:rPr>
          <w:noProof/>
        </w:rPr>
        <w:drawing>
          <wp:inline distT="0" distB="0" distL="0" distR="0" wp14:anchorId="27374195" wp14:editId="64F3E86C">
            <wp:extent cx="5590293" cy="3933825"/>
            <wp:effectExtent l="0" t="0" r="0" b="0"/>
            <wp:docPr id="1242617247" name="Picture 2" descr="Red and green map of Australia showing the potential range for Varicorbula gi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17247" name="Picture 2" descr="Red and green map of Australia showing the potential range for Varicorbula gibba."/>
                    <pic:cNvPicPr/>
                  </pic:nvPicPr>
                  <pic:blipFill rotWithShape="1">
                    <a:blip r:embed="rId210" cstate="email">
                      <a:extLst>
                        <a:ext uri="{28A0092B-C50C-407E-A947-70E740481C1C}">
                          <a14:useLocalDpi xmlns:a14="http://schemas.microsoft.com/office/drawing/2010/main" val="0"/>
                        </a:ext>
                      </a:extLst>
                    </a:blip>
                    <a:srcRect/>
                    <a:stretch/>
                  </pic:blipFill>
                  <pic:spPr bwMode="auto">
                    <a:xfrm>
                      <a:off x="0" y="0"/>
                      <a:ext cx="5592177" cy="3935151"/>
                    </a:xfrm>
                    <a:prstGeom prst="rect">
                      <a:avLst/>
                    </a:prstGeom>
                    <a:ln>
                      <a:noFill/>
                    </a:ln>
                    <a:extLst>
                      <a:ext uri="{53640926-AAD7-44D8-BBD7-CCE9431645EC}">
                        <a14:shadowObscured xmlns:a14="http://schemas.microsoft.com/office/drawing/2010/main"/>
                      </a:ext>
                    </a:extLst>
                  </pic:spPr>
                </pic:pic>
              </a:graphicData>
            </a:graphic>
          </wp:inline>
        </w:drawing>
      </w:r>
    </w:p>
    <w:p w14:paraId="5B38E3AB" w14:textId="151344E6" w:rsidR="00031CEC" w:rsidRPr="00F4447C" w:rsidRDefault="0014758C" w:rsidP="0014758C">
      <w:pPr>
        <w:pStyle w:val="FigureTableNoteSource"/>
      </w:pPr>
      <w:r w:rsidRPr="00846769">
        <w:rPr>
          <w:rStyle w:val="Emphasis"/>
          <w:b/>
          <w:bCs/>
          <w:i w:val="0"/>
          <w:iCs w:val="0"/>
        </w:rPr>
        <w:t>Data source</w:t>
      </w:r>
      <w:r w:rsidRPr="00846769">
        <w:rPr>
          <w:rStyle w:val="Emphasis"/>
          <w:i w:val="0"/>
          <w:iCs w:val="0"/>
        </w:rPr>
        <w:t>:</w:t>
      </w:r>
      <w:r w:rsidRPr="00846769">
        <w:rPr>
          <w:rStyle w:val="Emphasis"/>
        </w:rPr>
        <w:t xml:space="preserve"> </w:t>
      </w:r>
      <w:r>
        <w:rPr>
          <w:rStyle w:val="Emphasis"/>
          <w:i w:val="0"/>
          <w:iCs w:val="0"/>
        </w:rPr>
        <w:t>Australian Bureau of Agricultural and Resource Economics and Sciences (</w:t>
      </w:r>
      <w:r>
        <w:t>ABARES) 2021</w:t>
      </w:r>
    </w:p>
    <w:p w14:paraId="4BC9BA52" w14:textId="77777777" w:rsidR="006F7483" w:rsidRPr="00846769" w:rsidRDefault="006F7483" w:rsidP="00ED05B4">
      <w:pPr>
        <w:pStyle w:val="Heading5"/>
        <w:spacing w:after="40"/>
        <w:ind w:left="851" w:hanging="851"/>
        <w:rPr>
          <w:color w:val="262626" w:themeColor="text1" w:themeTint="D9"/>
        </w:rPr>
      </w:pPr>
      <w:r w:rsidRPr="00846769">
        <w:rPr>
          <w:color w:val="262626" w:themeColor="text1" w:themeTint="D9"/>
        </w:rPr>
        <w:t>Invasion history</w:t>
      </w:r>
    </w:p>
    <w:p w14:paraId="552538F2" w14:textId="480A8AE9" w:rsidR="009B6A9A" w:rsidRPr="00846769" w:rsidRDefault="009B6A9A" w:rsidP="009B6A9A">
      <w:pPr>
        <w:spacing w:after="120"/>
      </w:pPr>
      <w:r w:rsidRPr="00246AE3">
        <w:rPr>
          <w:i/>
          <w:iCs/>
        </w:rPr>
        <w:t xml:space="preserve">Varicorbula gibba </w:t>
      </w:r>
      <w:r w:rsidRPr="00246AE3">
        <w:t xml:space="preserve">was introduced to Australia where it was first recorded in Port Phillip Bay, Victoria </w:t>
      </w:r>
      <w:r w:rsidRPr="00634A79">
        <w:t>(</w:t>
      </w:r>
      <w:r w:rsidR="00246AE3" w:rsidRPr="00634A79">
        <w:t xml:space="preserve">Parry et al. </w:t>
      </w:r>
      <w:r w:rsidRPr="00634A79">
        <w:t>1996</w:t>
      </w:r>
      <w:r w:rsidRPr="008E6EB9">
        <w:t>). After</w:t>
      </w:r>
      <w:r w:rsidRPr="00246AE3">
        <w:t xml:space="preserve"> its introduction to Port Phillip Bay, </w:t>
      </w:r>
      <w:r w:rsidRPr="00246AE3">
        <w:rPr>
          <w:i/>
          <w:iCs/>
        </w:rPr>
        <w:t xml:space="preserve">V. gibba </w:t>
      </w:r>
      <w:r w:rsidRPr="00246AE3">
        <w:t>was recorded in the Derwent Estuary in Tasmania in 1996 (Derwent Estuary Program 2008). It</w:t>
      </w:r>
      <w:r w:rsidRPr="00846769">
        <w:t xml:space="preserve"> was believed to be transported to Tasmania from Victoria via domestic shipping</w:t>
      </w:r>
      <w:r w:rsidRPr="008E6EB9">
        <w:t>. Shells of the species</w:t>
      </w:r>
      <w:r w:rsidR="005D5B54" w:rsidRPr="008E6EB9">
        <w:t>, but no live individuals,</w:t>
      </w:r>
      <w:r w:rsidRPr="008E6EB9">
        <w:t xml:space="preserve"> were found in Port Adelaide, South Australia, in 2008 (</w:t>
      </w:r>
      <w:r w:rsidRPr="00634A79">
        <w:t>Wiltshire et al. 201</w:t>
      </w:r>
      <w:r w:rsidR="005D5B54" w:rsidRPr="00634A79">
        <w:t>0</w:t>
      </w:r>
      <w:r w:rsidRPr="008E6EB9">
        <w:t>).</w:t>
      </w:r>
      <w:r w:rsidR="005D5B54" w:rsidRPr="008E6EB9">
        <w:t xml:space="preserve"> F</w:t>
      </w:r>
      <w:r w:rsidRPr="008E6EB9">
        <w:t>ollow-up surveillance using traditional and molecular methods has not detected them since in Port Adelaide</w:t>
      </w:r>
      <w:r w:rsidR="005D5B54" w:rsidRPr="008E6EB9">
        <w:t xml:space="preserve"> (</w:t>
      </w:r>
      <w:r w:rsidR="005D5B54" w:rsidRPr="00634A79">
        <w:t>Wiltshire and Deveney 2011, Wiltshire et al. 2022</w:t>
      </w:r>
      <w:r w:rsidR="005D5B54" w:rsidRPr="008E6EB9">
        <w:t>) suggesting the population is no longer present. Detections were recorded at SA ports and in Darwin, NT, with the 28S assay but</w:t>
      </w:r>
      <w:r w:rsidR="005D5B54">
        <w:t xml:space="preserve"> were considered uncertain at the time (Wiltshire and Deveney 2011, Wiltshire et al. 2022) and that assay was later shown to be non-specific (Wiltshire et al. 2023). Testing of SA and NT samples using the re-designed COI qPCR assay has not detected the species in these locations (Wiltshire et al.</w:t>
      </w:r>
      <w:r w:rsidR="007F5C15">
        <w:t xml:space="preserve"> 2023</w:t>
      </w:r>
      <w:r w:rsidR="005D5B54">
        <w:t xml:space="preserve"> in pre</w:t>
      </w:r>
      <w:r w:rsidR="00E31076">
        <w:t>ss</w:t>
      </w:r>
      <w:r w:rsidR="005D5B54">
        <w:t xml:space="preserve">; SARDI data). </w:t>
      </w:r>
    </w:p>
    <w:p w14:paraId="14FDA6F2" w14:textId="77777777" w:rsidR="006F7483" w:rsidRPr="00846769" w:rsidRDefault="006F7483" w:rsidP="009B6A9A">
      <w:pPr>
        <w:pStyle w:val="Heading5"/>
        <w:spacing w:after="40"/>
        <w:rPr>
          <w:color w:val="262626" w:themeColor="text1" w:themeTint="D9"/>
        </w:rPr>
      </w:pPr>
      <w:r w:rsidRPr="00846769">
        <w:rPr>
          <w:color w:val="262626" w:themeColor="text1" w:themeTint="D9"/>
        </w:rPr>
        <w:t>Diseases</w:t>
      </w:r>
    </w:p>
    <w:p w14:paraId="6D9FD594" w14:textId="341B1930" w:rsidR="009B6A9A" w:rsidRPr="00846769" w:rsidRDefault="00E37AD0" w:rsidP="009B6A9A">
      <w:r w:rsidRPr="00846769">
        <w:t xml:space="preserve">Specific disease data on </w:t>
      </w:r>
      <w:r w:rsidRPr="00846769">
        <w:rPr>
          <w:i/>
          <w:iCs/>
        </w:rPr>
        <w:t xml:space="preserve">V. gibba </w:t>
      </w:r>
      <w:r w:rsidRPr="00846769">
        <w:t xml:space="preserve">is scarce. The ciliate </w:t>
      </w:r>
      <w:proofErr w:type="spellStart"/>
      <w:r w:rsidRPr="00846769">
        <w:rPr>
          <w:i/>
          <w:iCs/>
        </w:rPr>
        <w:t>Sphenophy</w:t>
      </w:r>
      <w:r w:rsidR="007F3FF4">
        <w:rPr>
          <w:i/>
          <w:iCs/>
        </w:rPr>
        <w:t>t</w:t>
      </w:r>
      <w:r w:rsidRPr="00846769">
        <w:rPr>
          <w:i/>
          <w:iCs/>
        </w:rPr>
        <w:t>a</w:t>
      </w:r>
      <w:proofErr w:type="spellEnd"/>
      <w:r w:rsidRPr="00846769">
        <w:rPr>
          <w:i/>
          <w:iCs/>
        </w:rPr>
        <w:t xml:space="preserve"> </w:t>
      </w:r>
      <w:proofErr w:type="spellStart"/>
      <w:r w:rsidRPr="00846769">
        <w:rPr>
          <w:i/>
          <w:iCs/>
        </w:rPr>
        <w:t>dosiniae</w:t>
      </w:r>
      <w:proofErr w:type="spellEnd"/>
      <w:r w:rsidRPr="00846769">
        <w:rPr>
          <w:i/>
          <w:iCs/>
        </w:rPr>
        <w:t xml:space="preserve"> </w:t>
      </w:r>
      <w:r w:rsidRPr="00846769">
        <w:t xml:space="preserve">has been found in living specimens of </w:t>
      </w:r>
      <w:r w:rsidRPr="00846769">
        <w:rPr>
          <w:i/>
          <w:iCs/>
        </w:rPr>
        <w:t xml:space="preserve">V. gibba. </w:t>
      </w:r>
      <w:r w:rsidRPr="00846769">
        <w:t xml:space="preserve">If a lamellibranch of the clam is infected with the ciliate, the ciliates will always occur in great numbers in the mantle cavity of </w:t>
      </w:r>
      <w:r w:rsidRPr="008E6EB9">
        <w:t>their host (</w:t>
      </w:r>
      <w:r w:rsidRPr="00634A79">
        <w:t>Fenchel 1965</w:t>
      </w:r>
      <w:r w:rsidRPr="008E6EB9">
        <w:t>). No specific</w:t>
      </w:r>
      <w:r w:rsidRPr="00846769">
        <w:t xml:space="preserve"> information concerning the effects of these ciliates on </w:t>
      </w:r>
      <w:r w:rsidRPr="00846769">
        <w:rPr>
          <w:i/>
          <w:iCs/>
        </w:rPr>
        <w:t xml:space="preserve">V. gibba </w:t>
      </w:r>
      <w:r w:rsidRPr="00846769">
        <w:t xml:space="preserve">was found. </w:t>
      </w:r>
    </w:p>
    <w:p w14:paraId="72CD854D" w14:textId="4B1469A5" w:rsidR="004E5649" w:rsidRPr="00846769" w:rsidRDefault="00DA29A1" w:rsidP="00DA29A1">
      <w:pPr>
        <w:spacing w:after="160" w:line="259" w:lineRule="auto"/>
      </w:pPr>
      <w:r w:rsidRPr="00846769">
        <w:br w:type="page"/>
      </w:r>
    </w:p>
    <w:p w14:paraId="1B775E32" w14:textId="77777777" w:rsidR="006939E1" w:rsidRPr="00846769" w:rsidRDefault="00B5740F" w:rsidP="00650A45">
      <w:pPr>
        <w:pStyle w:val="Heading3"/>
        <w:spacing w:after="120"/>
        <w:rPr>
          <w:i/>
          <w:iCs/>
        </w:rPr>
      </w:pPr>
      <w:bookmarkStart w:id="603" w:name="_Toc191998679"/>
      <w:r w:rsidRPr="00846769">
        <w:rPr>
          <w:rStyle w:val="Emphasis"/>
          <w:i w:val="0"/>
          <w:iCs w:val="0"/>
        </w:rPr>
        <w:lastRenderedPageBreak/>
        <w:t xml:space="preserve">Family </w:t>
      </w:r>
      <w:bookmarkEnd w:id="582"/>
      <w:proofErr w:type="spellStart"/>
      <w:r w:rsidRPr="00846769">
        <w:rPr>
          <w:rStyle w:val="Emphasis"/>
          <w:i w:val="0"/>
          <w:iCs w:val="0"/>
        </w:rPr>
        <w:t>Dreissenidae</w:t>
      </w:r>
      <w:bookmarkEnd w:id="603"/>
      <w:proofErr w:type="spellEnd"/>
    </w:p>
    <w:p w14:paraId="4D6571B7" w14:textId="77777777" w:rsidR="006939E1" w:rsidRPr="00846769" w:rsidRDefault="00B5740F" w:rsidP="00650A45">
      <w:pPr>
        <w:pStyle w:val="Heading4"/>
        <w:spacing w:after="120"/>
        <w:ind w:left="851" w:hanging="851"/>
        <w:rPr>
          <w:rStyle w:val="Emphasis"/>
          <w:color w:val="262626" w:themeColor="text1" w:themeTint="D9"/>
        </w:rPr>
      </w:pPr>
      <w:r w:rsidRPr="00846769">
        <w:rPr>
          <w:rStyle w:val="Emphasis"/>
          <w:color w:val="262626" w:themeColor="text1" w:themeTint="D9"/>
        </w:rPr>
        <w:t>Mytilopsis sallei</w:t>
      </w:r>
    </w:p>
    <w:p w14:paraId="21989912" w14:textId="735F8813" w:rsidR="00C505FA" w:rsidRPr="00846769" w:rsidRDefault="69B67448" w:rsidP="644D5D34">
      <w:r w:rsidRPr="00846769">
        <w:rPr>
          <w:i/>
          <w:iCs/>
        </w:rPr>
        <w:t>Mytilopsis sallei</w:t>
      </w:r>
      <w:r w:rsidRPr="00846769">
        <w:t xml:space="preserve"> is</w:t>
      </w:r>
      <w:r w:rsidR="00650A45" w:rsidRPr="00846769">
        <w:t xml:space="preserve"> known as the black-striped false mussel</w:t>
      </w:r>
      <w:r w:rsidR="00C505FA" w:rsidRPr="00846769">
        <w:t>,</w:t>
      </w:r>
      <w:r w:rsidRPr="00846769">
        <w:t xml:space="preserve"> a small bivalve native to the Caribbean </w:t>
      </w:r>
      <w:r w:rsidR="00AD5C46">
        <w:t xml:space="preserve">Sea </w:t>
      </w:r>
      <w:r w:rsidRPr="00846769">
        <w:t xml:space="preserve">and </w:t>
      </w:r>
      <w:r w:rsidR="00AD5C46">
        <w:t>Gulf</w:t>
      </w:r>
      <w:r w:rsidR="00AD5C46" w:rsidRPr="00846769">
        <w:t xml:space="preserve"> </w:t>
      </w:r>
      <w:r w:rsidRPr="00846769">
        <w:t xml:space="preserve">of </w:t>
      </w:r>
      <w:r w:rsidR="00AD5C46" w:rsidRPr="00846769">
        <w:t>Mexico</w:t>
      </w:r>
      <w:r w:rsidRPr="00846769">
        <w:t xml:space="preserve">. It can heavily foul substrata in tropical and subtropical locations. It can recruit in very high numbers, causing heavy fouling on important marine infrastructure, such as wharves, pontoons, buoys, pumping stations, and aquaculture farms. </w:t>
      </w:r>
      <w:r w:rsidR="00F812F4" w:rsidRPr="00846769">
        <w:t>This species can</w:t>
      </w:r>
      <w:r w:rsidRPr="00846769">
        <w:t xml:space="preserve"> form dense populations in natural habitats taking up space </w:t>
      </w:r>
      <w:r w:rsidR="3544CF0C" w:rsidRPr="00846769">
        <w:t xml:space="preserve">and </w:t>
      </w:r>
      <w:r w:rsidRPr="00846769">
        <w:t xml:space="preserve">preventing other marine organisms </w:t>
      </w:r>
      <w:r w:rsidR="1C68AA71" w:rsidRPr="00846769">
        <w:t>from</w:t>
      </w:r>
      <w:r w:rsidRPr="00846769">
        <w:t xml:space="preserve"> settl</w:t>
      </w:r>
      <w:r w:rsidR="4FBAF6B7" w:rsidRPr="00846769">
        <w:t>ing</w:t>
      </w:r>
      <w:r w:rsidRPr="00846769">
        <w:t xml:space="preserve">, leading to a reduction in biodiversity. </w:t>
      </w:r>
    </w:p>
    <w:p w14:paraId="47C8533F" w14:textId="60A8B57E" w:rsidR="006939E1" w:rsidRPr="00846769" w:rsidRDefault="69B67448" w:rsidP="644D5D34">
      <w:r w:rsidRPr="00846769">
        <w:rPr>
          <w:i/>
          <w:iCs/>
        </w:rPr>
        <w:t xml:space="preserve">Mytilopsis sallei </w:t>
      </w:r>
      <w:r w:rsidRPr="00846769">
        <w:t xml:space="preserve">has been introduced throughout </w:t>
      </w:r>
      <w:r w:rsidR="00154FA4" w:rsidRPr="00846769">
        <w:t>A</w:t>
      </w:r>
      <w:r w:rsidRPr="00846769">
        <w:t>sia</w:t>
      </w:r>
      <w:r w:rsidR="00154FA4" w:rsidRPr="00846769">
        <w:t xml:space="preserve"> (Singapore, Indonesia, India, and Japan)</w:t>
      </w:r>
      <w:r w:rsidR="0680B52F" w:rsidRPr="00846769">
        <w:t xml:space="preserve"> and the middle east</w:t>
      </w:r>
      <w:r w:rsidR="00154FA4" w:rsidRPr="00846769">
        <w:t xml:space="preserve"> (Israel and Egypt).</w:t>
      </w:r>
      <w:r w:rsidR="5D475041" w:rsidRPr="00846769">
        <w:t xml:space="preserve"> </w:t>
      </w:r>
      <w:r w:rsidRPr="00846769">
        <w:t xml:space="preserve">It was detected in Darwin, Australia in 1999 but was eradicated </w:t>
      </w:r>
      <w:r w:rsidR="00994282" w:rsidRPr="00846769">
        <w:t>with</w:t>
      </w:r>
      <w:r w:rsidRPr="00846769">
        <w:t xml:space="preserve"> chemical biocides soon after. </w:t>
      </w:r>
      <w:r w:rsidRPr="00846769">
        <w:rPr>
          <w:i/>
          <w:iCs/>
        </w:rPr>
        <w:t xml:space="preserve">Mytilopsis sallei </w:t>
      </w:r>
      <w:r w:rsidRPr="00846769">
        <w:t xml:space="preserve">has not established in Australia but </w:t>
      </w:r>
      <w:r w:rsidR="0130D8A3" w:rsidRPr="00846769">
        <w:t>reinvasion remains a risk</w:t>
      </w:r>
      <w:r w:rsidRPr="00846769">
        <w:t>, particularly in tropical areas of Australia</w:t>
      </w:r>
      <w:r w:rsidR="0075321C" w:rsidRPr="00846769">
        <w:t>.</w:t>
      </w:r>
      <w:r w:rsidR="00902312" w:rsidRPr="00846769">
        <w:t xml:space="preserve"> </w:t>
      </w:r>
      <w:r w:rsidR="0075321C" w:rsidRPr="00846769">
        <w:t>It</w:t>
      </w:r>
      <w:r w:rsidR="00902312" w:rsidRPr="00846769">
        <w:t xml:space="preserve"> has been </w:t>
      </w:r>
      <w:r w:rsidR="005D5B54">
        <w:t xml:space="preserve">recently found on recreational vessels and foreign fishing vessels coming into Australia. </w:t>
      </w:r>
    </w:p>
    <w:p w14:paraId="569A22D1" w14:textId="6DBDF3ED" w:rsidR="001933EE" w:rsidRPr="00846769" w:rsidRDefault="00B5740F" w:rsidP="001453AC">
      <w:r w:rsidRPr="00846769">
        <w:rPr>
          <w:i/>
          <w:iCs/>
        </w:rPr>
        <w:t>M</w:t>
      </w:r>
      <w:r w:rsidR="00F217A9" w:rsidRPr="00846769">
        <w:rPr>
          <w:i/>
          <w:iCs/>
        </w:rPr>
        <w:t>ytilopsis</w:t>
      </w:r>
      <w:r w:rsidRPr="00846769">
        <w:rPr>
          <w:i/>
          <w:iCs/>
        </w:rPr>
        <w:t xml:space="preserve"> sallei </w:t>
      </w:r>
      <w:r w:rsidRPr="00846769">
        <w:t xml:space="preserve">is </w:t>
      </w:r>
      <w:r w:rsidR="00C47471" w:rsidRPr="00846769">
        <w:t xml:space="preserve">nationally </w:t>
      </w:r>
      <w:r w:rsidRPr="00846769">
        <w:t>listed on</w:t>
      </w:r>
      <w:r w:rsidR="001B678E" w:rsidRPr="00846769">
        <w:t xml:space="preserve"> </w:t>
      </w:r>
      <w:r w:rsidR="00F812F4" w:rsidRPr="00846769">
        <w:t xml:space="preserve">both </w:t>
      </w:r>
      <w:r w:rsidR="001B678E" w:rsidRPr="00846769">
        <w:t xml:space="preserve">the </w:t>
      </w:r>
      <w:hyperlink r:id="rId211" w:history="1">
        <w:r w:rsidR="001B678E" w:rsidRPr="00846769">
          <w:rPr>
            <w:rStyle w:val="Hyperlink"/>
          </w:rPr>
          <w:t>Australian Priority Marine Pest List (APMPL)</w:t>
        </w:r>
      </w:hyperlink>
      <w:r w:rsidR="005C451C" w:rsidRPr="00846769">
        <w:rPr>
          <w:u w:color="0070C0"/>
        </w:rPr>
        <w:t xml:space="preserve"> and on the </w:t>
      </w:r>
      <w:hyperlink r:id="rId212" w:anchor="marine-pests" w:history="1">
        <w:r w:rsidR="002A1B1E" w:rsidRPr="00846769">
          <w:rPr>
            <w:rStyle w:val="Hyperlink"/>
          </w:rPr>
          <w:t>E</w:t>
        </w:r>
        <w:r w:rsidR="005C451C" w:rsidRPr="00846769">
          <w:rPr>
            <w:rStyle w:val="Hyperlink"/>
          </w:rPr>
          <w:t>xotic Environmental Pest</w:t>
        </w:r>
        <w:r w:rsidR="002A1B1E" w:rsidRPr="00846769">
          <w:rPr>
            <w:rStyle w:val="Hyperlink"/>
          </w:rPr>
          <w:t xml:space="preserve"> Li</w:t>
        </w:r>
        <w:r w:rsidR="005C451C" w:rsidRPr="00846769">
          <w:rPr>
            <w:rStyle w:val="Hyperlink"/>
          </w:rPr>
          <w:t>s</w:t>
        </w:r>
        <w:r w:rsidR="002A1B1E" w:rsidRPr="00846769">
          <w:rPr>
            <w:rStyle w:val="Hyperlink"/>
          </w:rPr>
          <w:t>t</w:t>
        </w:r>
        <w:r w:rsidR="005C451C" w:rsidRPr="00846769">
          <w:rPr>
            <w:rStyle w:val="Hyperlink"/>
          </w:rPr>
          <w:t xml:space="preserve"> (EEPL)</w:t>
        </w:r>
        <w:r w:rsidR="00C47471" w:rsidRPr="00846769">
          <w:rPr>
            <w:rStyle w:val="Hyperlink"/>
          </w:rPr>
          <w:t>.</w:t>
        </w:r>
      </w:hyperlink>
      <w:bookmarkStart w:id="604" w:name="_Hlk78817630"/>
    </w:p>
    <w:p w14:paraId="4FB6B9FA" w14:textId="2AD19F8A" w:rsidR="001453AC" w:rsidRPr="00846769" w:rsidRDefault="001453AC" w:rsidP="001453AC">
      <w:pPr>
        <w:pStyle w:val="Caption"/>
      </w:pPr>
      <w:bookmarkStart w:id="605" w:name="_Toc191999503"/>
      <w:r w:rsidRPr="00846769">
        <w:t xml:space="preserve">Table </w:t>
      </w:r>
      <w:r w:rsidRPr="00846769">
        <w:fldChar w:fldCharType="begin"/>
      </w:r>
      <w:r w:rsidRPr="00846769">
        <w:instrText xml:space="preserve"> SEQ Table \* ARABIC </w:instrText>
      </w:r>
      <w:r w:rsidRPr="00846769">
        <w:fldChar w:fldCharType="separate"/>
      </w:r>
      <w:r w:rsidR="005E4F41">
        <w:rPr>
          <w:noProof/>
        </w:rPr>
        <w:t>8</w:t>
      </w:r>
      <w:r w:rsidRPr="00846769">
        <w:fldChar w:fldCharType="end"/>
      </w:r>
      <w:r w:rsidRPr="00846769">
        <w:t xml:space="preserve"> </w:t>
      </w:r>
      <w:r w:rsidRPr="00846769">
        <w:rPr>
          <w:color w:val="262626" w:themeColor="text1" w:themeTint="D9"/>
        </w:rPr>
        <w:t xml:space="preserve">Taxonomic classification of </w:t>
      </w:r>
      <w:r w:rsidRPr="00846769">
        <w:rPr>
          <w:i/>
          <w:iCs/>
          <w:color w:val="262626" w:themeColor="text1" w:themeTint="D9"/>
        </w:rPr>
        <w:t>Mytilopsis sallei</w:t>
      </w:r>
      <w:bookmarkEnd w:id="60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6"/>
        <w:gridCol w:w="2585"/>
      </w:tblGrid>
      <w:tr w:rsidR="00B439AA" w:rsidRPr="00846769" w14:paraId="1A59ECE3" w14:textId="77777777" w:rsidTr="00A04E26">
        <w:trPr>
          <w:cantSplit/>
          <w:tblHeader/>
        </w:trPr>
        <w:tc>
          <w:tcPr>
            <w:tcW w:w="1526" w:type="dxa"/>
            <w:shd w:val="clear" w:color="auto" w:fill="FFFFFF" w:themeFill="background1"/>
          </w:tcPr>
          <w:p w14:paraId="3F789C00" w14:textId="77777777" w:rsidR="006939E1" w:rsidRPr="00846769" w:rsidRDefault="00B5740F" w:rsidP="00BF317B">
            <w:pPr>
              <w:pStyle w:val="TableText"/>
              <w:rPr>
                <w:rFonts w:cstheme="minorHAnsi"/>
                <w:b/>
                <w:bCs/>
              </w:rPr>
            </w:pPr>
            <w:bookmarkStart w:id="606" w:name="Table_8"/>
            <w:bookmarkEnd w:id="606"/>
            <w:r w:rsidRPr="00846769">
              <w:rPr>
                <w:rFonts w:cstheme="minorHAnsi"/>
                <w:b/>
                <w:bCs/>
              </w:rPr>
              <w:t>Classification</w:t>
            </w:r>
          </w:p>
        </w:tc>
        <w:tc>
          <w:tcPr>
            <w:tcW w:w="2585" w:type="dxa"/>
            <w:shd w:val="clear" w:color="auto" w:fill="FFFFFF" w:themeFill="background1"/>
          </w:tcPr>
          <w:p w14:paraId="11057B5A" w14:textId="77777777" w:rsidR="006939E1" w:rsidRPr="00846769" w:rsidRDefault="00B5740F" w:rsidP="00C0239D">
            <w:pPr>
              <w:pStyle w:val="TableHeading"/>
              <w:framePr w:wrap="around"/>
              <w:rPr>
                <w:rStyle w:val="Emphasis"/>
                <w:rFonts w:eastAsiaTheme="minorHAnsi" w:cstheme="minorHAnsi"/>
                <w:b/>
                <w:bCs w:val="0"/>
                <w:szCs w:val="22"/>
                <w:lang w:eastAsia="en-US"/>
              </w:rPr>
            </w:pPr>
            <w:r w:rsidRPr="00846769">
              <w:rPr>
                <w:rStyle w:val="Emphasis"/>
                <w:rFonts w:eastAsiaTheme="minorHAnsi" w:cstheme="minorHAnsi"/>
                <w:szCs w:val="22"/>
                <w:lang w:eastAsia="en-US"/>
              </w:rPr>
              <w:t>M</w:t>
            </w:r>
            <w:r w:rsidRPr="00846769">
              <w:rPr>
                <w:rStyle w:val="Emphasis"/>
                <w:rFonts w:eastAsiaTheme="minorHAnsi" w:cstheme="minorHAnsi"/>
              </w:rPr>
              <w:t>ytilopsis sallei</w:t>
            </w:r>
          </w:p>
        </w:tc>
      </w:tr>
      <w:tr w:rsidR="00B439AA" w:rsidRPr="00846769" w14:paraId="6D1A4C90" w14:textId="77777777" w:rsidTr="00A04E26">
        <w:trPr>
          <w:cantSplit/>
          <w:tblHeader/>
        </w:trPr>
        <w:tc>
          <w:tcPr>
            <w:tcW w:w="1526" w:type="dxa"/>
            <w:shd w:val="clear" w:color="auto" w:fill="FFFFFF" w:themeFill="background1"/>
          </w:tcPr>
          <w:p w14:paraId="06E174FE" w14:textId="77777777" w:rsidR="006939E1" w:rsidRPr="00846769" w:rsidRDefault="00B5740F" w:rsidP="00BF317B">
            <w:pPr>
              <w:pStyle w:val="TableText"/>
              <w:rPr>
                <w:rFonts w:cstheme="minorHAnsi"/>
              </w:rPr>
            </w:pPr>
            <w:r w:rsidRPr="00846769">
              <w:rPr>
                <w:rFonts w:cstheme="minorHAnsi"/>
              </w:rPr>
              <w:t>Phylum</w:t>
            </w:r>
          </w:p>
        </w:tc>
        <w:tc>
          <w:tcPr>
            <w:tcW w:w="2585" w:type="dxa"/>
            <w:shd w:val="clear" w:color="auto" w:fill="FFFFFF" w:themeFill="background1"/>
          </w:tcPr>
          <w:p w14:paraId="1251F46A" w14:textId="77777777" w:rsidR="006939E1" w:rsidRPr="00846769" w:rsidRDefault="00B5740F" w:rsidP="00BF317B">
            <w:pPr>
              <w:pStyle w:val="TableText"/>
              <w:rPr>
                <w:rFonts w:cstheme="minorHAnsi"/>
              </w:rPr>
            </w:pPr>
            <w:r w:rsidRPr="00846769">
              <w:rPr>
                <w:rFonts w:cstheme="minorHAnsi"/>
              </w:rPr>
              <w:t>Mollusca</w:t>
            </w:r>
          </w:p>
        </w:tc>
      </w:tr>
      <w:tr w:rsidR="00B439AA" w:rsidRPr="00846769" w14:paraId="41A4AF8D" w14:textId="77777777" w:rsidTr="00A04E26">
        <w:trPr>
          <w:cantSplit/>
          <w:tblHeader/>
        </w:trPr>
        <w:tc>
          <w:tcPr>
            <w:tcW w:w="1526" w:type="dxa"/>
            <w:shd w:val="clear" w:color="auto" w:fill="FFFFFF" w:themeFill="background1"/>
          </w:tcPr>
          <w:p w14:paraId="24F82A26" w14:textId="77777777" w:rsidR="006939E1" w:rsidRPr="00846769" w:rsidRDefault="00B5740F" w:rsidP="00BF317B">
            <w:pPr>
              <w:pStyle w:val="TableText"/>
              <w:rPr>
                <w:rFonts w:cstheme="minorHAnsi"/>
              </w:rPr>
            </w:pPr>
            <w:r w:rsidRPr="00846769">
              <w:rPr>
                <w:rFonts w:cstheme="minorHAnsi"/>
              </w:rPr>
              <w:t>Class</w:t>
            </w:r>
          </w:p>
        </w:tc>
        <w:tc>
          <w:tcPr>
            <w:tcW w:w="2585" w:type="dxa"/>
            <w:shd w:val="clear" w:color="auto" w:fill="FFFFFF" w:themeFill="background1"/>
          </w:tcPr>
          <w:p w14:paraId="5F75B4C4" w14:textId="77777777" w:rsidR="006939E1" w:rsidRPr="00846769" w:rsidRDefault="00B5740F" w:rsidP="00BF317B">
            <w:pPr>
              <w:pStyle w:val="TableText"/>
              <w:rPr>
                <w:rFonts w:cstheme="minorHAnsi"/>
              </w:rPr>
            </w:pPr>
            <w:r w:rsidRPr="00846769">
              <w:rPr>
                <w:rFonts w:cstheme="minorHAnsi"/>
              </w:rPr>
              <w:t>Bivalvia</w:t>
            </w:r>
          </w:p>
        </w:tc>
      </w:tr>
      <w:tr w:rsidR="00B439AA" w:rsidRPr="00846769" w14:paraId="5BC746E6" w14:textId="77777777" w:rsidTr="00A04E26">
        <w:trPr>
          <w:cantSplit/>
          <w:tblHeader/>
        </w:trPr>
        <w:tc>
          <w:tcPr>
            <w:tcW w:w="1526" w:type="dxa"/>
            <w:shd w:val="clear" w:color="auto" w:fill="FFFFFF" w:themeFill="background1"/>
          </w:tcPr>
          <w:p w14:paraId="65EF80B9" w14:textId="77777777" w:rsidR="006939E1" w:rsidRPr="00846769" w:rsidRDefault="00B5740F" w:rsidP="00BF317B">
            <w:pPr>
              <w:pStyle w:val="TableText"/>
              <w:rPr>
                <w:rFonts w:cstheme="minorHAnsi"/>
              </w:rPr>
            </w:pPr>
            <w:r w:rsidRPr="00846769">
              <w:rPr>
                <w:rFonts w:cstheme="minorHAnsi"/>
              </w:rPr>
              <w:t>Subclass</w:t>
            </w:r>
          </w:p>
        </w:tc>
        <w:tc>
          <w:tcPr>
            <w:tcW w:w="2585" w:type="dxa"/>
            <w:shd w:val="clear" w:color="auto" w:fill="FFFFFF" w:themeFill="background1"/>
          </w:tcPr>
          <w:p w14:paraId="302A2481" w14:textId="77777777" w:rsidR="006939E1" w:rsidRPr="00846769" w:rsidRDefault="00B5740F" w:rsidP="00BF317B">
            <w:pPr>
              <w:pStyle w:val="TableText"/>
              <w:rPr>
                <w:rFonts w:cstheme="minorHAnsi"/>
              </w:rPr>
            </w:pPr>
            <w:proofErr w:type="spellStart"/>
            <w:r w:rsidRPr="00846769">
              <w:rPr>
                <w:rFonts w:cstheme="minorHAnsi"/>
              </w:rPr>
              <w:t>Heterodonta</w:t>
            </w:r>
            <w:proofErr w:type="spellEnd"/>
          </w:p>
        </w:tc>
      </w:tr>
      <w:tr w:rsidR="00B439AA" w:rsidRPr="00846769" w14:paraId="703BB478" w14:textId="77777777" w:rsidTr="00A04E26">
        <w:trPr>
          <w:cantSplit/>
          <w:tblHeader/>
        </w:trPr>
        <w:tc>
          <w:tcPr>
            <w:tcW w:w="1526" w:type="dxa"/>
            <w:shd w:val="clear" w:color="auto" w:fill="FFFFFF" w:themeFill="background1"/>
          </w:tcPr>
          <w:p w14:paraId="06F7BDD3" w14:textId="77777777" w:rsidR="006939E1" w:rsidRPr="00846769" w:rsidRDefault="00B5740F" w:rsidP="00BF317B">
            <w:pPr>
              <w:pStyle w:val="TableText"/>
              <w:rPr>
                <w:rFonts w:cstheme="minorHAnsi"/>
              </w:rPr>
            </w:pPr>
            <w:r w:rsidRPr="00846769">
              <w:rPr>
                <w:rFonts w:cstheme="minorHAnsi"/>
              </w:rPr>
              <w:t>Order</w:t>
            </w:r>
          </w:p>
        </w:tc>
        <w:tc>
          <w:tcPr>
            <w:tcW w:w="2585" w:type="dxa"/>
            <w:shd w:val="clear" w:color="auto" w:fill="FFFFFF" w:themeFill="background1"/>
          </w:tcPr>
          <w:p w14:paraId="6939FA14" w14:textId="77777777" w:rsidR="006939E1" w:rsidRPr="00846769" w:rsidRDefault="00B5740F" w:rsidP="00BF317B">
            <w:pPr>
              <w:pStyle w:val="TableText"/>
              <w:rPr>
                <w:rFonts w:cstheme="minorHAnsi"/>
              </w:rPr>
            </w:pPr>
            <w:proofErr w:type="spellStart"/>
            <w:r w:rsidRPr="00846769">
              <w:rPr>
                <w:rFonts w:cstheme="minorHAnsi"/>
              </w:rPr>
              <w:t>Veneroida</w:t>
            </w:r>
            <w:proofErr w:type="spellEnd"/>
          </w:p>
        </w:tc>
      </w:tr>
      <w:tr w:rsidR="00B439AA" w:rsidRPr="00846769" w14:paraId="0C8BB459" w14:textId="77777777" w:rsidTr="00A04E26">
        <w:trPr>
          <w:cantSplit/>
          <w:tblHeader/>
        </w:trPr>
        <w:tc>
          <w:tcPr>
            <w:tcW w:w="1526" w:type="dxa"/>
            <w:shd w:val="clear" w:color="auto" w:fill="FFFFFF" w:themeFill="background1"/>
          </w:tcPr>
          <w:p w14:paraId="3D874C51" w14:textId="77777777" w:rsidR="006939E1" w:rsidRPr="00846769" w:rsidRDefault="00B5740F" w:rsidP="00BF317B">
            <w:pPr>
              <w:pStyle w:val="TableText"/>
              <w:rPr>
                <w:rFonts w:cstheme="minorHAnsi"/>
              </w:rPr>
            </w:pPr>
            <w:r w:rsidRPr="00846769">
              <w:rPr>
                <w:rFonts w:cstheme="minorHAnsi"/>
              </w:rPr>
              <w:t>Superfamily</w:t>
            </w:r>
          </w:p>
        </w:tc>
        <w:tc>
          <w:tcPr>
            <w:tcW w:w="2585" w:type="dxa"/>
            <w:shd w:val="clear" w:color="auto" w:fill="FFFFFF" w:themeFill="background1"/>
          </w:tcPr>
          <w:p w14:paraId="0A87887C" w14:textId="77777777" w:rsidR="006939E1" w:rsidRPr="00846769" w:rsidRDefault="00B5740F" w:rsidP="00BF317B">
            <w:pPr>
              <w:pStyle w:val="TableText"/>
              <w:rPr>
                <w:rFonts w:cstheme="minorHAnsi"/>
              </w:rPr>
            </w:pPr>
            <w:proofErr w:type="spellStart"/>
            <w:r w:rsidRPr="00846769">
              <w:rPr>
                <w:rFonts w:cstheme="minorHAnsi"/>
              </w:rPr>
              <w:t>Dreissenoidea</w:t>
            </w:r>
            <w:proofErr w:type="spellEnd"/>
          </w:p>
        </w:tc>
      </w:tr>
      <w:tr w:rsidR="00B439AA" w:rsidRPr="00846769" w14:paraId="2576588F" w14:textId="77777777" w:rsidTr="00A04E26">
        <w:trPr>
          <w:cantSplit/>
          <w:tblHeader/>
        </w:trPr>
        <w:tc>
          <w:tcPr>
            <w:tcW w:w="1526" w:type="dxa"/>
            <w:shd w:val="clear" w:color="auto" w:fill="FFFFFF" w:themeFill="background1"/>
          </w:tcPr>
          <w:p w14:paraId="66926FC1" w14:textId="77777777" w:rsidR="006939E1" w:rsidRPr="00846769" w:rsidRDefault="00B5740F" w:rsidP="00BF317B">
            <w:pPr>
              <w:pStyle w:val="TableText"/>
              <w:rPr>
                <w:rFonts w:cstheme="minorHAnsi"/>
              </w:rPr>
            </w:pPr>
            <w:r w:rsidRPr="00846769">
              <w:rPr>
                <w:rFonts w:cstheme="minorHAnsi"/>
              </w:rPr>
              <w:t>Family</w:t>
            </w:r>
          </w:p>
        </w:tc>
        <w:tc>
          <w:tcPr>
            <w:tcW w:w="2585" w:type="dxa"/>
            <w:shd w:val="clear" w:color="auto" w:fill="FFFFFF" w:themeFill="background1"/>
          </w:tcPr>
          <w:p w14:paraId="1AD62C83" w14:textId="77777777" w:rsidR="006939E1" w:rsidRPr="00846769" w:rsidRDefault="00B5740F" w:rsidP="00BF317B">
            <w:pPr>
              <w:pStyle w:val="TableText"/>
              <w:rPr>
                <w:rFonts w:cstheme="minorHAnsi"/>
              </w:rPr>
            </w:pPr>
            <w:proofErr w:type="spellStart"/>
            <w:r w:rsidRPr="00846769">
              <w:rPr>
                <w:rFonts w:cstheme="minorHAnsi"/>
              </w:rPr>
              <w:t>Dreissenidae</w:t>
            </w:r>
            <w:proofErr w:type="spellEnd"/>
          </w:p>
        </w:tc>
      </w:tr>
      <w:tr w:rsidR="00B439AA" w:rsidRPr="00846769" w14:paraId="67A46D35" w14:textId="77777777" w:rsidTr="00A04E26">
        <w:trPr>
          <w:cantSplit/>
          <w:tblHeader/>
        </w:trPr>
        <w:tc>
          <w:tcPr>
            <w:tcW w:w="1526" w:type="dxa"/>
            <w:shd w:val="clear" w:color="auto" w:fill="FFFFFF" w:themeFill="background1"/>
          </w:tcPr>
          <w:p w14:paraId="48303DEA" w14:textId="77777777" w:rsidR="006939E1" w:rsidRPr="00846769" w:rsidRDefault="00B5740F" w:rsidP="00BF317B">
            <w:pPr>
              <w:pStyle w:val="TableText"/>
              <w:rPr>
                <w:rFonts w:cstheme="minorHAnsi"/>
              </w:rPr>
            </w:pPr>
            <w:r w:rsidRPr="00846769">
              <w:rPr>
                <w:rFonts w:cstheme="minorHAnsi"/>
              </w:rPr>
              <w:t>Genus</w:t>
            </w:r>
          </w:p>
        </w:tc>
        <w:tc>
          <w:tcPr>
            <w:tcW w:w="2585" w:type="dxa"/>
            <w:shd w:val="clear" w:color="auto" w:fill="FFFFFF" w:themeFill="background1"/>
          </w:tcPr>
          <w:p w14:paraId="7DC41D49" w14:textId="77777777" w:rsidR="006939E1" w:rsidRPr="00846769" w:rsidRDefault="00B5740F" w:rsidP="00BF317B">
            <w:pPr>
              <w:pStyle w:val="TableText"/>
              <w:rPr>
                <w:rStyle w:val="Emphasis"/>
              </w:rPr>
            </w:pPr>
            <w:r w:rsidRPr="00846769">
              <w:rPr>
                <w:rStyle w:val="Emphasis"/>
              </w:rPr>
              <w:t>Mytilopsis</w:t>
            </w:r>
          </w:p>
        </w:tc>
      </w:tr>
    </w:tbl>
    <w:bookmarkEnd w:id="604"/>
    <w:p w14:paraId="7B6A830D" w14:textId="77777777" w:rsidR="00BE7931" w:rsidRPr="00846769" w:rsidRDefault="00BE7931" w:rsidP="00BE7931">
      <w:pPr>
        <w:pStyle w:val="Heading5"/>
        <w:spacing w:before="120" w:after="120"/>
        <w:rPr>
          <w:color w:val="262626" w:themeColor="text1" w:themeTint="D9"/>
          <w:sz w:val="24"/>
          <w:szCs w:val="24"/>
        </w:rPr>
      </w:pPr>
      <w:r w:rsidRPr="00846769">
        <w:rPr>
          <w:color w:val="262626" w:themeColor="text1" w:themeTint="D9"/>
          <w:sz w:val="24"/>
          <w:szCs w:val="24"/>
        </w:rPr>
        <w:t>Diagnostic features for identification</w:t>
      </w:r>
    </w:p>
    <w:p w14:paraId="1B8F393E" w14:textId="1C77E1FC" w:rsidR="00F22DD1" w:rsidRPr="00846769" w:rsidRDefault="00F22DD1" w:rsidP="00F22DD1">
      <w:pPr>
        <w:pStyle w:val="Heading6"/>
        <w:spacing w:after="40"/>
        <w:rPr>
          <w:color w:val="262626" w:themeColor="text1" w:themeTint="D9"/>
        </w:rPr>
      </w:pPr>
      <w:r w:rsidRPr="00846769">
        <w:rPr>
          <w:color w:val="262626" w:themeColor="text1" w:themeTint="D9"/>
        </w:rPr>
        <w:t>Field identification</w:t>
      </w:r>
    </w:p>
    <w:p w14:paraId="21EDA064" w14:textId="3889B723" w:rsidR="006939E1" w:rsidRPr="00846769" w:rsidRDefault="00B5740F" w:rsidP="00BF317B">
      <w:r w:rsidRPr="00846769">
        <w:rPr>
          <w:i/>
          <w:iCs/>
        </w:rPr>
        <w:t xml:space="preserve">Mytilopsis sallei </w:t>
      </w:r>
      <w:r w:rsidRPr="00846769">
        <w:t>can</w:t>
      </w:r>
      <w:r w:rsidR="0009165A" w:rsidRPr="00846769">
        <w:t>not</w:t>
      </w:r>
      <w:r w:rsidRPr="00846769">
        <w:t xml:space="preserve"> be identified in the field</w:t>
      </w:r>
      <w:r w:rsidR="0009165A" w:rsidRPr="00846769">
        <w:t xml:space="preserve"> due to high morphological variability within the species.</w:t>
      </w:r>
      <w:r w:rsidRPr="00846769">
        <w:t xml:space="preserve"> </w:t>
      </w:r>
      <w:r w:rsidR="0009165A" w:rsidRPr="00846769">
        <w:t>Identification needs confirmation from internal characters under a microscope in the laboratory</w:t>
      </w:r>
      <w:r w:rsidR="000F7C2E" w:rsidRPr="00846769">
        <w:t xml:space="preserve"> (</w:t>
      </w:r>
      <w:r w:rsidR="000F7C2E" w:rsidRPr="00F47511">
        <w:t>Richard Willan</w:t>
      </w:r>
      <w:r w:rsidR="00F47511" w:rsidRPr="00F47511">
        <w:t xml:space="preserve"> [MAGNT]</w:t>
      </w:r>
      <w:r w:rsidR="000F7C2E" w:rsidRPr="00F47511">
        <w:t>, pers.</w:t>
      </w:r>
      <w:r w:rsidR="00F812F4" w:rsidRPr="00F47511">
        <w:t xml:space="preserve"> comm., April 2023</w:t>
      </w:r>
      <w:r w:rsidR="000F7C2E" w:rsidRPr="00F47511">
        <w:t>)</w:t>
      </w:r>
      <w:r w:rsidR="0009165A" w:rsidRPr="00F47511">
        <w:t xml:space="preserve">. </w:t>
      </w:r>
    </w:p>
    <w:p w14:paraId="12855302" w14:textId="32F4272E" w:rsidR="00F70C68" w:rsidRPr="00846769" w:rsidRDefault="00B5740F" w:rsidP="00BF317B">
      <w:pPr>
        <w:rPr>
          <w:i/>
          <w:iCs/>
        </w:rPr>
      </w:pPr>
      <w:r w:rsidRPr="00846769">
        <w:rPr>
          <w:i/>
          <w:iCs/>
        </w:rPr>
        <w:t xml:space="preserve">Mytilopsis sallei </w:t>
      </w:r>
      <w:r w:rsidRPr="00846769">
        <w:t xml:space="preserve">is a relatively small </w:t>
      </w:r>
      <w:r w:rsidR="00E64200" w:rsidRPr="00846769">
        <w:t xml:space="preserve">false </w:t>
      </w:r>
      <w:r w:rsidRPr="00846769">
        <w:t>mussel that grows to an average maximum length of 25</w:t>
      </w:r>
      <w:r w:rsidR="001C0880">
        <w:t> </w:t>
      </w:r>
      <w:r w:rsidRPr="00846769">
        <w:t>mm. The exterior of the shell is varied in colour, appearing white, cream-coloured</w:t>
      </w:r>
      <w:r w:rsidR="00E64200" w:rsidRPr="00846769">
        <w:t>,</w:t>
      </w:r>
      <w:r w:rsidRPr="00846769">
        <w:t xml:space="preserve"> or </w:t>
      </w:r>
      <w:r w:rsidR="00E64200" w:rsidRPr="00846769">
        <w:t>blueish grey</w:t>
      </w:r>
      <w:r w:rsidRPr="00846769">
        <w:t xml:space="preserve"> to a medium brown or black</w:t>
      </w:r>
      <w:r w:rsidR="00F812F4" w:rsidRPr="00846769">
        <w:t xml:space="preserve"> (</w:t>
      </w:r>
      <w:r w:rsidR="00192097" w:rsidRPr="00DD01E4">
        <w:fldChar w:fldCharType="begin"/>
      </w:r>
      <w:r w:rsidR="00192097" w:rsidRPr="00DD01E4">
        <w:instrText xml:space="preserve"> REF _Ref171943929 \h </w:instrText>
      </w:r>
      <w:r w:rsidR="00DD01E4">
        <w:instrText xml:space="preserve"> \* MERGEFORMAT </w:instrText>
      </w:r>
      <w:r w:rsidR="00192097" w:rsidRPr="00DD01E4">
        <w:fldChar w:fldCharType="separate"/>
      </w:r>
      <w:r w:rsidR="00192097" w:rsidRPr="00DD01E4">
        <w:t>Photo 7</w:t>
      </w:r>
      <w:r w:rsidR="00192097" w:rsidRPr="00DD01E4">
        <w:fldChar w:fldCharType="end"/>
      </w:r>
      <w:r w:rsidR="00F812F4" w:rsidRPr="00DD01E4">
        <w:t xml:space="preserve">; </w:t>
      </w:r>
      <w:proofErr w:type="spellStart"/>
      <w:r w:rsidRPr="00DD01E4">
        <w:t>McEnnulty</w:t>
      </w:r>
      <w:proofErr w:type="spellEnd"/>
      <w:r w:rsidRPr="00DD01E4">
        <w:t xml:space="preserve"> et al. 2001). Some</w:t>
      </w:r>
      <w:r w:rsidRPr="00846769">
        <w:t xml:space="preserve"> specimens may have fine concentric lines, with </w:t>
      </w:r>
      <w:r w:rsidR="004F16CD" w:rsidRPr="00846769">
        <w:t>uncommon variants displaying black and white zig-zag markings on the shell</w:t>
      </w:r>
      <w:r w:rsidRPr="00846769">
        <w:t xml:space="preserve"> </w:t>
      </w:r>
      <w:r w:rsidRPr="005F7F32">
        <w:t>(</w:t>
      </w:r>
      <w:r w:rsidR="00192097" w:rsidRPr="008E6EB9">
        <w:fldChar w:fldCharType="begin"/>
      </w:r>
      <w:r w:rsidR="00192097" w:rsidRPr="008E6EB9">
        <w:instrText xml:space="preserve"> REF _Ref171943988 \h </w:instrText>
      </w:r>
      <w:r w:rsidR="005F7F32" w:rsidRPr="008E6EB9">
        <w:instrText xml:space="preserve"> \* MERGEFORMAT </w:instrText>
      </w:r>
      <w:r w:rsidR="00192097" w:rsidRPr="008E6EB9">
        <w:fldChar w:fldCharType="separate"/>
      </w:r>
      <w:r w:rsidR="00192097" w:rsidRPr="008E6EB9">
        <w:t>Photo 8</w:t>
      </w:r>
      <w:r w:rsidR="00192097" w:rsidRPr="008E6EB9">
        <w:fldChar w:fldCharType="end"/>
      </w:r>
      <w:r w:rsidR="00F812F4" w:rsidRPr="008E6EB9">
        <w:t xml:space="preserve">; </w:t>
      </w:r>
      <w:r w:rsidRPr="00634A79">
        <w:t>Marelli 1985).</w:t>
      </w:r>
      <w:r w:rsidRPr="008E6EB9">
        <w:t xml:space="preserve"> The</w:t>
      </w:r>
      <w:r w:rsidRPr="00846769">
        <w:t xml:space="preserve"> shell is thin and easily crushed. The shell valves of </w:t>
      </w:r>
      <w:r w:rsidRPr="00846769">
        <w:rPr>
          <w:i/>
          <w:iCs/>
        </w:rPr>
        <w:t xml:space="preserve">M. sallei </w:t>
      </w:r>
      <w:r w:rsidRPr="00846769">
        <w:t>are slightly unequal in size with the left valve fitting inside the right one (</w:t>
      </w:r>
      <w:r w:rsidR="00192097" w:rsidRPr="00846769">
        <w:rPr>
          <w:highlight w:val="yellow"/>
        </w:rPr>
        <w:fldChar w:fldCharType="begin"/>
      </w:r>
      <w:r w:rsidR="00192097" w:rsidRPr="00846769">
        <w:instrText xml:space="preserve"> REF _Ref171943988 \h </w:instrText>
      </w:r>
      <w:r w:rsidR="00192097" w:rsidRPr="00846769">
        <w:rPr>
          <w:highlight w:val="yellow"/>
        </w:rPr>
      </w:r>
      <w:r w:rsidR="00192097" w:rsidRPr="00846769">
        <w:rPr>
          <w:highlight w:val="yellow"/>
        </w:rPr>
        <w:fldChar w:fldCharType="separate"/>
      </w:r>
      <w:r w:rsidR="00192097" w:rsidRPr="00846769">
        <w:t>Photo 8</w:t>
      </w:r>
      <w:r w:rsidR="00192097" w:rsidRPr="00846769">
        <w:rPr>
          <w:highlight w:val="yellow"/>
        </w:rPr>
        <w:fldChar w:fldCharType="end"/>
      </w:r>
      <w:r w:rsidRPr="00846769">
        <w:t xml:space="preserve">). A key diagnostic feature for </w:t>
      </w:r>
      <w:r w:rsidRPr="00846769">
        <w:rPr>
          <w:i/>
          <w:iCs/>
        </w:rPr>
        <w:t xml:space="preserve">M. sallei </w:t>
      </w:r>
      <w:r w:rsidRPr="00846769">
        <w:t>is the shape and position of the apophysis, which is a peg-like structure located insider the beak of the shell that is used to support the muscles used to close the shell (</w:t>
      </w:r>
      <w:r w:rsidR="00192097" w:rsidRPr="00846769">
        <w:rPr>
          <w:highlight w:val="yellow"/>
        </w:rPr>
        <w:fldChar w:fldCharType="begin"/>
      </w:r>
      <w:r w:rsidR="00192097" w:rsidRPr="00846769">
        <w:instrText xml:space="preserve"> REF _Ref171944150 \h </w:instrText>
      </w:r>
      <w:r w:rsidR="00192097" w:rsidRPr="00846769">
        <w:rPr>
          <w:highlight w:val="yellow"/>
        </w:rPr>
      </w:r>
      <w:r w:rsidR="00192097" w:rsidRPr="00846769">
        <w:rPr>
          <w:highlight w:val="yellow"/>
        </w:rPr>
        <w:fldChar w:fldCharType="separate"/>
      </w:r>
      <w:r w:rsidR="00192097" w:rsidRPr="00846769">
        <w:t>Photo 9</w:t>
      </w:r>
      <w:r w:rsidR="00192097" w:rsidRPr="00846769">
        <w:rPr>
          <w:highlight w:val="yellow"/>
        </w:rPr>
        <w:fldChar w:fldCharType="end"/>
      </w:r>
      <w:r w:rsidRPr="00846769">
        <w:t xml:space="preserve">). </w:t>
      </w:r>
      <w:r w:rsidR="00F70C68" w:rsidRPr="00846769">
        <w:t xml:space="preserve">The septum immediately behind the umbo internally is another key diagnostic character for </w:t>
      </w:r>
      <w:r w:rsidR="00F70C68" w:rsidRPr="00846769">
        <w:rPr>
          <w:i/>
          <w:iCs/>
        </w:rPr>
        <w:t>M. sallei</w:t>
      </w:r>
      <w:r w:rsidR="00F812F4" w:rsidRPr="00846769">
        <w:rPr>
          <w:i/>
          <w:iCs/>
        </w:rPr>
        <w:t xml:space="preserve"> </w:t>
      </w:r>
      <w:r w:rsidR="00F812F4" w:rsidRPr="00846769">
        <w:t>(</w:t>
      </w:r>
      <w:r w:rsidR="00192097" w:rsidRPr="00846769">
        <w:rPr>
          <w:highlight w:val="yellow"/>
        </w:rPr>
        <w:fldChar w:fldCharType="begin"/>
      </w:r>
      <w:r w:rsidR="00192097" w:rsidRPr="00846769">
        <w:instrText xml:space="preserve"> REF _Ref171944150 \h </w:instrText>
      </w:r>
      <w:r w:rsidR="00192097" w:rsidRPr="00846769">
        <w:rPr>
          <w:highlight w:val="yellow"/>
        </w:rPr>
      </w:r>
      <w:r w:rsidR="00192097" w:rsidRPr="00846769">
        <w:rPr>
          <w:highlight w:val="yellow"/>
        </w:rPr>
        <w:fldChar w:fldCharType="separate"/>
      </w:r>
      <w:r w:rsidR="00192097" w:rsidRPr="00846769">
        <w:t>Photo 9</w:t>
      </w:r>
      <w:r w:rsidR="00192097" w:rsidRPr="00846769">
        <w:rPr>
          <w:highlight w:val="yellow"/>
        </w:rPr>
        <w:fldChar w:fldCharType="end"/>
      </w:r>
      <w:r w:rsidR="00F812F4" w:rsidRPr="00846769">
        <w:t>)</w:t>
      </w:r>
      <w:r w:rsidR="00F70C68" w:rsidRPr="00846769">
        <w:rPr>
          <w:i/>
          <w:iCs/>
        </w:rPr>
        <w:t xml:space="preserve">. </w:t>
      </w:r>
    </w:p>
    <w:p w14:paraId="75B77551" w14:textId="13BB366D" w:rsidR="00611CCC" w:rsidRPr="00846769" w:rsidRDefault="00611CCC" w:rsidP="00611CCC">
      <w:pPr>
        <w:pStyle w:val="Caption"/>
      </w:pPr>
      <w:bookmarkStart w:id="607" w:name="_Ref171943929"/>
      <w:bookmarkStart w:id="608" w:name="_Toc191999531"/>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7</w:t>
      </w:r>
      <w:r w:rsidRPr="00846769">
        <w:fldChar w:fldCharType="end"/>
      </w:r>
      <w:bookmarkEnd w:id="607"/>
      <w:r w:rsidRPr="00846769">
        <w:t xml:space="preserve"> </w:t>
      </w:r>
      <w:r w:rsidRPr="00846769">
        <w:rPr>
          <w:color w:val="262626" w:themeColor="text1" w:themeTint="D9"/>
        </w:rPr>
        <w:t xml:space="preserve">Typical adult </w:t>
      </w:r>
      <w:r w:rsidRPr="00846769">
        <w:rPr>
          <w:rStyle w:val="Emphasis"/>
          <w:color w:val="262626" w:themeColor="text1" w:themeTint="D9"/>
        </w:rPr>
        <w:t xml:space="preserve">Mytilopsis sallei </w:t>
      </w:r>
      <w:r w:rsidRPr="00846769">
        <w:rPr>
          <w:rStyle w:val="Emphasis"/>
          <w:i w:val="0"/>
          <w:iCs w:val="0"/>
          <w:color w:val="262626" w:themeColor="text1" w:themeTint="D9"/>
        </w:rPr>
        <w:t>showing both sides of the shell (top), and shells at various size ranges (bottom)</w:t>
      </w:r>
      <w:bookmarkEnd w:id="608"/>
    </w:p>
    <w:p w14:paraId="29DEDA23" w14:textId="47FBA3F5" w:rsidR="0071603B" w:rsidRPr="00846769" w:rsidRDefault="00611CCC" w:rsidP="00BF317B">
      <w:pPr>
        <w:rPr>
          <w:i/>
          <w:iCs/>
        </w:rPr>
      </w:pPr>
      <w:r w:rsidRPr="00846769">
        <w:rPr>
          <w:i/>
          <w:iCs/>
          <w:noProof/>
        </w:rPr>
        <w:drawing>
          <wp:inline distT="0" distB="0" distL="0" distR="0" wp14:anchorId="1BCDC573" wp14:editId="3971FC96">
            <wp:extent cx="4306035" cy="5694273"/>
            <wp:effectExtent l="0" t="0" r="0" b="1905"/>
            <wp:docPr id="195355826" name="Picture 4" descr="Coloured photographs of adult Mytilopsis sallei showing the empty shells on the top photograph, and three different sized shells on the bottom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5826" name="Picture 4" descr="Coloured photographs of adult Mytilopsis sallei showing the empty shells on the top photograph, and three different sized shells on the bottom photograph. "/>
                    <pic:cNvPicPr/>
                  </pic:nvPicPr>
                  <pic:blipFill>
                    <a:blip r:embed="rId213" cstate="email">
                      <a:extLst>
                        <a:ext uri="{28A0092B-C50C-407E-A947-70E740481C1C}">
                          <a14:useLocalDpi xmlns:a14="http://schemas.microsoft.com/office/drawing/2010/main" val="0"/>
                        </a:ext>
                      </a:extLst>
                    </a:blip>
                    <a:stretch>
                      <a:fillRect/>
                    </a:stretch>
                  </pic:blipFill>
                  <pic:spPr>
                    <a:xfrm>
                      <a:off x="0" y="0"/>
                      <a:ext cx="4306035" cy="5694273"/>
                    </a:xfrm>
                    <a:prstGeom prst="rect">
                      <a:avLst/>
                    </a:prstGeom>
                  </pic:spPr>
                </pic:pic>
              </a:graphicData>
            </a:graphic>
          </wp:inline>
        </w:drawing>
      </w:r>
    </w:p>
    <w:p w14:paraId="1D310F86" w14:textId="2CFC0820" w:rsidR="0071603B" w:rsidRPr="00846769" w:rsidRDefault="0071603B" w:rsidP="00BF317B">
      <w:pPr>
        <w:rPr>
          <w:sz w:val="18"/>
          <w:szCs w:val="18"/>
        </w:rPr>
      </w:pPr>
      <w:r w:rsidRPr="00846769">
        <w:rPr>
          <w:sz w:val="18"/>
          <w:szCs w:val="18"/>
        </w:rPr>
        <w:t>Source: Northern Territory Government</w:t>
      </w:r>
    </w:p>
    <w:p w14:paraId="71627F22" w14:textId="0DD05069" w:rsidR="0071603B" w:rsidRPr="00846769" w:rsidRDefault="00B5740F" w:rsidP="00BF317B">
      <w:r w:rsidRPr="00846769">
        <w:rPr>
          <w:i/>
          <w:iCs/>
        </w:rPr>
        <w:t xml:space="preserve">Mytilopsis sallei </w:t>
      </w:r>
      <w:r w:rsidRPr="00846769">
        <w:t xml:space="preserve">used to belong to the genus </w:t>
      </w:r>
      <w:proofErr w:type="spellStart"/>
      <w:r w:rsidRPr="00846769">
        <w:rPr>
          <w:i/>
          <w:iCs/>
        </w:rPr>
        <w:t>Congeria</w:t>
      </w:r>
      <w:proofErr w:type="spellEnd"/>
      <w:r w:rsidRPr="00846769">
        <w:t xml:space="preserve">. </w:t>
      </w:r>
      <w:r w:rsidR="002B001F" w:rsidRPr="00846769">
        <w:t>There are currently seven extant species in the</w:t>
      </w:r>
      <w:r w:rsidRPr="00846769">
        <w:t xml:space="preserve"> </w:t>
      </w:r>
      <w:r w:rsidRPr="00846769">
        <w:rPr>
          <w:i/>
          <w:iCs/>
        </w:rPr>
        <w:t xml:space="preserve">Mytilopsis </w:t>
      </w:r>
      <w:r w:rsidRPr="00846769">
        <w:t xml:space="preserve">genus, </w:t>
      </w:r>
      <w:r w:rsidR="00703651" w:rsidRPr="00846769">
        <w:t>but they are poorly defined in morphological terms</w:t>
      </w:r>
      <w:r w:rsidRPr="00846769">
        <w:t xml:space="preserve">. The apophysis is a key diagnostic feature for the </w:t>
      </w:r>
      <w:r w:rsidRPr="00846769">
        <w:rPr>
          <w:i/>
          <w:iCs/>
        </w:rPr>
        <w:t xml:space="preserve">Mytilopsis </w:t>
      </w:r>
      <w:r w:rsidRPr="00846769">
        <w:t xml:space="preserve">genus. Other genera that possess apophysis are freshwater bivalves that are unlikely to occur in the marine </w:t>
      </w:r>
      <w:r w:rsidRPr="007F3FF4">
        <w:t>enviro</w:t>
      </w:r>
      <w:r w:rsidRPr="008E6EB9">
        <w:t>nment (</w:t>
      </w:r>
      <w:proofErr w:type="spellStart"/>
      <w:r w:rsidRPr="00634A79">
        <w:t>Zhulidov</w:t>
      </w:r>
      <w:proofErr w:type="spellEnd"/>
      <w:r w:rsidRPr="00634A79">
        <w:t xml:space="preserve"> et al. 2021</w:t>
      </w:r>
      <w:r w:rsidRPr="008E6EB9">
        <w:t>).</w:t>
      </w:r>
      <w:r w:rsidRPr="00846769">
        <w:t xml:space="preserve"> </w:t>
      </w:r>
    </w:p>
    <w:p w14:paraId="1289C97E" w14:textId="46FB49FE" w:rsidR="00611CCC" w:rsidRPr="00846769" w:rsidRDefault="00611CCC" w:rsidP="00611CCC">
      <w:pPr>
        <w:pStyle w:val="Caption"/>
      </w:pPr>
      <w:bookmarkStart w:id="609" w:name="_Ref171943988"/>
      <w:bookmarkStart w:id="610" w:name="_Toc191999532"/>
      <w:bookmarkStart w:id="611" w:name="_Ref64367357"/>
      <w:bookmarkStart w:id="612" w:name="_Ref64367343"/>
      <w:bookmarkStart w:id="613" w:name="_Toc87599144"/>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8</w:t>
      </w:r>
      <w:r w:rsidRPr="00846769">
        <w:fldChar w:fldCharType="end"/>
      </w:r>
      <w:bookmarkEnd w:id="609"/>
      <w:r w:rsidRPr="00846769">
        <w:t xml:space="preserve"> </w:t>
      </w:r>
      <w:r w:rsidRPr="00846769">
        <w:rPr>
          <w:color w:val="262626" w:themeColor="text1" w:themeTint="D9"/>
        </w:rPr>
        <w:t xml:space="preserve">Uncommon variant of </w:t>
      </w:r>
      <w:r w:rsidRPr="00846769">
        <w:rPr>
          <w:i/>
          <w:iCs/>
          <w:color w:val="262626" w:themeColor="text1" w:themeTint="D9"/>
        </w:rPr>
        <w:t xml:space="preserve">Mytilopsis sallei </w:t>
      </w:r>
      <w:r w:rsidRPr="00846769">
        <w:rPr>
          <w:color w:val="262626" w:themeColor="text1" w:themeTint="D9"/>
        </w:rPr>
        <w:t>with zig-zag markings</w:t>
      </w:r>
      <w:bookmarkEnd w:id="610"/>
    </w:p>
    <w:p w14:paraId="400CF23A" w14:textId="77777777" w:rsidR="004F16CD" w:rsidRPr="00846769" w:rsidRDefault="004F16CD" w:rsidP="004F16CD">
      <w:r w:rsidRPr="00846769">
        <w:rPr>
          <w:noProof/>
        </w:rPr>
        <w:drawing>
          <wp:inline distT="0" distB="0" distL="0" distR="0" wp14:anchorId="03EAD013" wp14:editId="0554F09B">
            <wp:extent cx="4505325" cy="2914849"/>
            <wp:effectExtent l="0" t="0" r="0" b="0"/>
            <wp:docPr id="658195993" name="Picture 6" descr="Coloured photograph of adult Mytilopsis sallei showing important morphological features for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95993" name="Picture 6" descr="Coloured photograph of adult Mytilopsis sallei showing important morphological features for identification."/>
                    <pic:cNvPicPr/>
                  </pic:nvPicPr>
                  <pic:blipFill>
                    <a:blip r:embed="rId214" cstate="screen">
                      <a:extLst>
                        <a:ext uri="{28A0092B-C50C-407E-A947-70E740481C1C}">
                          <a14:useLocalDpi xmlns:a14="http://schemas.microsoft.com/office/drawing/2010/main" val="0"/>
                        </a:ext>
                      </a:extLst>
                    </a:blip>
                    <a:srcRect/>
                    <a:stretch>
                      <a:fillRect/>
                    </a:stretch>
                  </pic:blipFill>
                  <pic:spPr bwMode="auto">
                    <a:xfrm>
                      <a:off x="0" y="0"/>
                      <a:ext cx="4575906" cy="2960513"/>
                    </a:xfrm>
                    <a:prstGeom prst="rect">
                      <a:avLst/>
                    </a:prstGeom>
                    <a:ln>
                      <a:noFill/>
                    </a:ln>
                    <a:extLst>
                      <a:ext uri="{53640926-AAD7-44D8-BBD7-CCE9431645EC}">
                        <a14:shadowObscured xmlns:a14="http://schemas.microsoft.com/office/drawing/2010/main"/>
                      </a:ext>
                    </a:extLst>
                  </pic:spPr>
                </pic:pic>
              </a:graphicData>
            </a:graphic>
          </wp:inline>
        </w:drawing>
      </w:r>
    </w:p>
    <w:p w14:paraId="4BB5639A" w14:textId="409C4F17" w:rsidR="004F16CD" w:rsidRPr="00846769" w:rsidRDefault="004F16CD" w:rsidP="004F16CD">
      <w:pPr>
        <w:spacing w:after="0"/>
        <w:rPr>
          <w:sz w:val="18"/>
          <w:szCs w:val="18"/>
        </w:rPr>
      </w:pPr>
      <w:r w:rsidRPr="00846769">
        <w:rPr>
          <w:rStyle w:val="Strong"/>
          <w:sz w:val="18"/>
          <w:szCs w:val="18"/>
        </w:rPr>
        <w:t xml:space="preserve">A </w:t>
      </w:r>
      <w:r w:rsidRPr="00846769">
        <w:rPr>
          <w:sz w:val="18"/>
          <w:szCs w:val="18"/>
        </w:rPr>
        <w:t xml:space="preserve">Black and white zig-zag markings on the shell. </w:t>
      </w:r>
      <w:r w:rsidRPr="00846769">
        <w:rPr>
          <w:rStyle w:val="Strong"/>
          <w:sz w:val="18"/>
          <w:szCs w:val="18"/>
        </w:rPr>
        <w:t xml:space="preserve">B </w:t>
      </w:r>
      <w:r w:rsidRPr="00846769">
        <w:rPr>
          <w:sz w:val="18"/>
          <w:szCs w:val="18"/>
        </w:rPr>
        <w:t>Valves of unequal size that slightly overlap.</w:t>
      </w:r>
    </w:p>
    <w:p w14:paraId="19A6A098" w14:textId="43F7CE9E" w:rsidR="0071603B" w:rsidRPr="00846769" w:rsidRDefault="004F16CD" w:rsidP="004F16CD">
      <w:pPr>
        <w:pStyle w:val="FigureTableNoteSource"/>
      </w:pPr>
      <w:r w:rsidRPr="00846769">
        <w:t>Source: Copyright Notice: CRIMP, CSIRO Marine Research.</w:t>
      </w:r>
      <w:bookmarkEnd w:id="611"/>
      <w:bookmarkEnd w:id="612"/>
      <w:bookmarkEnd w:id="613"/>
    </w:p>
    <w:p w14:paraId="0B2E2A87" w14:textId="7E0083E2" w:rsidR="00611CCC" w:rsidRPr="00846769" w:rsidRDefault="00611CCC" w:rsidP="00611CCC">
      <w:pPr>
        <w:pStyle w:val="Caption"/>
      </w:pPr>
      <w:bookmarkStart w:id="614" w:name="_Ref171944150"/>
      <w:bookmarkStart w:id="615" w:name="_Toc191999533"/>
      <w:r w:rsidRPr="00846769">
        <w:t xml:space="preserve">Photo </w:t>
      </w:r>
      <w:r w:rsidRPr="00846769">
        <w:fldChar w:fldCharType="begin"/>
      </w:r>
      <w:r w:rsidRPr="00846769">
        <w:instrText xml:space="preserve"> SEQ Photo \* ARABIC </w:instrText>
      </w:r>
      <w:r w:rsidRPr="00846769">
        <w:fldChar w:fldCharType="separate"/>
      </w:r>
      <w:r w:rsidR="00300312" w:rsidRPr="00846769">
        <w:t>9</w:t>
      </w:r>
      <w:r w:rsidRPr="00846769">
        <w:fldChar w:fldCharType="end"/>
      </w:r>
      <w:bookmarkEnd w:id="614"/>
      <w:r w:rsidRPr="00846769">
        <w:t xml:space="preserve"> </w:t>
      </w:r>
      <w:r w:rsidRPr="00846769">
        <w:rPr>
          <w:color w:val="262626" w:themeColor="text1" w:themeTint="D9"/>
        </w:rPr>
        <w:t xml:space="preserve">Shell detail of </w:t>
      </w:r>
      <w:r w:rsidRPr="00846769">
        <w:rPr>
          <w:i/>
          <w:iCs/>
          <w:color w:val="262626" w:themeColor="text1" w:themeTint="D9"/>
        </w:rPr>
        <w:t>Mytilopsis sallei</w:t>
      </w:r>
      <w:bookmarkEnd w:id="615"/>
      <w:r w:rsidRPr="00846769">
        <w:rPr>
          <w:i/>
          <w:iCs/>
          <w:color w:val="262626" w:themeColor="text1" w:themeTint="D9"/>
        </w:rPr>
        <w:t xml:space="preserve"> </w:t>
      </w:r>
    </w:p>
    <w:p w14:paraId="42C43437" w14:textId="48D821AC" w:rsidR="0071603B" w:rsidRPr="00846769" w:rsidRDefault="00611CCC" w:rsidP="00BF317B">
      <w:pPr>
        <w:rPr>
          <w:i/>
          <w:iCs/>
        </w:rPr>
      </w:pPr>
      <w:r w:rsidRPr="00846769">
        <w:rPr>
          <w:i/>
          <w:iCs/>
          <w:noProof/>
        </w:rPr>
        <w:drawing>
          <wp:inline distT="0" distB="0" distL="0" distR="0" wp14:anchorId="269090BD" wp14:editId="2B355E5E">
            <wp:extent cx="3219450" cy="4176891"/>
            <wp:effectExtent l="0" t="0" r="0" b="0"/>
            <wp:docPr id="1383785030" name="Picture 5" descr="Coloured photograph of adult Mytilopsis sallei showing close-up detail of the shell septum and labelled morphological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85030" name="Picture 5" descr="Coloured photograph of adult Mytilopsis sallei showing close-up detail of the shell septum and labelled morphological features. "/>
                    <pic:cNvPicPr/>
                  </pic:nvPicPr>
                  <pic:blipFill>
                    <a:blip r:embed="rId215" cstate="email">
                      <a:extLst>
                        <a:ext uri="{28A0092B-C50C-407E-A947-70E740481C1C}">
                          <a14:useLocalDpi xmlns:a14="http://schemas.microsoft.com/office/drawing/2010/main" val="0"/>
                        </a:ext>
                      </a:extLst>
                    </a:blip>
                    <a:stretch>
                      <a:fillRect/>
                    </a:stretch>
                  </pic:blipFill>
                  <pic:spPr>
                    <a:xfrm>
                      <a:off x="0" y="0"/>
                      <a:ext cx="3223160" cy="4181705"/>
                    </a:xfrm>
                    <a:prstGeom prst="rect">
                      <a:avLst/>
                    </a:prstGeom>
                  </pic:spPr>
                </pic:pic>
              </a:graphicData>
            </a:graphic>
          </wp:inline>
        </w:drawing>
      </w:r>
    </w:p>
    <w:p w14:paraId="276D02B2" w14:textId="6B8A88FB" w:rsidR="00A95A64" w:rsidRPr="00846769" w:rsidRDefault="00A95A64" w:rsidP="00A95A64">
      <w:pPr>
        <w:spacing w:after="0"/>
        <w:rPr>
          <w:sz w:val="18"/>
          <w:szCs w:val="18"/>
        </w:rPr>
      </w:pPr>
      <w:r w:rsidRPr="00846769">
        <w:rPr>
          <w:rStyle w:val="Strong"/>
          <w:sz w:val="18"/>
          <w:szCs w:val="18"/>
        </w:rPr>
        <w:t xml:space="preserve">A </w:t>
      </w:r>
      <w:r w:rsidRPr="00846769">
        <w:rPr>
          <w:sz w:val="18"/>
          <w:szCs w:val="18"/>
        </w:rPr>
        <w:t xml:space="preserve">Septum of the shell. </w:t>
      </w:r>
      <w:r w:rsidRPr="00846769">
        <w:rPr>
          <w:rStyle w:val="Strong"/>
          <w:sz w:val="18"/>
          <w:szCs w:val="18"/>
        </w:rPr>
        <w:t xml:space="preserve">B </w:t>
      </w:r>
      <w:r w:rsidRPr="00846769">
        <w:rPr>
          <w:sz w:val="18"/>
          <w:szCs w:val="18"/>
        </w:rPr>
        <w:t>Apophysis detail of the s</w:t>
      </w:r>
      <w:r w:rsidR="00FE785A" w:rsidRPr="00846769">
        <w:rPr>
          <w:sz w:val="18"/>
          <w:szCs w:val="18"/>
        </w:rPr>
        <w:t>h</w:t>
      </w:r>
      <w:r w:rsidRPr="00846769">
        <w:rPr>
          <w:sz w:val="18"/>
          <w:szCs w:val="18"/>
        </w:rPr>
        <w:t>ell (also indicated with black arrow)</w:t>
      </w:r>
    </w:p>
    <w:p w14:paraId="4D793879" w14:textId="77777777" w:rsidR="004F16CD" w:rsidRPr="00846769" w:rsidRDefault="004F16CD" w:rsidP="004F16CD">
      <w:pPr>
        <w:pStyle w:val="FigureTableNoteSource"/>
      </w:pPr>
      <w:r w:rsidRPr="00846769">
        <w:t>Source: Marine Pest Photo album, ID confirmed by T.K. Siang, National University of Singapore</w:t>
      </w:r>
    </w:p>
    <w:p w14:paraId="3F94EEBD" w14:textId="5B8FE74D" w:rsidR="006939E1" w:rsidRPr="00846769" w:rsidRDefault="002C077F" w:rsidP="00BF317B">
      <w:r>
        <w:rPr>
          <w:i/>
          <w:iCs/>
        </w:rPr>
        <w:lastRenderedPageBreak/>
        <w:t xml:space="preserve">Mytilopsis </w:t>
      </w:r>
      <w:proofErr w:type="spellStart"/>
      <w:r>
        <w:rPr>
          <w:i/>
          <w:iCs/>
        </w:rPr>
        <w:t>leucophaeata</w:t>
      </w:r>
      <w:proofErr w:type="spellEnd"/>
      <w:r>
        <w:rPr>
          <w:i/>
          <w:iCs/>
        </w:rPr>
        <w:t xml:space="preserve"> </w:t>
      </w:r>
      <w:r w:rsidR="00446F36">
        <w:t xml:space="preserve">and </w:t>
      </w:r>
      <w:r w:rsidR="00446F36">
        <w:rPr>
          <w:i/>
          <w:iCs/>
        </w:rPr>
        <w:t xml:space="preserve">M. </w:t>
      </w:r>
      <w:proofErr w:type="spellStart"/>
      <w:r w:rsidR="00446F36">
        <w:rPr>
          <w:i/>
          <w:iCs/>
        </w:rPr>
        <w:t>adamsi</w:t>
      </w:r>
      <w:proofErr w:type="spellEnd"/>
      <w:r w:rsidR="00446F36">
        <w:rPr>
          <w:i/>
          <w:iCs/>
        </w:rPr>
        <w:t xml:space="preserve"> </w:t>
      </w:r>
      <w:r w:rsidR="00446F36">
        <w:t>are both</w:t>
      </w:r>
      <w:r>
        <w:t xml:space="preserve"> related species to </w:t>
      </w:r>
      <w:r>
        <w:rPr>
          <w:i/>
          <w:iCs/>
        </w:rPr>
        <w:t xml:space="preserve">M. sallei </w:t>
      </w:r>
      <w:r>
        <w:t xml:space="preserve">that </w:t>
      </w:r>
      <w:r w:rsidR="00446F36">
        <w:t>are</w:t>
      </w:r>
      <w:r>
        <w:t xml:space="preserve"> not found in Australia but ha</w:t>
      </w:r>
      <w:r w:rsidR="00446F36">
        <w:t>ve</w:t>
      </w:r>
      <w:r>
        <w:t xml:space="preserve"> a history of invasion associated with global shipping vectors. </w:t>
      </w:r>
      <w:r>
        <w:rPr>
          <w:i/>
          <w:iCs/>
        </w:rPr>
        <w:t xml:space="preserve">Mytilopsis </w:t>
      </w:r>
      <w:proofErr w:type="spellStart"/>
      <w:r>
        <w:rPr>
          <w:i/>
          <w:iCs/>
        </w:rPr>
        <w:t>leucophaeata</w:t>
      </w:r>
      <w:proofErr w:type="spellEnd"/>
      <w:r>
        <w:rPr>
          <w:i/>
          <w:iCs/>
        </w:rPr>
        <w:t xml:space="preserve"> </w:t>
      </w:r>
      <w:r>
        <w:t xml:space="preserve">is native to the Gulf of Mexico, with populations reported from north-eastern USA and in the upper </w:t>
      </w:r>
      <w:r w:rsidRPr="008E6EB9">
        <w:t xml:space="preserve">Mississippi River, along the North Sea coasts from Germany to France, and in the River Thames, England </w:t>
      </w:r>
      <w:r w:rsidRPr="008E6EB9">
        <w:rPr>
          <w:noProof/>
        </w:rPr>
        <w:t>(</w:t>
      </w:r>
      <w:r w:rsidRPr="00634A79">
        <w:rPr>
          <w:noProof/>
        </w:rPr>
        <w:t>Therriault et al. 2004</w:t>
      </w:r>
      <w:r w:rsidRPr="008E6EB9">
        <w:rPr>
          <w:noProof/>
        </w:rPr>
        <w:t>)</w:t>
      </w:r>
      <w:r w:rsidRPr="008E6EB9">
        <w:t>.</w:t>
      </w:r>
      <w:r w:rsidR="00446F36" w:rsidRPr="008E6EB9">
        <w:t xml:space="preserve"> Meanwhile </w:t>
      </w:r>
      <w:r w:rsidR="00446F36" w:rsidRPr="008E6EB9">
        <w:rPr>
          <w:i/>
          <w:iCs/>
        </w:rPr>
        <w:t xml:space="preserve">M. </w:t>
      </w:r>
      <w:proofErr w:type="spellStart"/>
      <w:r w:rsidR="00446F36" w:rsidRPr="008E6EB9">
        <w:rPr>
          <w:i/>
          <w:iCs/>
        </w:rPr>
        <w:t>adamsi</w:t>
      </w:r>
      <w:proofErr w:type="spellEnd"/>
      <w:r w:rsidR="00446F36" w:rsidRPr="008E6EB9">
        <w:rPr>
          <w:i/>
          <w:iCs/>
        </w:rPr>
        <w:t xml:space="preserve"> </w:t>
      </w:r>
      <w:r w:rsidR="00446F36" w:rsidRPr="008E6EB9">
        <w:t>is thought to be native to the tropical west Pacific coast of central America and has been established in southern and eastern Asia (Marelli 2021).</w:t>
      </w:r>
      <w:r w:rsidRPr="008E6EB9">
        <w:t xml:space="preserve"> </w:t>
      </w:r>
      <w:r w:rsidRPr="008E6EB9">
        <w:rPr>
          <w:i/>
          <w:iCs/>
        </w:rPr>
        <w:t xml:space="preserve">Mytilopsis sallei </w:t>
      </w:r>
      <w:r w:rsidRPr="008E6EB9">
        <w:t xml:space="preserve">can be distinguished from </w:t>
      </w:r>
      <w:r w:rsidRPr="008E6EB9">
        <w:rPr>
          <w:i/>
        </w:rPr>
        <w:t>M. </w:t>
      </w:r>
      <w:proofErr w:type="spellStart"/>
      <w:r w:rsidRPr="008E6EB9">
        <w:rPr>
          <w:i/>
        </w:rPr>
        <w:t>leucophaeata</w:t>
      </w:r>
      <w:proofErr w:type="spellEnd"/>
      <w:r w:rsidRPr="008E6EB9">
        <w:rPr>
          <w:i/>
        </w:rPr>
        <w:t xml:space="preserve"> </w:t>
      </w:r>
      <w:r w:rsidRPr="008E6EB9">
        <w:rPr>
          <w:iCs/>
        </w:rPr>
        <w:t xml:space="preserve">by: (1) the dorsal margin of the shell in </w:t>
      </w:r>
      <w:r w:rsidRPr="008E6EB9">
        <w:rPr>
          <w:i/>
        </w:rPr>
        <w:t xml:space="preserve">M. sallei </w:t>
      </w:r>
      <w:r w:rsidRPr="008E6EB9">
        <w:rPr>
          <w:iCs/>
        </w:rPr>
        <w:t xml:space="preserve">is more curved than </w:t>
      </w:r>
      <w:r w:rsidRPr="008E6EB9">
        <w:rPr>
          <w:i/>
        </w:rPr>
        <w:t xml:space="preserve">M. </w:t>
      </w:r>
      <w:proofErr w:type="spellStart"/>
      <w:r w:rsidRPr="008E6EB9">
        <w:rPr>
          <w:i/>
        </w:rPr>
        <w:t>leucophaeata</w:t>
      </w:r>
      <w:proofErr w:type="spellEnd"/>
      <w:r w:rsidRPr="008E6EB9">
        <w:rPr>
          <w:iCs/>
        </w:rPr>
        <w:t xml:space="preserve">; and (2) the shape of the apophysis. The apophysis in </w:t>
      </w:r>
      <w:r w:rsidRPr="008E6EB9">
        <w:rPr>
          <w:i/>
        </w:rPr>
        <w:t xml:space="preserve">M. sallei </w:t>
      </w:r>
      <w:r w:rsidRPr="008E6EB9">
        <w:rPr>
          <w:iCs/>
        </w:rPr>
        <w:t>is large, posteriorly pointed or hook shaped (</w:t>
      </w:r>
      <w:r w:rsidRPr="008E6EB9">
        <w:rPr>
          <w:iCs/>
        </w:rPr>
        <w:fldChar w:fldCharType="begin"/>
      </w:r>
      <w:r w:rsidRPr="008E6EB9">
        <w:rPr>
          <w:iCs/>
        </w:rPr>
        <w:instrText xml:space="preserve"> REF _Ref171944150 \h </w:instrText>
      </w:r>
      <w:r w:rsidR="008E6EB9">
        <w:rPr>
          <w:iCs/>
        </w:rPr>
        <w:instrText xml:space="preserve"> \* MERGEFORMAT </w:instrText>
      </w:r>
      <w:r w:rsidRPr="008E6EB9">
        <w:rPr>
          <w:iCs/>
        </w:rPr>
      </w:r>
      <w:r w:rsidRPr="008E6EB9">
        <w:rPr>
          <w:iCs/>
        </w:rPr>
        <w:fldChar w:fldCharType="separate"/>
      </w:r>
      <w:r w:rsidRPr="008E6EB9">
        <w:t>Photo 9</w:t>
      </w:r>
      <w:r w:rsidRPr="008E6EB9">
        <w:rPr>
          <w:iCs/>
        </w:rPr>
        <w:fldChar w:fldCharType="end"/>
      </w:r>
      <w:r w:rsidRPr="008E6EB9">
        <w:rPr>
          <w:iCs/>
        </w:rPr>
        <w:t xml:space="preserve">; Marelli &amp; Gray 1983), whereas the apophysis of </w:t>
      </w:r>
      <w:r w:rsidRPr="008E6EB9">
        <w:rPr>
          <w:i/>
        </w:rPr>
        <w:t>M. </w:t>
      </w:r>
      <w:proofErr w:type="spellStart"/>
      <w:r w:rsidRPr="008E6EB9">
        <w:rPr>
          <w:i/>
        </w:rPr>
        <w:t>leucophaeata</w:t>
      </w:r>
      <w:proofErr w:type="spellEnd"/>
      <w:r w:rsidRPr="008E6EB9">
        <w:rPr>
          <w:i/>
        </w:rPr>
        <w:t xml:space="preserve"> </w:t>
      </w:r>
      <w:r w:rsidRPr="008E6EB9">
        <w:rPr>
          <w:iCs/>
        </w:rPr>
        <w:t xml:space="preserve">is smaller, often rounded. </w:t>
      </w:r>
      <w:r w:rsidR="00446F36" w:rsidRPr="008E6EB9">
        <w:rPr>
          <w:i/>
        </w:rPr>
        <w:t xml:space="preserve">Mytilopsis sallei </w:t>
      </w:r>
      <w:r w:rsidR="00446F36" w:rsidRPr="008E6EB9">
        <w:rPr>
          <w:iCs/>
        </w:rPr>
        <w:t xml:space="preserve">can also be distinguished from other </w:t>
      </w:r>
      <w:r w:rsidR="00446F36" w:rsidRPr="008E6EB9">
        <w:rPr>
          <w:i/>
        </w:rPr>
        <w:t xml:space="preserve">Mytilopsis </w:t>
      </w:r>
      <w:r w:rsidR="00446F36" w:rsidRPr="008E6EB9">
        <w:rPr>
          <w:iCs/>
        </w:rPr>
        <w:t xml:space="preserve">spp. but only by expert taxonomists (see </w:t>
      </w:r>
      <w:r w:rsidR="00446F36" w:rsidRPr="00634A79">
        <w:rPr>
          <w:iCs/>
        </w:rPr>
        <w:t>Marelli 2021</w:t>
      </w:r>
      <w:r w:rsidR="00446F36" w:rsidRPr="008E6EB9">
        <w:rPr>
          <w:iCs/>
        </w:rPr>
        <w:t xml:space="preserve">). </w:t>
      </w:r>
      <w:r w:rsidRPr="008E6EB9">
        <w:t>Australia</w:t>
      </w:r>
      <w:r w:rsidRPr="00B93594">
        <w:t xml:space="preserve"> has no native species </w:t>
      </w:r>
      <w:r>
        <w:t>belonging to the</w:t>
      </w:r>
      <w:r w:rsidRPr="00B93594">
        <w:t xml:space="preserve"> family </w:t>
      </w:r>
      <w:proofErr w:type="spellStart"/>
      <w:r w:rsidRPr="0065386A">
        <w:rPr>
          <w:rStyle w:val="Emphasis"/>
          <w:i w:val="0"/>
          <w:iCs w:val="0"/>
        </w:rPr>
        <w:t>Dreissenidae</w:t>
      </w:r>
      <w:proofErr w:type="spellEnd"/>
      <w:r w:rsidRPr="0065386A">
        <w:rPr>
          <w:i/>
          <w:iCs/>
        </w:rPr>
        <w:t xml:space="preserve"> </w:t>
      </w:r>
      <w:r w:rsidRPr="00B93594">
        <w:t xml:space="preserve">or superfamily </w:t>
      </w:r>
      <w:proofErr w:type="spellStart"/>
      <w:r w:rsidRPr="0065386A">
        <w:rPr>
          <w:rStyle w:val="Emphasis"/>
          <w:i w:val="0"/>
          <w:iCs w:val="0"/>
        </w:rPr>
        <w:t>Dreissenoidea</w:t>
      </w:r>
      <w:proofErr w:type="spellEnd"/>
      <w:r w:rsidR="00B5740F" w:rsidRPr="00846769">
        <w:t>.</w:t>
      </w:r>
    </w:p>
    <w:p w14:paraId="2DC856F1" w14:textId="77777777" w:rsidR="00BE7931" w:rsidRPr="00846769" w:rsidRDefault="00BE7931" w:rsidP="00BE7931">
      <w:pPr>
        <w:pStyle w:val="Heading6"/>
        <w:spacing w:after="40"/>
        <w:rPr>
          <w:color w:val="262626" w:themeColor="text1" w:themeTint="D9"/>
        </w:rPr>
      </w:pPr>
      <w:r w:rsidRPr="00846769">
        <w:rPr>
          <w:color w:val="262626" w:themeColor="text1" w:themeTint="D9"/>
        </w:rPr>
        <w:t>Similar native species</w:t>
      </w:r>
    </w:p>
    <w:p w14:paraId="71A74BA9" w14:textId="0A45392D" w:rsidR="00796FA2" w:rsidRPr="00846769" w:rsidRDefault="00BE7931" w:rsidP="001D1D74">
      <w:pPr>
        <w:rPr>
          <w:i/>
          <w:iCs/>
        </w:rPr>
      </w:pPr>
      <w:r w:rsidRPr="00846769">
        <w:t xml:space="preserve">While there are no native </w:t>
      </w:r>
      <w:proofErr w:type="spellStart"/>
      <w:r w:rsidRPr="00846769">
        <w:t>Dreissenidae</w:t>
      </w:r>
      <w:proofErr w:type="spellEnd"/>
      <w:r w:rsidRPr="00846769">
        <w:t xml:space="preserve"> species in Australia, </w:t>
      </w:r>
      <w:r w:rsidRPr="00846769">
        <w:rPr>
          <w:i/>
          <w:iCs/>
        </w:rPr>
        <w:t xml:space="preserve">M. sallei </w:t>
      </w:r>
      <w:r w:rsidRPr="00846769">
        <w:t xml:space="preserve">is </w:t>
      </w:r>
      <w:r w:rsidR="001D1D74" w:rsidRPr="00846769">
        <w:t xml:space="preserve">morphologically </w:t>
      </w:r>
      <w:proofErr w:type="gramStart"/>
      <w:r w:rsidRPr="00846769">
        <w:t>similar</w:t>
      </w:r>
      <w:r w:rsidR="001D1D74" w:rsidRPr="00846769">
        <w:t xml:space="preserve"> to</w:t>
      </w:r>
      <w:proofErr w:type="gramEnd"/>
      <w:r w:rsidR="001D1D74" w:rsidRPr="00846769">
        <w:t xml:space="preserve"> native Australian </w:t>
      </w:r>
      <w:r w:rsidR="000B07D9" w:rsidRPr="00846769">
        <w:t>mytiliform species</w:t>
      </w:r>
      <w:r w:rsidRPr="00846769">
        <w:t xml:space="preserve">, at least superficially (notably the following genera: </w:t>
      </w:r>
      <w:proofErr w:type="spellStart"/>
      <w:r w:rsidRPr="00846769">
        <w:rPr>
          <w:i/>
          <w:iCs/>
        </w:rPr>
        <w:t>Brachidontes</w:t>
      </w:r>
      <w:proofErr w:type="spellEnd"/>
      <w:r w:rsidRPr="00846769">
        <w:rPr>
          <w:i/>
          <w:iCs/>
        </w:rPr>
        <w:t>, Mytilus</w:t>
      </w:r>
      <w:r w:rsidR="00FE785A" w:rsidRPr="00846769">
        <w:rPr>
          <w:i/>
          <w:iCs/>
        </w:rPr>
        <w:t>,</w:t>
      </w:r>
      <w:r w:rsidRPr="00846769">
        <w:t xml:space="preserve"> and </w:t>
      </w:r>
      <w:proofErr w:type="spellStart"/>
      <w:r w:rsidRPr="00846769">
        <w:rPr>
          <w:i/>
          <w:iCs/>
        </w:rPr>
        <w:t>Xenostrobus</w:t>
      </w:r>
      <w:proofErr w:type="spellEnd"/>
      <w:r w:rsidRPr="00846769">
        <w:t xml:space="preserve">). However, most native </w:t>
      </w:r>
      <w:proofErr w:type="spellStart"/>
      <w:r w:rsidRPr="00846769">
        <w:t>mytili</w:t>
      </w:r>
      <w:r w:rsidR="00FE785A" w:rsidRPr="00846769">
        <w:t>forms</w:t>
      </w:r>
      <w:proofErr w:type="spellEnd"/>
      <w:r w:rsidRPr="00846769">
        <w:t xml:space="preserve"> have features that can readily distinguish them from </w:t>
      </w:r>
      <w:r w:rsidRPr="00846769">
        <w:rPr>
          <w:i/>
          <w:iCs/>
        </w:rPr>
        <w:t xml:space="preserve">M. sallei. </w:t>
      </w:r>
      <w:r w:rsidRPr="00846769">
        <w:t xml:space="preserve">For example, </w:t>
      </w:r>
      <w:proofErr w:type="spellStart"/>
      <w:r w:rsidRPr="00846769">
        <w:rPr>
          <w:i/>
          <w:iCs/>
        </w:rPr>
        <w:t>Brachidontes</w:t>
      </w:r>
      <w:proofErr w:type="spellEnd"/>
      <w:r w:rsidRPr="00846769">
        <w:rPr>
          <w:i/>
          <w:iCs/>
        </w:rPr>
        <w:t xml:space="preserve"> rostratus </w:t>
      </w:r>
      <w:r w:rsidRPr="00846769">
        <w:t xml:space="preserve">has notable radial sculpture on its shell which is absent in </w:t>
      </w:r>
      <w:r w:rsidRPr="00846769">
        <w:rPr>
          <w:i/>
          <w:iCs/>
        </w:rPr>
        <w:t>M. sallei.</w:t>
      </w:r>
      <w:r w:rsidR="00796FA2" w:rsidRPr="00846769">
        <w:rPr>
          <w:i/>
          <w:iCs/>
        </w:rPr>
        <w:t xml:space="preserve"> </w:t>
      </w:r>
      <w:r w:rsidR="00796FA2" w:rsidRPr="00846769">
        <w:t xml:space="preserve">In heavy fouling, </w:t>
      </w:r>
      <w:r w:rsidR="00796FA2" w:rsidRPr="00846769">
        <w:rPr>
          <w:i/>
          <w:iCs/>
        </w:rPr>
        <w:t xml:space="preserve">M. sallei </w:t>
      </w:r>
      <w:r w:rsidR="00796FA2" w:rsidRPr="00846769">
        <w:t>may superficially be confused with infestations of goose barnacles (</w:t>
      </w:r>
      <w:r w:rsidR="00796FA2" w:rsidRPr="00846769">
        <w:rPr>
          <w:i/>
          <w:iCs/>
        </w:rPr>
        <w:t xml:space="preserve">Lepas </w:t>
      </w:r>
      <w:r w:rsidR="00796FA2" w:rsidRPr="00846769">
        <w:t xml:space="preserve">spp.). </w:t>
      </w:r>
    </w:p>
    <w:p w14:paraId="15F45741" w14:textId="2BF967F1" w:rsidR="001D1D74" w:rsidRPr="00846769" w:rsidRDefault="001D1D74" w:rsidP="00BF317B">
      <w:r w:rsidRPr="00846769">
        <w:t xml:space="preserve">Photographs of some similar native bivalves to </w:t>
      </w:r>
      <w:r w:rsidR="00BE7931" w:rsidRPr="00846769">
        <w:rPr>
          <w:i/>
          <w:iCs/>
        </w:rPr>
        <w:t>M. sallei</w:t>
      </w:r>
      <w:r w:rsidRPr="00846769">
        <w:t xml:space="preserve"> can be found at the </w:t>
      </w:r>
      <w:hyperlink r:id="rId216" w:history="1">
        <w:r w:rsidRPr="00846769">
          <w:rPr>
            <w:rStyle w:val="Hyperlink"/>
          </w:rPr>
          <w:t>marine pests website.</w:t>
        </w:r>
      </w:hyperlink>
      <w:r w:rsidRPr="00846769">
        <w:t xml:space="preserve"> </w:t>
      </w:r>
    </w:p>
    <w:p w14:paraId="07E22A54" w14:textId="00FDB321" w:rsidR="001D1D74" w:rsidRPr="00846769" w:rsidRDefault="001D1D74" w:rsidP="001D1D74">
      <w:pPr>
        <w:pStyle w:val="Heading6"/>
        <w:spacing w:after="40"/>
        <w:rPr>
          <w:color w:val="262626" w:themeColor="text1" w:themeTint="D9"/>
        </w:rPr>
      </w:pPr>
      <w:r w:rsidRPr="00846769">
        <w:rPr>
          <w:color w:val="262626" w:themeColor="text1" w:themeTint="D9"/>
        </w:rPr>
        <w:t>Laboratory and molecular identification</w:t>
      </w:r>
    </w:p>
    <w:p w14:paraId="3130B5C7" w14:textId="214A98AE" w:rsidR="006939E1" w:rsidRPr="00846769" w:rsidRDefault="00B5740F" w:rsidP="00BF317B">
      <w:r w:rsidRPr="00846769">
        <w:t xml:space="preserve">A qPCR </w:t>
      </w:r>
      <w:r w:rsidR="0EAE3264" w:rsidRPr="00846769">
        <w:t xml:space="preserve">assay </w:t>
      </w:r>
      <w:r w:rsidRPr="00846769">
        <w:t xml:space="preserve">is available for the detection of </w:t>
      </w:r>
      <w:r w:rsidRPr="00846769">
        <w:rPr>
          <w:i/>
          <w:iCs/>
        </w:rPr>
        <w:t>Mytilopsis sallei</w:t>
      </w:r>
      <w:r w:rsidRPr="00846769">
        <w:t xml:space="preserve">. The qPCR </w:t>
      </w:r>
      <w:r w:rsidR="2BD02DBA" w:rsidRPr="00846769">
        <w:t xml:space="preserve">assay </w:t>
      </w:r>
      <w:r w:rsidRPr="00846769">
        <w:t>is species-specific when tested on a range of other bivalve and marine species</w:t>
      </w:r>
      <w:r w:rsidR="005D5B54">
        <w:t xml:space="preserve"> and can detect </w:t>
      </w:r>
      <w:r w:rsidR="005D5B54">
        <w:rPr>
          <w:i/>
          <w:iCs/>
        </w:rPr>
        <w:t xml:space="preserve">M. sallei </w:t>
      </w:r>
      <w:r w:rsidR="005D5B54">
        <w:t xml:space="preserve">in plankton samples spiked with </w:t>
      </w:r>
      <w:r w:rsidR="005D5B54">
        <w:rPr>
          <w:i/>
          <w:iCs/>
        </w:rPr>
        <w:t xml:space="preserve">M. sallei </w:t>
      </w:r>
      <w:r w:rsidR="005D5B54" w:rsidRPr="008E6EB9">
        <w:t>DNA (</w:t>
      </w:r>
      <w:r w:rsidR="005D5B54" w:rsidRPr="00634A79">
        <w:t>Bott et al. 2012)</w:t>
      </w:r>
      <w:r w:rsidRPr="00634A79">
        <w:t xml:space="preserve">. </w:t>
      </w:r>
      <w:r w:rsidR="005D5B54" w:rsidRPr="008E6EB9">
        <w:t>The assay</w:t>
      </w:r>
      <w:r w:rsidR="005D5B54">
        <w:t xml:space="preserve"> has been applied to molecular surveillance around Australia with no detection, providing confidence in its field specificity for Australian application (Wiltshire et al. 2023). Wiltshire et al. (2023) also operationally validated this assay by testing plankton samples to which </w:t>
      </w:r>
      <w:r w:rsidR="005D5B54">
        <w:rPr>
          <w:i/>
          <w:iCs/>
        </w:rPr>
        <w:t xml:space="preserve">M. sallei </w:t>
      </w:r>
      <w:r w:rsidR="005D5B54">
        <w:t>tissue was added, demonstrating high diagnostic sensitivity for field application.</w:t>
      </w:r>
      <w:r w:rsidRPr="00933093">
        <w:t xml:space="preserve"> Dias et al. (2018)</w:t>
      </w:r>
      <w:r w:rsidRPr="00846769">
        <w:t xml:space="preserve"> have systematically undertaken taxonomic verification and vouchering of a reference </w:t>
      </w:r>
      <w:r w:rsidR="005D5B54">
        <w:rPr>
          <w:i/>
          <w:iCs/>
        </w:rPr>
        <w:t xml:space="preserve">M. sallei </w:t>
      </w:r>
      <w:r w:rsidRPr="00846769">
        <w:t>specimen corresponding to a species-specific short DNA sequence or ‘barcode’ (mitochondrial COI)</w:t>
      </w:r>
      <w:r w:rsidR="00BA77C5" w:rsidRPr="00846769">
        <w:t xml:space="preserve"> of ~650 base pairs</w:t>
      </w:r>
      <w:r w:rsidRPr="00846769">
        <w:t>.</w:t>
      </w:r>
    </w:p>
    <w:p w14:paraId="34BA4E7D" w14:textId="3363DFCE" w:rsidR="006939E1" w:rsidRPr="00846769" w:rsidRDefault="00B5740F" w:rsidP="00BF317B">
      <w:pPr>
        <w:rPr>
          <w:rFonts w:cstheme="minorHAnsi"/>
        </w:rPr>
      </w:pPr>
      <w:r w:rsidRPr="00846769">
        <w:rPr>
          <w:rFonts w:cstheme="minorHAnsi"/>
        </w:rPr>
        <w:t>Refer to the guidelines for development and validation of assays for marine pests</w:t>
      </w:r>
      <w:r w:rsidRPr="00846769">
        <w:t xml:space="preserve"> for further information</w:t>
      </w:r>
      <w:r w:rsidRPr="00846769">
        <w:rPr>
          <w:rFonts w:cstheme="minorHAnsi"/>
        </w:rPr>
        <w:t xml:space="preserve"> </w:t>
      </w:r>
      <w:r w:rsidR="002A1B1E" w:rsidRPr="00846769">
        <w:rPr>
          <w:rFonts w:cstheme="minorHAnsi"/>
        </w:rPr>
        <w:t>see the</w:t>
      </w:r>
      <w:r w:rsidRPr="00846769">
        <w:rPr>
          <w:rFonts w:cstheme="minorHAnsi"/>
        </w:rPr>
        <w:t xml:space="preserve"> </w:t>
      </w:r>
      <w:hyperlink r:id="rId217" w:anchor=":~:text=Compendium%20of%20introduced%20marine%20pest%20molecular%20studies%20relevant%20to%20Australia,-Department%20of%20Agriculture&amp;text=This%20compendium%20provides%20a%20central,research%20and%20surveillance%20in%20Australia." w:history="1">
        <w:r w:rsidR="002A1B1E" w:rsidRPr="00846769">
          <w:rPr>
            <w:rStyle w:val="Hyperlink"/>
            <w:rFonts w:cstheme="minorHAnsi"/>
          </w:rPr>
          <w:t>c</w:t>
        </w:r>
        <w:r w:rsidRPr="00846769">
          <w:rPr>
            <w:rStyle w:val="Hyperlink"/>
            <w:rFonts w:cstheme="minorHAnsi"/>
          </w:rPr>
          <w:t>ompendium of introduced marine pest molecular studies relevant to Australia</w:t>
        </w:r>
      </w:hyperlink>
      <w:r w:rsidRPr="00846769">
        <w:rPr>
          <w:rFonts w:cstheme="minorHAnsi"/>
        </w:rPr>
        <w:t>.</w:t>
      </w:r>
    </w:p>
    <w:p w14:paraId="6A61D7EA" w14:textId="77777777" w:rsidR="006939E1" w:rsidRPr="00846769" w:rsidRDefault="00B5740F" w:rsidP="001D1D74">
      <w:pPr>
        <w:pStyle w:val="Heading5"/>
        <w:spacing w:after="120"/>
        <w:rPr>
          <w:color w:val="262626" w:themeColor="text1" w:themeTint="D9"/>
          <w:sz w:val="24"/>
          <w:szCs w:val="24"/>
        </w:rPr>
      </w:pPr>
      <w:r w:rsidRPr="00846769">
        <w:rPr>
          <w:color w:val="262626" w:themeColor="text1" w:themeTint="D9"/>
          <w:sz w:val="24"/>
          <w:szCs w:val="24"/>
        </w:rPr>
        <w:t>Life history and ecology</w:t>
      </w:r>
    </w:p>
    <w:p w14:paraId="46A5294A" w14:textId="77777777" w:rsidR="006939E1" w:rsidRPr="00846769" w:rsidRDefault="00B5740F" w:rsidP="00F22DD1">
      <w:pPr>
        <w:pStyle w:val="Heading6"/>
        <w:spacing w:after="40"/>
        <w:rPr>
          <w:color w:val="262626" w:themeColor="text1" w:themeTint="D9"/>
        </w:rPr>
      </w:pPr>
      <w:r w:rsidRPr="00846769">
        <w:rPr>
          <w:color w:val="262626" w:themeColor="text1" w:themeTint="D9"/>
        </w:rPr>
        <w:t>Life habit</w:t>
      </w:r>
    </w:p>
    <w:p w14:paraId="492DCA55" w14:textId="54F4F2D0" w:rsidR="006939E1" w:rsidRPr="00846769" w:rsidRDefault="00B5740F" w:rsidP="00BF317B">
      <w:pPr>
        <w:rPr>
          <w:color w:val="000000" w:themeColor="text1"/>
        </w:rPr>
      </w:pPr>
      <w:r w:rsidRPr="00846769">
        <w:rPr>
          <w:i/>
          <w:iCs/>
        </w:rPr>
        <w:t xml:space="preserve">Mytilopsis sallei </w:t>
      </w:r>
      <w:r w:rsidRPr="00846769">
        <w:t>is an epibenthic suspension feeder. It attaches to substrate</w:t>
      </w:r>
      <w:r w:rsidR="0009165A" w:rsidRPr="00846769">
        <w:t>s</w:t>
      </w:r>
      <w:r w:rsidRPr="00846769">
        <w:t xml:space="preserve"> using byssus threads. In its native range, </w:t>
      </w:r>
      <w:r w:rsidRPr="00846769">
        <w:rPr>
          <w:i/>
          <w:iCs/>
        </w:rPr>
        <w:t xml:space="preserve">M. sallei </w:t>
      </w:r>
      <w:r w:rsidRPr="00846769">
        <w:t xml:space="preserve">occupies shallow coastal lagoons. </w:t>
      </w:r>
      <w:r w:rsidR="7CD668AC" w:rsidRPr="00846769">
        <w:t>I</w:t>
      </w:r>
      <w:r w:rsidRPr="00846769">
        <w:t>n its introduced range, it is found predominantly in sheltered intertidal and shallow subtidal habitats, usually no deeper than 2</w:t>
      </w:r>
      <w:r w:rsidR="002A1B1E" w:rsidRPr="00846769">
        <w:t> </w:t>
      </w:r>
      <w:r w:rsidRPr="00846769">
        <w:t>m</w:t>
      </w:r>
      <w:r w:rsidR="00FE785A" w:rsidRPr="00846769">
        <w:t xml:space="preserve"> </w:t>
      </w:r>
      <w:r w:rsidRPr="00846769">
        <w:t xml:space="preserve">below low </w:t>
      </w:r>
      <w:r w:rsidRPr="008E6EB9">
        <w:t>tide (</w:t>
      </w:r>
      <w:proofErr w:type="spellStart"/>
      <w:r w:rsidRPr="00634A79">
        <w:t>Karande</w:t>
      </w:r>
      <w:proofErr w:type="spellEnd"/>
      <w:r w:rsidRPr="00634A79">
        <w:t xml:space="preserve"> &amp; Menon 1975; Udhayakumar &amp; </w:t>
      </w:r>
      <w:proofErr w:type="spellStart"/>
      <w:r w:rsidRPr="00634A79">
        <w:t>Karande</w:t>
      </w:r>
      <w:proofErr w:type="spellEnd"/>
      <w:r w:rsidRPr="00634A79">
        <w:t xml:space="preserve"> 1989</w:t>
      </w:r>
      <w:r w:rsidRPr="008E6EB9">
        <w:t>).</w:t>
      </w:r>
      <w:r w:rsidRPr="00846769">
        <w:t xml:space="preserve"> </w:t>
      </w:r>
      <w:r w:rsidRPr="00846769">
        <w:rPr>
          <w:i/>
          <w:iCs/>
        </w:rPr>
        <w:t xml:space="preserve">Mytilopsis sallei </w:t>
      </w:r>
      <w:r w:rsidRPr="00846769">
        <w:t xml:space="preserve">prefers to settle on vertical surfaces and objects, but can form dense aggregations on all substrata, </w:t>
      </w:r>
      <w:r w:rsidRPr="00846769">
        <w:rPr>
          <w:color w:val="000000" w:themeColor="text1"/>
        </w:rPr>
        <w:t>consisting of hundreds or thousands of individuals per m</w:t>
      </w:r>
      <w:r w:rsidRPr="00846769">
        <w:rPr>
          <w:color w:val="000000" w:themeColor="text1"/>
          <w:vertAlign w:val="superscript"/>
        </w:rPr>
        <w:t>2</w:t>
      </w:r>
      <w:r w:rsidRPr="00846769">
        <w:rPr>
          <w:color w:val="000000" w:themeColor="text1"/>
        </w:rPr>
        <w:t xml:space="preserve">. </w:t>
      </w:r>
    </w:p>
    <w:p w14:paraId="7CB7FF88" w14:textId="3AA95BC6" w:rsidR="006939E1" w:rsidRPr="008E6EB9" w:rsidRDefault="00B5740F" w:rsidP="00BF317B">
      <w:pPr>
        <w:rPr>
          <w:color w:val="000000" w:themeColor="text1"/>
        </w:rPr>
      </w:pPr>
      <w:r w:rsidRPr="008E6EB9">
        <w:rPr>
          <w:i/>
          <w:iCs/>
          <w:color w:val="000000" w:themeColor="text1"/>
        </w:rPr>
        <w:lastRenderedPageBreak/>
        <w:t xml:space="preserve">Mytilopsis sallei </w:t>
      </w:r>
      <w:r w:rsidRPr="008E6EB9">
        <w:rPr>
          <w:color w:val="000000" w:themeColor="text1"/>
        </w:rPr>
        <w:t>can tolerate a wide range of salinities and water temperature. The optimal salinity range is between 22 and 32 ppt (</w:t>
      </w:r>
      <w:r w:rsidRPr="00634A79">
        <w:rPr>
          <w:color w:val="000000" w:themeColor="text1"/>
        </w:rPr>
        <w:t>Ganapathi et al. 1971</w:t>
      </w:r>
      <w:r w:rsidRPr="008E6EB9">
        <w:rPr>
          <w:color w:val="000000" w:themeColor="text1"/>
        </w:rPr>
        <w:t xml:space="preserve">), but </w:t>
      </w:r>
      <w:r w:rsidRPr="008E6EB9">
        <w:rPr>
          <w:i/>
          <w:iCs/>
          <w:color w:val="000000" w:themeColor="text1"/>
        </w:rPr>
        <w:t xml:space="preserve">M. sallei </w:t>
      </w:r>
      <w:r w:rsidRPr="008E6EB9">
        <w:rPr>
          <w:color w:val="000000" w:themeColor="text1"/>
        </w:rPr>
        <w:t>can survive in freshwater (</w:t>
      </w:r>
      <w:proofErr w:type="spellStart"/>
      <w:r w:rsidRPr="00634A79">
        <w:rPr>
          <w:color w:val="000000" w:themeColor="text1"/>
        </w:rPr>
        <w:t>Karande</w:t>
      </w:r>
      <w:proofErr w:type="spellEnd"/>
      <w:r w:rsidR="0065386A" w:rsidRPr="00634A79">
        <w:rPr>
          <w:color w:val="000000" w:themeColor="text1"/>
        </w:rPr>
        <w:t xml:space="preserve"> </w:t>
      </w:r>
      <w:r w:rsidRPr="00634A79">
        <w:rPr>
          <w:color w:val="000000" w:themeColor="text1"/>
        </w:rPr>
        <w:t>&amp; Menon 1975</w:t>
      </w:r>
      <w:r w:rsidRPr="008E6EB9">
        <w:rPr>
          <w:color w:val="000000" w:themeColor="text1"/>
        </w:rPr>
        <w:t xml:space="preserve">). </w:t>
      </w:r>
      <w:r w:rsidRPr="008E6EB9">
        <w:rPr>
          <w:i/>
          <w:iCs/>
          <w:color w:val="000000" w:themeColor="text1"/>
        </w:rPr>
        <w:t xml:space="preserve">Mytilopsis sallei </w:t>
      </w:r>
      <w:r w:rsidRPr="008E6EB9">
        <w:rPr>
          <w:color w:val="000000" w:themeColor="text1"/>
        </w:rPr>
        <w:t xml:space="preserve">is abundant in the river and monsoon drains in Singapore up to several kilometres inland from the sea </w:t>
      </w:r>
      <w:r w:rsidRPr="00634A79">
        <w:rPr>
          <w:color w:val="000000" w:themeColor="text1"/>
        </w:rPr>
        <w:t>(Tan &amp; Morton 2006</w:t>
      </w:r>
      <w:r w:rsidRPr="008E6EB9">
        <w:rPr>
          <w:color w:val="000000" w:themeColor="text1"/>
        </w:rPr>
        <w:t xml:space="preserve">). Spawning in </w:t>
      </w:r>
      <w:r w:rsidRPr="008E6EB9">
        <w:rPr>
          <w:i/>
          <w:iCs/>
          <w:color w:val="000000" w:themeColor="text1"/>
        </w:rPr>
        <w:t xml:space="preserve">M. sallei </w:t>
      </w:r>
      <w:r w:rsidRPr="008E6EB9">
        <w:rPr>
          <w:color w:val="000000" w:themeColor="text1"/>
        </w:rPr>
        <w:t xml:space="preserve">is linked to a drop in salinity, with no spawning occurring above 35 ppt. </w:t>
      </w:r>
      <w:r w:rsidRPr="00634A79">
        <w:rPr>
          <w:rFonts w:ascii="Calibri" w:hAnsi="Calibri" w:cs="Calibri"/>
          <w:color w:val="000000" w:themeColor="text1"/>
          <w:shd w:val="clear" w:color="auto" w:fill="FFFFFF"/>
        </w:rPr>
        <w:t>Wells (2019)</w:t>
      </w:r>
      <w:r w:rsidRPr="008E6EB9">
        <w:rPr>
          <w:rFonts w:ascii="Calibri" w:hAnsi="Calibri" w:cs="Calibri"/>
          <w:color w:val="000000" w:themeColor="text1"/>
          <w:shd w:val="clear" w:color="auto" w:fill="FFFFFF"/>
        </w:rPr>
        <w:t xml:space="preserve"> suggested that the osmotic shock to veliger larvae when exposed to higher salinities outside of the marinas where it was present may have reduced the risk of its potential spread in Darwin during the outbreak in </w:t>
      </w:r>
      <w:r w:rsidR="00087B61" w:rsidRPr="008E6EB9">
        <w:rPr>
          <w:rFonts w:ascii="Calibri" w:hAnsi="Calibri" w:cs="Calibri"/>
          <w:color w:val="000000" w:themeColor="text1"/>
          <w:shd w:val="clear" w:color="auto" w:fill="FFFFFF"/>
        </w:rPr>
        <w:t>199</w:t>
      </w:r>
      <w:r w:rsidR="00087B61">
        <w:rPr>
          <w:rFonts w:ascii="Calibri" w:hAnsi="Calibri" w:cs="Calibri"/>
          <w:color w:val="000000" w:themeColor="text1"/>
          <w:shd w:val="clear" w:color="auto" w:fill="FFFFFF"/>
        </w:rPr>
        <w:t>9.</w:t>
      </w:r>
    </w:p>
    <w:p w14:paraId="39D310BF" w14:textId="46B88D45" w:rsidR="006939E1" w:rsidRPr="00846769" w:rsidRDefault="00B5740F" w:rsidP="00BF317B">
      <w:pPr>
        <w:rPr>
          <w:color w:val="000000" w:themeColor="text1"/>
        </w:rPr>
      </w:pPr>
      <w:r w:rsidRPr="008E6EB9">
        <w:rPr>
          <w:i/>
          <w:iCs/>
          <w:color w:val="000000" w:themeColor="text1"/>
        </w:rPr>
        <w:t xml:space="preserve">Mytilopsis sallei </w:t>
      </w:r>
      <w:r w:rsidRPr="008E6EB9">
        <w:rPr>
          <w:color w:val="000000" w:themeColor="text1"/>
        </w:rPr>
        <w:t>can survive water temperature between 5 and 40</w:t>
      </w:r>
      <w:r w:rsidRPr="008E6EB9">
        <w:rPr>
          <w:rFonts w:cstheme="minorHAnsi"/>
          <w:color w:val="000000" w:themeColor="text1"/>
        </w:rPr>
        <w:t>°</w:t>
      </w:r>
      <w:r w:rsidRPr="008E6EB9">
        <w:rPr>
          <w:color w:val="000000" w:themeColor="text1"/>
        </w:rPr>
        <w:t xml:space="preserve">C, however, </w:t>
      </w:r>
      <w:r w:rsidRPr="008E6EB9">
        <w:rPr>
          <w:i/>
          <w:iCs/>
          <w:color w:val="000000" w:themeColor="text1"/>
        </w:rPr>
        <w:t xml:space="preserve">M. sallei </w:t>
      </w:r>
      <w:r w:rsidRPr="008E6EB9">
        <w:rPr>
          <w:color w:val="000000" w:themeColor="text1"/>
        </w:rPr>
        <w:t>struggles at 14</w:t>
      </w:r>
      <w:r w:rsidRPr="008E6EB9">
        <w:rPr>
          <w:rFonts w:cstheme="minorHAnsi"/>
          <w:color w:val="000000" w:themeColor="text1"/>
        </w:rPr>
        <w:t>°</w:t>
      </w:r>
      <w:r w:rsidRPr="008E6EB9">
        <w:rPr>
          <w:color w:val="000000" w:themeColor="text1"/>
        </w:rPr>
        <w:t>C</w:t>
      </w:r>
      <w:r w:rsidR="00975AF7" w:rsidRPr="008E6EB9">
        <w:rPr>
          <w:color w:val="000000" w:themeColor="text1"/>
        </w:rPr>
        <w:t xml:space="preserve"> and below</w:t>
      </w:r>
      <w:r w:rsidRPr="008E6EB9">
        <w:rPr>
          <w:color w:val="000000" w:themeColor="text1"/>
        </w:rPr>
        <w:t xml:space="preserve">, with filtration rates, byssal thread production, and ability to stay attached to a surface significantly </w:t>
      </w:r>
      <w:r w:rsidRPr="00634A79">
        <w:rPr>
          <w:color w:val="000000" w:themeColor="text1"/>
        </w:rPr>
        <w:t>reduced (Astudillo et al. 2017</w:t>
      </w:r>
      <w:r w:rsidRPr="008E6EB9">
        <w:rPr>
          <w:color w:val="000000" w:themeColor="text1"/>
        </w:rPr>
        <w:t xml:space="preserve">). Densities of </w:t>
      </w:r>
      <w:r w:rsidRPr="008E6EB9">
        <w:rPr>
          <w:i/>
          <w:iCs/>
          <w:color w:val="000000" w:themeColor="text1"/>
        </w:rPr>
        <w:t xml:space="preserve">M. sallei </w:t>
      </w:r>
      <w:r w:rsidRPr="008E6EB9">
        <w:rPr>
          <w:color w:val="000000" w:themeColor="text1"/>
        </w:rPr>
        <w:t>in China drop</w:t>
      </w:r>
      <w:r w:rsidR="001C0880">
        <w:rPr>
          <w:color w:val="000000" w:themeColor="text1"/>
        </w:rPr>
        <w:t>s</w:t>
      </w:r>
      <w:r w:rsidRPr="008E6EB9">
        <w:rPr>
          <w:color w:val="000000" w:themeColor="text1"/>
        </w:rPr>
        <w:t xml:space="preserve"> between summer to winter coinciding with water temperature </w:t>
      </w:r>
      <w:r w:rsidR="00087B61">
        <w:rPr>
          <w:color w:val="000000" w:themeColor="text1"/>
        </w:rPr>
        <w:t>of</w:t>
      </w:r>
      <w:r w:rsidR="00087B61" w:rsidRPr="008E6EB9">
        <w:rPr>
          <w:color w:val="000000" w:themeColor="text1"/>
        </w:rPr>
        <w:t xml:space="preserve"> </w:t>
      </w:r>
      <w:r w:rsidRPr="008E6EB9">
        <w:rPr>
          <w:color w:val="000000" w:themeColor="text1"/>
        </w:rPr>
        <w:t>16</w:t>
      </w:r>
      <w:r w:rsidRPr="008E6EB9">
        <w:rPr>
          <w:rFonts w:cstheme="minorHAnsi"/>
          <w:color w:val="000000" w:themeColor="text1"/>
        </w:rPr>
        <w:t>°</w:t>
      </w:r>
      <w:r w:rsidRPr="008E6EB9">
        <w:rPr>
          <w:color w:val="000000" w:themeColor="text1"/>
        </w:rPr>
        <w:t>C (</w:t>
      </w:r>
      <w:r w:rsidRPr="00634A79">
        <w:rPr>
          <w:color w:val="000000" w:themeColor="text1"/>
        </w:rPr>
        <w:t>Cai et al. 2014</w:t>
      </w:r>
      <w:r w:rsidRPr="008E6EB9">
        <w:rPr>
          <w:color w:val="000000" w:themeColor="text1"/>
        </w:rPr>
        <w:t>).</w:t>
      </w:r>
      <w:r w:rsidRPr="00846769">
        <w:rPr>
          <w:color w:val="000000" w:themeColor="text1"/>
        </w:rPr>
        <w:t xml:space="preserve"> </w:t>
      </w:r>
    </w:p>
    <w:p w14:paraId="71365177" w14:textId="311078BE" w:rsidR="006939E1" w:rsidRPr="008E6EB9" w:rsidRDefault="2D45FC2C" w:rsidP="00BF317B">
      <w:r w:rsidRPr="00846769">
        <w:rPr>
          <w:i/>
          <w:iCs/>
        </w:rPr>
        <w:t xml:space="preserve">Mytilopsis sallei </w:t>
      </w:r>
      <w:r w:rsidRPr="00846769">
        <w:t xml:space="preserve">is likely to be susceptible to desiccation </w:t>
      </w:r>
      <w:r w:rsidRPr="008E6EB9">
        <w:t xml:space="preserve">because of its thin shell, however, no reliable data on this exists. Aerial exposure of another </w:t>
      </w:r>
      <w:proofErr w:type="spellStart"/>
      <w:r w:rsidRPr="008E6EB9">
        <w:t>dressenid</w:t>
      </w:r>
      <w:proofErr w:type="spellEnd"/>
      <w:r w:rsidRPr="008E6EB9">
        <w:t xml:space="preserve"> bivalve</w:t>
      </w:r>
      <w:r w:rsidR="6ED26FC0" w:rsidRPr="008E6EB9">
        <w:t>,</w:t>
      </w:r>
      <w:r w:rsidRPr="008E6EB9">
        <w:t xml:space="preserve"> </w:t>
      </w:r>
      <w:proofErr w:type="spellStart"/>
      <w:r w:rsidRPr="008E6EB9">
        <w:rPr>
          <w:i/>
          <w:iCs/>
        </w:rPr>
        <w:t>Dreissena</w:t>
      </w:r>
      <w:proofErr w:type="spellEnd"/>
      <w:r w:rsidRPr="008E6EB9">
        <w:rPr>
          <w:i/>
          <w:iCs/>
        </w:rPr>
        <w:t xml:space="preserve"> polymorpha</w:t>
      </w:r>
      <w:r w:rsidR="5C0A10C2" w:rsidRPr="008E6EB9">
        <w:rPr>
          <w:i/>
          <w:iCs/>
        </w:rPr>
        <w:t>,</w:t>
      </w:r>
      <w:r w:rsidRPr="008E6EB9">
        <w:rPr>
          <w:i/>
          <w:iCs/>
        </w:rPr>
        <w:t xml:space="preserve"> </w:t>
      </w:r>
      <w:r w:rsidR="001C0880">
        <w:t>resulted in</w:t>
      </w:r>
      <w:r w:rsidR="001C0880" w:rsidRPr="008E6EB9">
        <w:t xml:space="preserve"> </w:t>
      </w:r>
      <w:r w:rsidRPr="008E6EB9">
        <w:t xml:space="preserve">100% mortality after two days </w:t>
      </w:r>
      <w:r w:rsidR="0ED86034" w:rsidRPr="008E6EB9">
        <w:t xml:space="preserve">of </w:t>
      </w:r>
      <w:r w:rsidRPr="008E6EB9">
        <w:t>aerial exposure at 25°C (</w:t>
      </w:r>
      <w:r w:rsidRPr="00634A79">
        <w:t>Heimowitz &amp; Phillips 2006</w:t>
      </w:r>
      <w:r w:rsidRPr="008E6EB9">
        <w:t xml:space="preserve">). The primary difference between </w:t>
      </w:r>
      <w:r w:rsidRPr="008E6EB9">
        <w:rPr>
          <w:i/>
          <w:iCs/>
        </w:rPr>
        <w:t xml:space="preserve">M. sallei </w:t>
      </w:r>
      <w:r w:rsidRPr="008E6EB9">
        <w:t xml:space="preserve">and </w:t>
      </w:r>
      <w:r w:rsidRPr="008E6EB9">
        <w:rPr>
          <w:i/>
          <w:iCs/>
        </w:rPr>
        <w:t xml:space="preserve">D. polymorpha </w:t>
      </w:r>
      <w:r w:rsidRPr="008E6EB9">
        <w:t xml:space="preserve">is that </w:t>
      </w:r>
      <w:r w:rsidRPr="008E6EB9">
        <w:rPr>
          <w:i/>
          <w:iCs/>
        </w:rPr>
        <w:t xml:space="preserve">M. sallei </w:t>
      </w:r>
      <w:r w:rsidRPr="008E6EB9">
        <w:t xml:space="preserve">naturally occurs intertidally as well as </w:t>
      </w:r>
      <w:proofErr w:type="spellStart"/>
      <w:r w:rsidRPr="008E6EB9">
        <w:t>subtidal</w:t>
      </w:r>
      <w:r w:rsidR="0ED86034" w:rsidRPr="008E6EB9">
        <w:t>ly</w:t>
      </w:r>
      <w:proofErr w:type="spellEnd"/>
      <w:r w:rsidRPr="008E6EB9">
        <w:t xml:space="preserve"> therefore could be more tolerant of desiccation than </w:t>
      </w:r>
      <w:r w:rsidRPr="008E6EB9">
        <w:rPr>
          <w:i/>
          <w:iCs/>
        </w:rPr>
        <w:t xml:space="preserve">D. polymorpha. </w:t>
      </w:r>
    </w:p>
    <w:p w14:paraId="4BE03984" w14:textId="5FF4E158" w:rsidR="006939E1" w:rsidRPr="00846769" w:rsidRDefault="00B5740F" w:rsidP="00BF317B">
      <w:r w:rsidRPr="008E6EB9">
        <w:rPr>
          <w:i/>
          <w:iCs/>
        </w:rPr>
        <w:t xml:space="preserve">Mytilopsis sallei </w:t>
      </w:r>
      <w:r w:rsidRPr="008E6EB9">
        <w:t xml:space="preserve">has a high tolerance to low oxygen and is found in polluted or eutrophic areas. </w:t>
      </w:r>
      <w:r w:rsidRPr="008E6EB9">
        <w:rPr>
          <w:i/>
          <w:iCs/>
        </w:rPr>
        <w:t>M</w:t>
      </w:r>
      <w:r w:rsidR="00F217A9" w:rsidRPr="008E6EB9">
        <w:rPr>
          <w:i/>
          <w:iCs/>
        </w:rPr>
        <w:t>ytilopsis</w:t>
      </w:r>
      <w:r w:rsidRPr="008E6EB9">
        <w:rPr>
          <w:i/>
          <w:iCs/>
        </w:rPr>
        <w:t xml:space="preserve"> sallei </w:t>
      </w:r>
      <w:r w:rsidRPr="008E6EB9">
        <w:t xml:space="preserve">has been recovered from untreated organic sewage in India where dissolved oxygen </w:t>
      </w:r>
      <w:r w:rsidR="001C0880">
        <w:t>was</w:t>
      </w:r>
      <w:r w:rsidR="001C0880" w:rsidRPr="008E6EB9">
        <w:t xml:space="preserve"> </w:t>
      </w:r>
      <w:r w:rsidRPr="008E6EB9">
        <w:t>between 1.13 and 1.90 mg/L (</w:t>
      </w:r>
      <w:r w:rsidRPr="00634A79">
        <w:t xml:space="preserve">Swami &amp; </w:t>
      </w:r>
      <w:proofErr w:type="spellStart"/>
      <w:r w:rsidRPr="00634A79">
        <w:t>Karande</w:t>
      </w:r>
      <w:proofErr w:type="spellEnd"/>
      <w:r w:rsidRPr="00634A79">
        <w:t xml:space="preserve"> 1988</w:t>
      </w:r>
      <w:r w:rsidRPr="008E6EB9">
        <w:t>).</w:t>
      </w:r>
      <w:r w:rsidRPr="00846769">
        <w:t xml:space="preserve"> </w:t>
      </w:r>
    </w:p>
    <w:p w14:paraId="740B5D62" w14:textId="77777777" w:rsidR="006939E1" w:rsidRPr="00846769" w:rsidRDefault="00B5740F" w:rsidP="00F22DD1">
      <w:pPr>
        <w:pStyle w:val="Heading6"/>
        <w:spacing w:after="40"/>
        <w:rPr>
          <w:color w:val="262626" w:themeColor="text1" w:themeTint="D9"/>
        </w:rPr>
      </w:pPr>
      <w:r w:rsidRPr="00846769">
        <w:rPr>
          <w:color w:val="262626" w:themeColor="text1" w:themeTint="D9"/>
        </w:rPr>
        <w:t>Reproduction and growth</w:t>
      </w:r>
    </w:p>
    <w:p w14:paraId="1D317E13" w14:textId="5075E261" w:rsidR="00FE785A" w:rsidRPr="00846769" w:rsidRDefault="2D45FC2C" w:rsidP="00BF317B">
      <w:r w:rsidRPr="00846769">
        <w:rPr>
          <w:i/>
          <w:iCs/>
        </w:rPr>
        <w:t xml:space="preserve">Mytilopsis sallei </w:t>
      </w:r>
      <w:r w:rsidRPr="00846769">
        <w:t xml:space="preserve">is a broadcast spawner. Sperm and eggs are released into the water column where external fertilisation takes place. </w:t>
      </w:r>
      <w:r w:rsidRPr="00846769">
        <w:rPr>
          <w:i/>
          <w:iCs/>
        </w:rPr>
        <w:t xml:space="preserve">Mytilopsis sallei </w:t>
      </w:r>
      <w:r w:rsidR="00087B61">
        <w:t>is</w:t>
      </w:r>
      <w:r w:rsidR="00087B61" w:rsidRPr="00846769">
        <w:t xml:space="preserve"> </w:t>
      </w:r>
      <w:r w:rsidRPr="00846769">
        <w:t xml:space="preserve">hermaphroditic. Spawning can take place year-round, although in Hong Kong, mass spawning typically coincides with a change in salinity associated with </w:t>
      </w:r>
      <w:r w:rsidRPr="008E6EB9">
        <w:t>the wet season (</w:t>
      </w:r>
      <w:r w:rsidRPr="00634A79">
        <w:t>Morton 1981</w:t>
      </w:r>
      <w:r w:rsidRPr="008E6EB9">
        <w:t>). Experimentally</w:t>
      </w:r>
      <w:r w:rsidRPr="00846769">
        <w:t xml:space="preserve">, adults taken from normal salinity (34 ppt) and placed in lower salinity (&lt;20 ppt), including freshwater (0.08 ppt) spawned in less than 10 hours. </w:t>
      </w:r>
      <w:r w:rsidRPr="005F7F32">
        <w:t>Spawning still occurred in salinity between 25 and 35 ppt but the time to spawning was extended (Kalyanasundaram 1975).</w:t>
      </w:r>
      <w:r w:rsidRPr="00846769">
        <w:t xml:space="preserve"> </w:t>
      </w:r>
    </w:p>
    <w:p w14:paraId="730A7009" w14:textId="45D02247" w:rsidR="006939E1" w:rsidRPr="00846769" w:rsidRDefault="2D45FC2C" w:rsidP="00BF317B">
      <w:r w:rsidRPr="00846769">
        <w:t xml:space="preserve">Females are highly fecund, releasing tens of thousands of eggs during a single spawning event. Fertilised eggs develop into pelagic larvae that settle around 8 to 10 </w:t>
      </w:r>
      <w:r w:rsidRPr="008E6EB9">
        <w:t>days post fertilisation. Larval development can occur at all salinities, including freshwater (</w:t>
      </w:r>
      <w:r w:rsidRPr="00634A79">
        <w:t>Kalyanasundaram 1975</w:t>
      </w:r>
      <w:r w:rsidRPr="008E6EB9">
        <w:t>). The larvae settle by secreting byssal threads onto the settlement surface. Once settled, growth is rapid, with shell lengths reaching 20 mm after around three months (</w:t>
      </w:r>
      <w:r w:rsidRPr="00634A79">
        <w:t>Morton 1981</w:t>
      </w:r>
      <w:r w:rsidRPr="008E6EB9">
        <w:t xml:space="preserve">). </w:t>
      </w:r>
      <w:r w:rsidRPr="008E6EB9">
        <w:rPr>
          <w:i/>
          <w:iCs/>
        </w:rPr>
        <w:t xml:space="preserve">Mytilopsis sallei </w:t>
      </w:r>
      <w:r w:rsidRPr="008E6EB9">
        <w:t>are considered sexually mature at about 8 mm in size, which can be reached within one month (</w:t>
      </w:r>
      <w:r w:rsidRPr="00634A79">
        <w:t>Morton 1989</w:t>
      </w:r>
      <w:r w:rsidRPr="008E6EB9">
        <w:t xml:space="preserve">). Maximum size </w:t>
      </w:r>
      <w:r w:rsidR="5F8EEB7C" w:rsidRPr="008E6EB9">
        <w:t>(40</w:t>
      </w:r>
      <w:r w:rsidR="003E0CB9" w:rsidRPr="008E6EB9">
        <w:rPr>
          <w:rFonts w:cstheme="minorHAnsi"/>
        </w:rPr>
        <w:t>‒</w:t>
      </w:r>
      <w:r w:rsidR="5F8EEB7C" w:rsidRPr="008E6EB9">
        <w:t>50mm)</w:t>
      </w:r>
      <w:r w:rsidRPr="008E6EB9">
        <w:t xml:space="preserve"> is reach</w:t>
      </w:r>
      <w:r w:rsidR="6404FFC6" w:rsidRPr="008E6EB9">
        <w:t>ed</w:t>
      </w:r>
      <w:r w:rsidRPr="008E6EB9">
        <w:t xml:space="preserve"> within six months of settlement and</w:t>
      </w:r>
      <w:r w:rsidRPr="00846769">
        <w:t xml:space="preserve"> individuals live for an average of 12 to 13 months (maximum 20 months). </w:t>
      </w:r>
    </w:p>
    <w:p w14:paraId="7278F7C9" w14:textId="77777777" w:rsidR="006939E1" w:rsidRPr="00846769" w:rsidRDefault="00B5740F" w:rsidP="00F22DD1">
      <w:pPr>
        <w:pStyle w:val="Heading6"/>
        <w:spacing w:after="40"/>
        <w:rPr>
          <w:color w:val="262626" w:themeColor="text1" w:themeTint="D9"/>
        </w:rPr>
      </w:pPr>
      <w:r w:rsidRPr="00846769">
        <w:rPr>
          <w:color w:val="262626" w:themeColor="text1" w:themeTint="D9"/>
        </w:rPr>
        <w:t>Pathways and vectors</w:t>
      </w:r>
    </w:p>
    <w:p w14:paraId="25C6D73A" w14:textId="364AFF4F" w:rsidR="006939E1" w:rsidRPr="00846769" w:rsidRDefault="00B5740F" w:rsidP="00BF317B">
      <w:pPr>
        <w:jc w:val="both"/>
        <w:rPr>
          <w:i/>
          <w:iCs/>
        </w:rPr>
      </w:pPr>
      <w:r w:rsidRPr="00846769">
        <w:rPr>
          <w:i/>
          <w:iCs/>
        </w:rPr>
        <w:t xml:space="preserve">Mytilopsis sallei </w:t>
      </w:r>
      <w:r w:rsidRPr="00846769">
        <w:t>is</w:t>
      </w:r>
      <w:r w:rsidR="004F2E1F" w:rsidRPr="00846769">
        <w:t xml:space="preserve"> a</w:t>
      </w:r>
      <w:r w:rsidRPr="00846769">
        <w:t xml:space="preserve"> fouling species and is believed to have been introduced to the eastern Pacific via </w:t>
      </w:r>
      <w:r w:rsidR="00160093">
        <w:t>ves</w:t>
      </w:r>
      <w:r w:rsidR="00087B61">
        <w:t>s</w:t>
      </w:r>
      <w:r w:rsidR="00160093">
        <w:t>els</w:t>
      </w:r>
      <w:r w:rsidR="00160093" w:rsidRPr="00846769">
        <w:t xml:space="preserve"> </w:t>
      </w:r>
      <w:r w:rsidRPr="00846769">
        <w:t xml:space="preserve">travelling through the Panama Canal. Several records of </w:t>
      </w:r>
      <w:r w:rsidRPr="00846769">
        <w:rPr>
          <w:i/>
          <w:iCs/>
        </w:rPr>
        <w:t xml:space="preserve">M. sallei </w:t>
      </w:r>
      <w:r w:rsidRPr="00846769">
        <w:t>have been made from the hulls of boats</w:t>
      </w:r>
      <w:r w:rsidR="00087B61">
        <w:t xml:space="preserve"> arriving</w:t>
      </w:r>
      <w:r w:rsidRPr="00846769">
        <w:t xml:space="preserve"> </w:t>
      </w:r>
      <w:r w:rsidRPr="00DD01E4">
        <w:t xml:space="preserve">in </w:t>
      </w:r>
      <w:r w:rsidRPr="008E6EB9">
        <w:t>Australia (</w:t>
      </w:r>
      <w:r w:rsidRPr="00634A79">
        <w:t>Willan et al. 2000</w:t>
      </w:r>
      <w:r w:rsidRPr="008E6EB9">
        <w:t>). The</w:t>
      </w:r>
      <w:r w:rsidRPr="00846769">
        <w:t xml:space="preserve"> most likely pathway for this mussel is hull fouling or fouling of other structures and equipment. </w:t>
      </w:r>
      <w:r w:rsidR="004F2E1F" w:rsidRPr="00846769">
        <w:t xml:space="preserve">It </w:t>
      </w:r>
      <w:r w:rsidRPr="00846769">
        <w:t>could be translocated by ballast water</w:t>
      </w:r>
      <w:r w:rsidR="004F2E1F" w:rsidRPr="00846769">
        <w:t xml:space="preserve"> over </w:t>
      </w:r>
      <w:r w:rsidR="004F2E1F" w:rsidRPr="00846769">
        <w:lastRenderedPageBreak/>
        <w:t>short distances</w:t>
      </w:r>
      <w:r w:rsidRPr="00846769">
        <w:t>, but because of its shor</w:t>
      </w:r>
      <w:r w:rsidR="004F2E1F" w:rsidRPr="00846769">
        <w:t>t</w:t>
      </w:r>
      <w:r w:rsidRPr="00846769">
        <w:t xml:space="preserve"> larval period it is unlikely to be spread via ballast water over long distances.</w:t>
      </w:r>
    </w:p>
    <w:p w14:paraId="583B93A0" w14:textId="0EBE5E98" w:rsidR="006939E1" w:rsidRPr="00846769" w:rsidRDefault="00B5740F" w:rsidP="00F22DD1">
      <w:pPr>
        <w:pStyle w:val="Heading6"/>
        <w:spacing w:after="40"/>
        <w:rPr>
          <w:color w:val="262626" w:themeColor="text1" w:themeTint="D9"/>
        </w:rPr>
      </w:pPr>
      <w:r w:rsidRPr="00846769">
        <w:rPr>
          <w:color w:val="262626" w:themeColor="text1" w:themeTint="D9"/>
        </w:rPr>
        <w:t>Potential impact</w:t>
      </w:r>
      <w:r w:rsidR="00FE785A" w:rsidRPr="00846769">
        <w:rPr>
          <w:color w:val="262626" w:themeColor="text1" w:themeTint="D9"/>
        </w:rPr>
        <w:t>s</w:t>
      </w:r>
    </w:p>
    <w:p w14:paraId="60E0E87E" w14:textId="5ABDB02A" w:rsidR="006939E1" w:rsidRPr="008E6EB9" w:rsidRDefault="00B5740F" w:rsidP="00BF317B">
      <w:r w:rsidRPr="008E6EB9">
        <w:rPr>
          <w:i/>
          <w:iCs/>
        </w:rPr>
        <w:t xml:space="preserve">Mytilopsis sallei </w:t>
      </w:r>
      <w:r w:rsidRPr="008E6EB9">
        <w:t>is a highly fecund species with a short larval period and rapid maturity. Therefore, this species can create heavy fouling, reaching biomass of up to 100 kg per m</w:t>
      </w:r>
      <w:r w:rsidRPr="008E6EB9">
        <w:rPr>
          <w:vertAlign w:val="superscript"/>
        </w:rPr>
        <w:t>2</w:t>
      </w:r>
      <w:r w:rsidRPr="008E6EB9">
        <w:t xml:space="preserve"> per year in India (</w:t>
      </w:r>
      <w:r w:rsidRPr="00634A79">
        <w:t>Rao et al. 1989</w:t>
      </w:r>
      <w:r w:rsidRPr="008E6EB9">
        <w:t xml:space="preserve">). It can form layers inches thick which have to be regularly removed (Morton 1981). Biofouling can occur on all substrata, including marina infrastructure, seawater systems (pumping stations and vessel cooling systems), and aquaculture farms, </w:t>
      </w:r>
      <w:r w:rsidR="00DD03FC">
        <w:t xml:space="preserve">with </w:t>
      </w:r>
      <w:r w:rsidRPr="008E6EB9">
        <w:t xml:space="preserve">economic, environmental, and social impacts. A hypothetical incursion of </w:t>
      </w:r>
      <w:r w:rsidRPr="008E6EB9">
        <w:rPr>
          <w:i/>
          <w:iCs/>
        </w:rPr>
        <w:t xml:space="preserve">M. sallei </w:t>
      </w:r>
      <w:r w:rsidRPr="008E6EB9">
        <w:t xml:space="preserve">into Australia was estimated to result in market losses ranging from $145 million to $286 million in present value terms over a 30 year-period (Summerson et al. 2013). </w:t>
      </w:r>
    </w:p>
    <w:p w14:paraId="2F440FAE" w14:textId="3A1C2043" w:rsidR="006939E1" w:rsidRPr="008E6EB9" w:rsidRDefault="2D45FC2C" w:rsidP="00BF317B">
      <w:r w:rsidRPr="008E6EB9">
        <w:rPr>
          <w:i/>
          <w:iCs/>
        </w:rPr>
        <w:t xml:space="preserve">Mytilopsis sallei </w:t>
      </w:r>
      <w:r w:rsidRPr="008E6EB9">
        <w:t>c</w:t>
      </w:r>
      <w:r w:rsidR="00087B61">
        <w:t>ould</w:t>
      </w:r>
      <w:r w:rsidRPr="008E6EB9">
        <w:t xml:space="preserve"> disrupt Australian aquaculture production, especially other bivalve production, and fisheries activities. In south-western Taiwan, </w:t>
      </w:r>
      <w:r w:rsidRPr="008E6EB9">
        <w:rPr>
          <w:i/>
          <w:iCs/>
        </w:rPr>
        <w:t xml:space="preserve">M. sallei </w:t>
      </w:r>
      <w:r w:rsidRPr="008E6EB9">
        <w:t>causes undesirable changes in aquaculture system</w:t>
      </w:r>
      <w:r w:rsidR="1DA6391C" w:rsidRPr="008E6EB9">
        <w:t>s</w:t>
      </w:r>
      <w:r w:rsidRPr="008E6EB9">
        <w:t xml:space="preserve"> and economic losses (</w:t>
      </w:r>
      <w:r w:rsidRPr="00634A79">
        <w:t>Liao et al. 2010</w:t>
      </w:r>
      <w:r w:rsidRPr="008E6EB9">
        <w:t xml:space="preserve">). </w:t>
      </w:r>
    </w:p>
    <w:p w14:paraId="611A4659" w14:textId="77777777" w:rsidR="006939E1" w:rsidRPr="008E6EB9" w:rsidRDefault="00B5740F" w:rsidP="00F22DD1">
      <w:pPr>
        <w:pStyle w:val="Heading5"/>
        <w:spacing w:after="40"/>
        <w:rPr>
          <w:color w:val="262626" w:themeColor="text1" w:themeTint="D9"/>
          <w:sz w:val="24"/>
          <w:szCs w:val="24"/>
        </w:rPr>
      </w:pPr>
      <w:r w:rsidRPr="008E6EB9">
        <w:rPr>
          <w:color w:val="262626" w:themeColor="text1" w:themeTint="D9"/>
          <w:sz w:val="24"/>
          <w:szCs w:val="24"/>
        </w:rPr>
        <w:t>Global and Australian distribution</w:t>
      </w:r>
    </w:p>
    <w:p w14:paraId="4809B0C1" w14:textId="045218AA" w:rsidR="006939E1" w:rsidRPr="008E6EB9" w:rsidRDefault="00B5740F" w:rsidP="00BF317B">
      <w:pPr>
        <w:rPr>
          <w:color w:val="000000" w:themeColor="text1"/>
        </w:rPr>
      </w:pPr>
      <w:r w:rsidRPr="008E6EB9">
        <w:rPr>
          <w:i/>
          <w:iCs/>
          <w:color w:val="000000" w:themeColor="text1"/>
        </w:rPr>
        <w:t xml:space="preserve">Mytilopsis sallei </w:t>
      </w:r>
      <w:r w:rsidRPr="008E6EB9">
        <w:rPr>
          <w:color w:val="000000" w:themeColor="text1"/>
        </w:rPr>
        <w:t>is native to the Caribbean coast of Central and South America from Yucatan to Venezuela, and part of the southern peninsula of Florida, USA. It has been introduced to several t</w:t>
      </w:r>
      <w:r w:rsidR="00087B61">
        <w:rPr>
          <w:color w:val="000000" w:themeColor="text1"/>
        </w:rPr>
        <w:t>r</w:t>
      </w:r>
      <w:r w:rsidRPr="008E6EB9">
        <w:rPr>
          <w:color w:val="000000" w:themeColor="text1"/>
        </w:rPr>
        <w:t>opical and semi-tropical locations in Asia. It is established in Hong Kong, Taiwan, Japan, Indonesia</w:t>
      </w:r>
      <w:r w:rsidR="00FE785A" w:rsidRPr="008E6EB9">
        <w:rPr>
          <w:color w:val="000000" w:themeColor="text1"/>
        </w:rPr>
        <w:t>,</w:t>
      </w:r>
      <w:r w:rsidRPr="008E6EB9">
        <w:rPr>
          <w:color w:val="000000" w:themeColor="text1"/>
        </w:rPr>
        <w:t xml:space="preserve"> and Singapore. It has also established a population on the Mediterranean co</w:t>
      </w:r>
      <w:r w:rsidR="00BF0795" w:rsidRPr="008E6EB9">
        <w:rPr>
          <w:color w:val="000000" w:themeColor="text1"/>
        </w:rPr>
        <w:t>a</w:t>
      </w:r>
      <w:r w:rsidRPr="008E6EB9">
        <w:rPr>
          <w:color w:val="000000" w:themeColor="text1"/>
        </w:rPr>
        <w:t>st of Israel (</w:t>
      </w:r>
      <w:r w:rsidRPr="00634A79">
        <w:rPr>
          <w:color w:val="000000" w:themeColor="text1"/>
        </w:rPr>
        <w:t>Galil &amp; Bogi 2009</w:t>
      </w:r>
      <w:r w:rsidRPr="008E6EB9">
        <w:rPr>
          <w:color w:val="000000" w:themeColor="text1"/>
        </w:rPr>
        <w:t>) (</w:t>
      </w:r>
      <w:r w:rsidR="0083658B" w:rsidRPr="008E6EB9">
        <w:rPr>
          <w:color w:val="000000" w:themeColor="text1"/>
        </w:rPr>
        <w:fldChar w:fldCharType="begin"/>
      </w:r>
      <w:r w:rsidR="0083658B" w:rsidRPr="008E6EB9">
        <w:rPr>
          <w:color w:val="000000" w:themeColor="text1"/>
        </w:rPr>
        <w:instrText xml:space="preserve"> REF _Ref189492060 \h </w:instrText>
      </w:r>
      <w:r w:rsidR="008E6EB9">
        <w:rPr>
          <w:color w:val="000000" w:themeColor="text1"/>
        </w:rPr>
        <w:instrText xml:space="preserve"> \* MERGEFORMAT </w:instrText>
      </w:r>
      <w:r w:rsidR="0083658B" w:rsidRPr="008E6EB9">
        <w:rPr>
          <w:color w:val="000000" w:themeColor="text1"/>
        </w:rPr>
      </w:r>
      <w:r w:rsidR="0083658B" w:rsidRPr="008E6EB9">
        <w:rPr>
          <w:color w:val="000000" w:themeColor="text1"/>
        </w:rPr>
        <w:fldChar w:fldCharType="separate"/>
      </w:r>
      <w:r w:rsidR="0083658B" w:rsidRPr="008E6EB9">
        <w:t xml:space="preserve">Map </w:t>
      </w:r>
      <w:r w:rsidR="0083658B" w:rsidRPr="008E6EB9">
        <w:rPr>
          <w:noProof/>
        </w:rPr>
        <w:t>5</w:t>
      </w:r>
      <w:r w:rsidR="0083658B" w:rsidRPr="008E6EB9">
        <w:rPr>
          <w:color w:val="000000" w:themeColor="text1"/>
        </w:rPr>
        <w:fldChar w:fldCharType="end"/>
      </w:r>
      <w:r w:rsidRPr="008E6EB9">
        <w:rPr>
          <w:color w:val="000000" w:themeColor="text1"/>
        </w:rPr>
        <w:t xml:space="preserve">). </w:t>
      </w:r>
      <w:r w:rsidR="0083658B" w:rsidRPr="008E6EB9">
        <w:t xml:space="preserve">Species range mapping from ABARES shows that the whole of Australia is potentially suitable for </w:t>
      </w:r>
      <w:r w:rsidR="0083658B" w:rsidRPr="008E6EB9">
        <w:rPr>
          <w:i/>
          <w:iCs/>
        </w:rPr>
        <w:t xml:space="preserve">M. </w:t>
      </w:r>
      <w:r w:rsidR="008D0A24" w:rsidRPr="008E6EB9">
        <w:rPr>
          <w:i/>
          <w:iCs/>
        </w:rPr>
        <w:t>s</w:t>
      </w:r>
      <w:r w:rsidR="0083658B" w:rsidRPr="008E6EB9">
        <w:rPr>
          <w:i/>
          <w:iCs/>
        </w:rPr>
        <w:t xml:space="preserve">allei </w:t>
      </w:r>
      <w:r w:rsidR="0083658B" w:rsidRPr="008E6EB9">
        <w:t>establishment (</w:t>
      </w:r>
      <w:r w:rsidR="0083658B" w:rsidRPr="008E6EB9">
        <w:fldChar w:fldCharType="begin"/>
      </w:r>
      <w:r w:rsidR="0083658B" w:rsidRPr="008E6EB9">
        <w:instrText xml:space="preserve"> REF _Ref189492144 \h </w:instrText>
      </w:r>
      <w:r w:rsidR="008E6EB9">
        <w:instrText xml:space="preserve"> \* MERGEFORMAT </w:instrText>
      </w:r>
      <w:r w:rsidR="0083658B" w:rsidRPr="008E6EB9">
        <w:fldChar w:fldCharType="separate"/>
      </w:r>
      <w:r w:rsidR="0083658B" w:rsidRPr="008E6EB9">
        <w:t xml:space="preserve">Map </w:t>
      </w:r>
      <w:r w:rsidR="0083658B" w:rsidRPr="008E6EB9">
        <w:rPr>
          <w:noProof/>
        </w:rPr>
        <w:t>6</w:t>
      </w:r>
      <w:r w:rsidR="0083658B" w:rsidRPr="008E6EB9">
        <w:fldChar w:fldCharType="end"/>
      </w:r>
      <w:r w:rsidR="0083658B" w:rsidRPr="008E6EB9">
        <w:t>).</w:t>
      </w:r>
    </w:p>
    <w:p w14:paraId="3232CE4E" w14:textId="131C4621" w:rsidR="006939E1" w:rsidRPr="00846769" w:rsidRDefault="00B5740F" w:rsidP="00BF317B">
      <w:r w:rsidRPr="008E6EB9">
        <w:rPr>
          <w:i/>
          <w:iCs/>
        </w:rPr>
        <w:t xml:space="preserve">Mytilopsis sallei </w:t>
      </w:r>
      <w:r w:rsidRPr="008E6EB9">
        <w:t xml:space="preserve">is not established in Australia despite several records of its occurrence as fouling on vessel hulls. A Species Range Map model suggests that all of Australia is susceptible to invasion from </w:t>
      </w:r>
      <w:r w:rsidRPr="008E6EB9">
        <w:rPr>
          <w:i/>
          <w:iCs/>
        </w:rPr>
        <w:t>M. sallei</w:t>
      </w:r>
      <w:r w:rsidR="00FE785A" w:rsidRPr="008E6EB9">
        <w:rPr>
          <w:i/>
          <w:iCs/>
        </w:rPr>
        <w:t>,</w:t>
      </w:r>
      <w:r w:rsidRPr="008E6EB9">
        <w:rPr>
          <w:i/>
          <w:iCs/>
        </w:rPr>
        <w:t xml:space="preserve"> </w:t>
      </w:r>
      <w:r w:rsidRPr="008E6EB9">
        <w:t xml:space="preserve">however the tropical areas are </w:t>
      </w:r>
      <w:r w:rsidR="00DD03FC">
        <w:t>at</w:t>
      </w:r>
      <w:r w:rsidR="00DD03FC" w:rsidRPr="008E6EB9">
        <w:t xml:space="preserve"> </w:t>
      </w:r>
      <w:r w:rsidRPr="008E6EB9">
        <w:t>high</w:t>
      </w:r>
      <w:r w:rsidR="00DD03FC">
        <w:t>est</w:t>
      </w:r>
      <w:r w:rsidRPr="008E6EB9">
        <w:t xml:space="preserve"> risk.</w:t>
      </w:r>
      <w:r w:rsidR="00EE0F80" w:rsidRPr="008E6EB9">
        <w:t xml:space="preserve"> It has also been recorded in Brazil as early as 2004, however its establishment status in Brazil is not known (</w:t>
      </w:r>
      <w:r w:rsidR="00EE0F80" w:rsidRPr="00634A79">
        <w:t>Queiroz et al. 2020</w:t>
      </w:r>
      <w:r w:rsidR="00EE0F80" w:rsidRPr="008E6EB9">
        <w:t xml:space="preserve">). </w:t>
      </w:r>
      <w:r w:rsidR="00087B61" w:rsidRPr="008E6EB9">
        <w:t xml:space="preserve">Reports of </w:t>
      </w:r>
      <w:r w:rsidR="00087B61" w:rsidRPr="008E6EB9">
        <w:rPr>
          <w:i/>
          <w:iCs/>
        </w:rPr>
        <w:t>M.</w:t>
      </w:r>
      <w:r w:rsidR="00FF70DD">
        <w:rPr>
          <w:i/>
          <w:iCs/>
        </w:rPr>
        <w:t> </w:t>
      </w:r>
      <w:r w:rsidR="00087B61" w:rsidRPr="008E6EB9">
        <w:rPr>
          <w:i/>
          <w:iCs/>
        </w:rPr>
        <w:t xml:space="preserve">sallei </w:t>
      </w:r>
      <w:r w:rsidR="00087B61" w:rsidRPr="008E6EB9">
        <w:t xml:space="preserve">in Fiji </w:t>
      </w:r>
      <w:r w:rsidR="00DD03FC">
        <w:t>are</w:t>
      </w:r>
      <w:r w:rsidR="00087B61" w:rsidRPr="008E6EB9">
        <w:t xml:space="preserve"> disputed by taxonomists because based on the current understanding of its distribution the species is likely to be </w:t>
      </w:r>
      <w:r w:rsidR="00087B61" w:rsidRPr="008E6EB9">
        <w:rPr>
          <w:i/>
          <w:iCs/>
        </w:rPr>
        <w:t xml:space="preserve">M. </w:t>
      </w:r>
      <w:proofErr w:type="spellStart"/>
      <w:r w:rsidR="00087B61" w:rsidRPr="008E6EB9">
        <w:rPr>
          <w:i/>
          <w:iCs/>
        </w:rPr>
        <w:t>adamsi</w:t>
      </w:r>
      <w:proofErr w:type="spellEnd"/>
      <w:r w:rsidR="00087B61" w:rsidRPr="008E6EB9">
        <w:t>, a</w:t>
      </w:r>
      <w:r w:rsidR="00087B61" w:rsidRPr="008E6EB9">
        <w:rPr>
          <w:i/>
          <w:iCs/>
        </w:rPr>
        <w:t xml:space="preserve"> </w:t>
      </w:r>
      <w:r w:rsidR="00087B61" w:rsidRPr="008E6EB9">
        <w:t xml:space="preserve">native to the Indo-Pacific region </w:t>
      </w:r>
      <w:r w:rsidR="00087B61" w:rsidRPr="00634A79">
        <w:t>(Siang &amp; Teresa 2020</w:t>
      </w:r>
      <w:r w:rsidR="00087B61" w:rsidRPr="008E6EB9">
        <w:t>).</w:t>
      </w:r>
      <w:r w:rsidR="00087B61" w:rsidRPr="00846769">
        <w:t xml:space="preserve"> </w:t>
      </w:r>
    </w:p>
    <w:p w14:paraId="033BFA89" w14:textId="47F70B1F" w:rsidR="004D6ADF" w:rsidRDefault="004D6ADF" w:rsidP="004D6ADF">
      <w:pPr>
        <w:pStyle w:val="Caption"/>
      </w:pPr>
      <w:bookmarkStart w:id="616" w:name="_Ref189492060"/>
      <w:bookmarkStart w:id="617" w:name="_Toc191999559"/>
      <w:r>
        <w:lastRenderedPageBreak/>
        <w:t xml:space="preserve">Map </w:t>
      </w:r>
      <w:r>
        <w:fldChar w:fldCharType="begin"/>
      </w:r>
      <w:r>
        <w:instrText xml:space="preserve"> SEQ Map \* ARABIC </w:instrText>
      </w:r>
      <w:r>
        <w:fldChar w:fldCharType="separate"/>
      </w:r>
      <w:r>
        <w:rPr>
          <w:noProof/>
        </w:rPr>
        <w:t>5</w:t>
      </w:r>
      <w:r>
        <w:fldChar w:fldCharType="end"/>
      </w:r>
      <w:bookmarkEnd w:id="616"/>
      <w:r>
        <w:t xml:space="preserve"> </w:t>
      </w:r>
      <w:r w:rsidRPr="00846769">
        <w:rPr>
          <w:color w:val="262626" w:themeColor="text1" w:themeTint="D9"/>
        </w:rPr>
        <w:t xml:space="preserve">Known global distribution of </w:t>
      </w:r>
      <w:r w:rsidRPr="00846769">
        <w:rPr>
          <w:rStyle w:val="Emphasis"/>
          <w:color w:val="262626" w:themeColor="text1" w:themeTint="D9"/>
        </w:rPr>
        <w:t>Mytilopsis sallei</w:t>
      </w:r>
      <w:bookmarkEnd w:id="617"/>
    </w:p>
    <w:p w14:paraId="3622C822" w14:textId="5C97F678" w:rsidR="006939E1" w:rsidRPr="00846769" w:rsidRDefault="00FF53DA" w:rsidP="00BF317B">
      <w:r w:rsidRPr="00846769">
        <w:rPr>
          <w:noProof/>
        </w:rPr>
        <w:drawing>
          <wp:inline distT="0" distB="0" distL="0" distR="0" wp14:anchorId="4CD75167" wp14:editId="1927E97F">
            <wp:extent cx="5731510" cy="2758177"/>
            <wp:effectExtent l="0" t="0" r="2540" b="4445"/>
            <wp:docPr id="288750351" name="Picture 1" descr="Greyscale world map for the known global distribution of Mytilopsis sallei. Distribution is shown in blue circles, yellow diamonds, and red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50351" name="Picture 1" descr="Greyscale world map for the known global distribution of Mytilopsis sallei. Distribution is shown in blue circles, yellow diamonds, and red triangles. "/>
                    <pic:cNvPicPr/>
                  </pic:nvPicPr>
                  <pic:blipFill>
                    <a:blip r:embed="rId218" cstate="email">
                      <a:extLst>
                        <a:ext uri="{28A0092B-C50C-407E-A947-70E740481C1C}">
                          <a14:useLocalDpi xmlns:a14="http://schemas.microsoft.com/office/drawing/2010/main" val="0"/>
                        </a:ext>
                      </a:extLst>
                    </a:blip>
                    <a:stretch>
                      <a:fillRect/>
                    </a:stretch>
                  </pic:blipFill>
                  <pic:spPr>
                    <a:xfrm>
                      <a:off x="0" y="0"/>
                      <a:ext cx="5731510" cy="2758177"/>
                    </a:xfrm>
                    <a:prstGeom prst="rect">
                      <a:avLst/>
                    </a:prstGeom>
                  </pic:spPr>
                </pic:pic>
              </a:graphicData>
            </a:graphic>
          </wp:inline>
        </w:drawing>
      </w:r>
    </w:p>
    <w:p w14:paraId="6F648489" w14:textId="004E46C7" w:rsidR="006939E1" w:rsidRDefault="00B5740F" w:rsidP="00BF317B">
      <w:pPr>
        <w:pStyle w:val="FigureTableNoteSource"/>
      </w:pPr>
      <w:r w:rsidRPr="00846769">
        <w:rPr>
          <w:rStyle w:val="Emphasis"/>
          <w:b/>
          <w:bCs/>
          <w:i w:val="0"/>
          <w:iCs w:val="0"/>
        </w:rPr>
        <w:t>Data source:</w:t>
      </w:r>
      <w:r w:rsidRPr="00846769">
        <w:rPr>
          <w:rStyle w:val="Emphasis"/>
        </w:rPr>
        <w:t xml:space="preserve"> </w:t>
      </w:r>
      <w:r w:rsidRPr="00846769">
        <w:t>GBIF.org (</w:t>
      </w:r>
      <w:r w:rsidR="00FD3601" w:rsidRPr="00846769">
        <w:t>14</w:t>
      </w:r>
      <w:r w:rsidRPr="00846769">
        <w:t xml:space="preserve"> May 202</w:t>
      </w:r>
      <w:r w:rsidR="00FD3601" w:rsidRPr="00846769">
        <w:t>4</w:t>
      </w:r>
      <w:r w:rsidRPr="00846769">
        <w:t>)</w:t>
      </w:r>
      <w:r w:rsidR="00FD3601" w:rsidRPr="00846769">
        <w:t>.</w:t>
      </w:r>
      <w:r w:rsidRPr="00846769">
        <w:t xml:space="preserve"> GBIF Occurrence Download</w:t>
      </w:r>
      <w:r w:rsidR="00FD3601" w:rsidRPr="00846769">
        <w:t>:</w:t>
      </w:r>
      <w:r w:rsidRPr="00846769">
        <w:t> </w:t>
      </w:r>
      <w:hyperlink r:id="rId219" w:history="1">
        <w:r w:rsidR="00FD043B" w:rsidRPr="00E642E2">
          <w:rPr>
            <w:rStyle w:val="Hyperlink"/>
            <w:sz w:val="18"/>
          </w:rPr>
          <w:t>https://doi.org/10.15468/dl.fn3pxp</w:t>
        </w:r>
      </w:hyperlink>
    </w:p>
    <w:p w14:paraId="20D9BC37" w14:textId="6BADA184" w:rsidR="004D6ADF" w:rsidRDefault="004D6ADF" w:rsidP="004D6ADF">
      <w:pPr>
        <w:pStyle w:val="Caption"/>
      </w:pPr>
      <w:bookmarkStart w:id="618" w:name="_Ref189492144"/>
      <w:bookmarkStart w:id="619" w:name="_Toc191999560"/>
      <w:r>
        <w:t xml:space="preserve">Map </w:t>
      </w:r>
      <w:r>
        <w:fldChar w:fldCharType="begin"/>
      </w:r>
      <w:r>
        <w:instrText xml:space="preserve"> SEQ Map \* ARABIC </w:instrText>
      </w:r>
      <w:r>
        <w:fldChar w:fldCharType="separate"/>
      </w:r>
      <w:r>
        <w:rPr>
          <w:noProof/>
        </w:rPr>
        <w:t>6</w:t>
      </w:r>
      <w:r>
        <w:fldChar w:fldCharType="end"/>
      </w:r>
      <w:bookmarkEnd w:id="618"/>
      <w:r>
        <w:t xml:space="preserve"> Maximum potential range of </w:t>
      </w:r>
      <w:r>
        <w:rPr>
          <w:i/>
          <w:iCs/>
        </w:rPr>
        <w:t xml:space="preserve">Mytilopsis sallei </w:t>
      </w:r>
      <w:r>
        <w:t>in Australian waters, indicating areas of potential suitability in red, and potential unsuitability in green</w:t>
      </w:r>
      <w:bookmarkEnd w:id="619"/>
    </w:p>
    <w:p w14:paraId="60B01199" w14:textId="2B023672" w:rsidR="00FD043B" w:rsidRDefault="00FD043B" w:rsidP="00FD043B">
      <w:r>
        <w:rPr>
          <w:noProof/>
        </w:rPr>
        <w:drawing>
          <wp:inline distT="0" distB="0" distL="0" distR="0" wp14:anchorId="65963EC8" wp14:editId="4D217F92">
            <wp:extent cx="5572125" cy="3924300"/>
            <wp:effectExtent l="0" t="0" r="9525" b="0"/>
            <wp:docPr id="1670230800" name="Picture 4" descr="Red and green map of Australia showing the potential range for Mytilopsis sal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30800" name="Picture 4" descr="Red and green map of Australia showing the potential range for Mytilopsis sallei"/>
                    <pic:cNvPicPr>
                      <a:picLocks noChangeAspect="1" noChangeArrowheads="1"/>
                    </pic:cNvPicPr>
                  </pic:nvPicPr>
                  <pic:blipFill rotWithShape="1">
                    <a:blip r:embed="rId220" cstate="email">
                      <a:extLst>
                        <a:ext uri="{28A0092B-C50C-407E-A947-70E740481C1C}">
                          <a14:useLocalDpi xmlns:a14="http://schemas.microsoft.com/office/drawing/2010/main" val="0"/>
                        </a:ext>
                      </a:extLst>
                    </a:blip>
                    <a:srcRect/>
                    <a:stretch/>
                  </pic:blipFill>
                  <pic:spPr bwMode="auto">
                    <a:xfrm>
                      <a:off x="0" y="0"/>
                      <a:ext cx="5572125" cy="3924300"/>
                    </a:xfrm>
                    <a:prstGeom prst="rect">
                      <a:avLst/>
                    </a:prstGeom>
                    <a:noFill/>
                    <a:ln>
                      <a:noFill/>
                    </a:ln>
                    <a:extLst>
                      <a:ext uri="{53640926-AAD7-44D8-BBD7-CCE9431645EC}">
                        <a14:shadowObscured xmlns:a14="http://schemas.microsoft.com/office/drawing/2010/main"/>
                      </a:ext>
                    </a:extLst>
                  </pic:spPr>
                </pic:pic>
              </a:graphicData>
            </a:graphic>
          </wp:inline>
        </w:drawing>
      </w:r>
    </w:p>
    <w:p w14:paraId="6CE19670" w14:textId="77777777" w:rsidR="004D6ADF" w:rsidRPr="00F4447C" w:rsidRDefault="004D6ADF" w:rsidP="004D6ADF">
      <w:pPr>
        <w:pStyle w:val="FigureTableNoteSource"/>
      </w:pPr>
      <w:r w:rsidRPr="00846769">
        <w:rPr>
          <w:rStyle w:val="Emphasis"/>
          <w:b/>
          <w:bCs/>
          <w:i w:val="0"/>
          <w:iCs w:val="0"/>
        </w:rPr>
        <w:t>Data source</w:t>
      </w:r>
      <w:r w:rsidRPr="00846769">
        <w:rPr>
          <w:rStyle w:val="Emphasis"/>
          <w:i w:val="0"/>
          <w:iCs w:val="0"/>
        </w:rPr>
        <w:t>:</w:t>
      </w:r>
      <w:r w:rsidRPr="00846769">
        <w:rPr>
          <w:rStyle w:val="Emphasis"/>
        </w:rPr>
        <w:t xml:space="preserve"> </w:t>
      </w:r>
      <w:r>
        <w:rPr>
          <w:rStyle w:val="Emphasis"/>
          <w:i w:val="0"/>
          <w:iCs w:val="0"/>
        </w:rPr>
        <w:t>Australian Bureau of Agricultural and Resource Economics and Sciences (</w:t>
      </w:r>
      <w:r>
        <w:t>ABARES) 2021</w:t>
      </w:r>
    </w:p>
    <w:p w14:paraId="15EE473F" w14:textId="77777777" w:rsidR="004D6ADF" w:rsidRPr="00FD043B" w:rsidRDefault="004D6ADF" w:rsidP="00A04E26"/>
    <w:p w14:paraId="7E3D60D8" w14:textId="77777777" w:rsidR="006939E1" w:rsidRPr="00846769" w:rsidRDefault="00B5740F" w:rsidP="009607A5">
      <w:pPr>
        <w:pStyle w:val="Heading5"/>
        <w:spacing w:before="40" w:after="40"/>
        <w:ind w:left="851" w:hanging="851"/>
        <w:rPr>
          <w:color w:val="262626" w:themeColor="text1" w:themeTint="D9"/>
        </w:rPr>
      </w:pPr>
      <w:r w:rsidRPr="00846769">
        <w:rPr>
          <w:color w:val="262626" w:themeColor="text1" w:themeTint="D9"/>
        </w:rPr>
        <w:lastRenderedPageBreak/>
        <w:t>Invasion history</w:t>
      </w:r>
    </w:p>
    <w:p w14:paraId="44D9DBE7" w14:textId="30616B0B" w:rsidR="006939E1" w:rsidRPr="00846769" w:rsidRDefault="00B5740F" w:rsidP="00BF317B">
      <w:r w:rsidRPr="00846769">
        <w:rPr>
          <w:i/>
          <w:iCs/>
        </w:rPr>
        <w:t xml:space="preserve">Mytilopsis sallei </w:t>
      </w:r>
      <w:r w:rsidRPr="00846769">
        <w:t xml:space="preserve">was reported from India in the 1970s, with populations becoming established throughout ports of Asia between Japan and Hong Kong. The </w:t>
      </w:r>
      <w:r w:rsidR="003175EA" w:rsidRPr="00846769">
        <w:t xml:space="preserve">false </w:t>
      </w:r>
      <w:r w:rsidRPr="00846769">
        <w:t>mussel</w:t>
      </w:r>
      <w:r w:rsidRPr="00846769">
        <w:rPr>
          <w:i/>
          <w:iCs/>
        </w:rPr>
        <w:t xml:space="preserve"> </w:t>
      </w:r>
      <w:r w:rsidRPr="00846769">
        <w:t xml:space="preserve">was introduced to China as feed for cultured fishes and shrimps in the early 1990s and shortly thereafter became the dominant species </w:t>
      </w:r>
      <w:r w:rsidR="00087B61">
        <w:t>in</w:t>
      </w:r>
      <w:r w:rsidRPr="00846769">
        <w:t xml:space="preserve"> </w:t>
      </w:r>
      <w:r w:rsidRPr="008E6EB9">
        <w:t>fouling communit</w:t>
      </w:r>
      <w:r w:rsidR="00087B61">
        <w:t xml:space="preserve">ies </w:t>
      </w:r>
      <w:r w:rsidRPr="008E6EB9">
        <w:t>(</w:t>
      </w:r>
      <w:r w:rsidRPr="00634A79">
        <w:t>Wang et al. 1999</w:t>
      </w:r>
      <w:r w:rsidRPr="008E6EB9">
        <w:t>). The</w:t>
      </w:r>
      <w:r w:rsidRPr="00846769">
        <w:t xml:space="preserve"> </w:t>
      </w:r>
      <w:r w:rsidR="003175EA" w:rsidRPr="00846769">
        <w:t xml:space="preserve">false </w:t>
      </w:r>
      <w:r w:rsidRPr="00846769">
        <w:t xml:space="preserve">mussel has also established in the </w:t>
      </w:r>
      <w:r w:rsidRPr="00846769">
        <w:rPr>
          <w:rFonts w:ascii="Calibri" w:hAnsi="Calibri" w:cs="Calibri"/>
          <w:shd w:val="clear" w:color="auto" w:fill="FFFFFF"/>
        </w:rPr>
        <w:t xml:space="preserve">tropical monsoon drains of </w:t>
      </w:r>
      <w:r w:rsidRPr="00DD01E4">
        <w:rPr>
          <w:rFonts w:ascii="Calibri" w:hAnsi="Calibri" w:cs="Calibri"/>
          <w:shd w:val="clear" w:color="auto" w:fill="FFFFFF"/>
        </w:rPr>
        <w:t>Singapore (Tan &amp; Morton 2006).</w:t>
      </w:r>
      <w:r w:rsidRPr="00846769">
        <w:t xml:space="preserve"> Most recently, </w:t>
      </w:r>
      <w:r w:rsidRPr="00846769">
        <w:rPr>
          <w:i/>
          <w:iCs/>
        </w:rPr>
        <w:t xml:space="preserve">M. sallei </w:t>
      </w:r>
      <w:r w:rsidRPr="00846769">
        <w:t>was reported from the Mediterranean coast of Israel, having suspected to have been introduced via shipping (</w:t>
      </w:r>
      <w:r w:rsidRPr="00933093">
        <w:t>Galil &amp; Bogi 2009).</w:t>
      </w:r>
      <w:r w:rsidRPr="00846769">
        <w:t xml:space="preserve"> </w:t>
      </w:r>
    </w:p>
    <w:p w14:paraId="74D60FD2" w14:textId="31FD416F" w:rsidR="006939E1" w:rsidRPr="00846769" w:rsidRDefault="00B5740F" w:rsidP="00BF317B">
      <w:r w:rsidRPr="00846769">
        <w:t xml:space="preserve">An infestation of </w:t>
      </w:r>
      <w:r w:rsidRPr="00846769">
        <w:rPr>
          <w:i/>
          <w:iCs/>
        </w:rPr>
        <w:t xml:space="preserve">M. sallei </w:t>
      </w:r>
      <w:r w:rsidRPr="00846769">
        <w:t xml:space="preserve">in Darwin, Australia in 1999 was eradicated by chemical biocide </w:t>
      </w:r>
      <w:r w:rsidRPr="00DD01E4">
        <w:t>treatments (Willan et al. 2000). The</w:t>
      </w:r>
      <w:r w:rsidRPr="00846769">
        <w:t xml:space="preserve"> infestation in Darwin occurred in three locked marinas. The semi-contained nature of the environment where the infestation occurred assisted in the eradication of the </w:t>
      </w:r>
      <w:r w:rsidR="003175EA" w:rsidRPr="00846769">
        <w:t xml:space="preserve">false </w:t>
      </w:r>
      <w:r w:rsidRPr="00846769">
        <w:t xml:space="preserve">mussel. </w:t>
      </w:r>
      <w:r w:rsidRPr="00846769">
        <w:rPr>
          <w:i/>
          <w:iCs/>
        </w:rPr>
        <w:t xml:space="preserve">Mytilopsis sallei </w:t>
      </w:r>
      <w:r w:rsidRPr="00846769">
        <w:t xml:space="preserve">is not established in Australia.  </w:t>
      </w:r>
    </w:p>
    <w:p w14:paraId="5329E280" w14:textId="77777777" w:rsidR="006939E1" w:rsidRPr="00846769" w:rsidRDefault="00B5740F" w:rsidP="009607A5">
      <w:pPr>
        <w:pStyle w:val="Heading5"/>
        <w:spacing w:before="40" w:after="40"/>
        <w:ind w:left="851" w:hanging="851"/>
        <w:rPr>
          <w:color w:val="262626" w:themeColor="text1" w:themeTint="D9"/>
        </w:rPr>
      </w:pPr>
      <w:r w:rsidRPr="00846769">
        <w:rPr>
          <w:color w:val="262626" w:themeColor="text1" w:themeTint="D9"/>
        </w:rPr>
        <w:t>Diseases</w:t>
      </w:r>
    </w:p>
    <w:p w14:paraId="08E3220B" w14:textId="56BB98EB" w:rsidR="006939E1" w:rsidRPr="00846769" w:rsidRDefault="2D45FC2C" w:rsidP="00BF317B">
      <w:r w:rsidRPr="00846769">
        <w:t xml:space="preserve">No parasites or pathogens have been recorded from </w:t>
      </w:r>
      <w:r w:rsidRPr="00846769">
        <w:rPr>
          <w:i/>
          <w:iCs/>
        </w:rPr>
        <w:t>M</w:t>
      </w:r>
      <w:r w:rsidR="00535014" w:rsidRPr="00846769">
        <w:rPr>
          <w:i/>
          <w:iCs/>
        </w:rPr>
        <w:t>.</w:t>
      </w:r>
      <w:r w:rsidRPr="00846769">
        <w:rPr>
          <w:i/>
          <w:iCs/>
        </w:rPr>
        <w:t xml:space="preserve"> sallei</w:t>
      </w:r>
      <w:r w:rsidRPr="00846769">
        <w:t xml:space="preserve">. </w:t>
      </w:r>
      <w:r w:rsidR="00087B61">
        <w:t>T</w:t>
      </w:r>
      <w:r w:rsidRPr="00846769">
        <w:t xml:space="preserve">he lack of pathogen data on </w:t>
      </w:r>
      <w:r w:rsidRPr="00846769">
        <w:rPr>
          <w:i/>
          <w:iCs/>
        </w:rPr>
        <w:t xml:space="preserve">M. sallei </w:t>
      </w:r>
      <w:r w:rsidRPr="00846769">
        <w:t>is probably a consequence of study effort</w:t>
      </w:r>
      <w:r w:rsidR="3BFCF97A" w:rsidRPr="00846769">
        <w:t xml:space="preserve"> rather</w:t>
      </w:r>
      <w:r w:rsidRPr="00846769">
        <w:t xml:space="preserve"> than a lower susceptibility to infection. </w:t>
      </w:r>
    </w:p>
    <w:p w14:paraId="0C9DB5CC" w14:textId="052C7A23" w:rsidR="00FE785A" w:rsidRPr="00846769" w:rsidRDefault="00B5740F" w:rsidP="00BF317B">
      <w:r w:rsidRPr="00846769">
        <w:t>A microsporidian of prawns</w:t>
      </w:r>
      <w:r w:rsidR="00FE785A" w:rsidRPr="00846769">
        <w:t>,</w:t>
      </w:r>
      <w:r w:rsidRPr="00846769">
        <w:t xml:space="preserve"> </w:t>
      </w:r>
      <w:proofErr w:type="spellStart"/>
      <w:r w:rsidRPr="00846769">
        <w:rPr>
          <w:i/>
          <w:iCs/>
        </w:rPr>
        <w:t>Enterocytozoon</w:t>
      </w:r>
      <w:proofErr w:type="spellEnd"/>
      <w:r w:rsidRPr="00846769">
        <w:rPr>
          <w:i/>
          <w:iCs/>
        </w:rPr>
        <w:t xml:space="preserve"> </w:t>
      </w:r>
      <w:proofErr w:type="spellStart"/>
      <w:r w:rsidRPr="00846769">
        <w:rPr>
          <w:i/>
          <w:iCs/>
        </w:rPr>
        <w:t>hepatopenaei</w:t>
      </w:r>
      <w:proofErr w:type="spellEnd"/>
      <w:r w:rsidR="00FE785A" w:rsidRPr="00846769">
        <w:rPr>
          <w:i/>
          <w:iCs/>
        </w:rPr>
        <w:t>,</w:t>
      </w:r>
      <w:r w:rsidRPr="00846769">
        <w:rPr>
          <w:i/>
          <w:iCs/>
        </w:rPr>
        <w:t xml:space="preserve"> </w:t>
      </w:r>
      <w:r w:rsidRPr="00846769">
        <w:t xml:space="preserve">has been recorded from </w:t>
      </w:r>
      <w:r w:rsidRPr="00846769">
        <w:rPr>
          <w:i/>
          <w:iCs/>
        </w:rPr>
        <w:t>M.</w:t>
      </w:r>
      <w:r w:rsidR="00FF70DD">
        <w:rPr>
          <w:i/>
          <w:iCs/>
        </w:rPr>
        <w:t> </w:t>
      </w:r>
      <w:proofErr w:type="spellStart"/>
      <w:r w:rsidRPr="00846769">
        <w:rPr>
          <w:i/>
          <w:iCs/>
        </w:rPr>
        <w:t>leucophaeata</w:t>
      </w:r>
      <w:proofErr w:type="spellEnd"/>
      <w:r w:rsidRPr="00846769">
        <w:rPr>
          <w:i/>
          <w:iCs/>
        </w:rPr>
        <w:t xml:space="preserve"> </w:t>
      </w:r>
      <w:r w:rsidRPr="00846769">
        <w:t xml:space="preserve">cohabitating prawn farms in </w:t>
      </w:r>
      <w:r w:rsidRPr="008E6EB9">
        <w:t>Thailand (</w:t>
      </w:r>
      <w:proofErr w:type="spellStart"/>
      <w:r w:rsidRPr="00634A79">
        <w:t>Munkongwongsiri</w:t>
      </w:r>
      <w:proofErr w:type="spellEnd"/>
      <w:r w:rsidRPr="00634A79">
        <w:t xml:space="preserve"> et al. 2022</w:t>
      </w:r>
      <w:r w:rsidRPr="008E6EB9">
        <w:t>), suggesting</w:t>
      </w:r>
      <w:r w:rsidRPr="00846769">
        <w:t xml:space="preserve"> </w:t>
      </w:r>
      <w:r w:rsidRPr="00846769">
        <w:rPr>
          <w:i/>
          <w:iCs/>
        </w:rPr>
        <w:t>M.</w:t>
      </w:r>
      <w:r w:rsidR="00FF70DD">
        <w:rPr>
          <w:i/>
          <w:iCs/>
        </w:rPr>
        <w:t> </w:t>
      </w:r>
      <w:r w:rsidRPr="00846769">
        <w:rPr>
          <w:i/>
          <w:iCs/>
        </w:rPr>
        <w:t xml:space="preserve">sallei </w:t>
      </w:r>
      <w:r w:rsidRPr="00846769">
        <w:t xml:space="preserve">may also be </w:t>
      </w:r>
      <w:r w:rsidR="007C7E5F" w:rsidRPr="00846769">
        <w:t xml:space="preserve">a </w:t>
      </w:r>
      <w:r w:rsidRPr="00846769">
        <w:t xml:space="preserve">susceptible pathway for this pathogen. </w:t>
      </w:r>
      <w:proofErr w:type="spellStart"/>
      <w:r w:rsidRPr="00846769">
        <w:rPr>
          <w:i/>
          <w:iCs/>
        </w:rPr>
        <w:t>Enterocytozoon</w:t>
      </w:r>
      <w:proofErr w:type="spellEnd"/>
      <w:r w:rsidRPr="00846769">
        <w:rPr>
          <w:i/>
          <w:iCs/>
        </w:rPr>
        <w:t xml:space="preserve"> </w:t>
      </w:r>
      <w:proofErr w:type="spellStart"/>
      <w:r w:rsidRPr="00846769">
        <w:rPr>
          <w:i/>
          <w:iCs/>
        </w:rPr>
        <w:t>hepatopenaei</w:t>
      </w:r>
      <w:proofErr w:type="spellEnd"/>
      <w:r w:rsidRPr="00846769">
        <w:rPr>
          <w:i/>
          <w:iCs/>
        </w:rPr>
        <w:t xml:space="preserve"> </w:t>
      </w:r>
      <w:r w:rsidRPr="00846769">
        <w:t xml:space="preserve">is an important </w:t>
      </w:r>
      <w:r w:rsidR="7B01211F" w:rsidRPr="00846769">
        <w:t xml:space="preserve">exotic </w:t>
      </w:r>
      <w:r w:rsidRPr="00846769">
        <w:t xml:space="preserve">pathogen </w:t>
      </w:r>
      <w:r w:rsidR="5CDECCAE" w:rsidRPr="00846769">
        <w:t>that could threaten</w:t>
      </w:r>
      <w:r w:rsidRPr="00846769">
        <w:t xml:space="preserve"> Australia’s prawn industry. The native range of </w:t>
      </w:r>
      <w:r w:rsidRPr="00846769">
        <w:rPr>
          <w:i/>
          <w:iCs/>
        </w:rPr>
        <w:t>M.</w:t>
      </w:r>
      <w:r w:rsidR="00FF70DD">
        <w:rPr>
          <w:i/>
          <w:iCs/>
        </w:rPr>
        <w:t> </w:t>
      </w:r>
      <w:r w:rsidRPr="00846769">
        <w:rPr>
          <w:i/>
          <w:iCs/>
        </w:rPr>
        <w:t xml:space="preserve">sallei </w:t>
      </w:r>
      <w:r w:rsidRPr="00846769">
        <w:t xml:space="preserve">overlaps with major global prawn farming areas and their pathogens. An introduction of </w:t>
      </w:r>
      <w:r w:rsidRPr="00846769">
        <w:rPr>
          <w:i/>
          <w:iCs/>
        </w:rPr>
        <w:t>M.</w:t>
      </w:r>
      <w:r w:rsidR="00FF70DD">
        <w:rPr>
          <w:i/>
          <w:iCs/>
        </w:rPr>
        <w:t> </w:t>
      </w:r>
      <w:r w:rsidRPr="00846769">
        <w:rPr>
          <w:i/>
          <w:iCs/>
        </w:rPr>
        <w:t xml:space="preserve">sallei </w:t>
      </w:r>
      <w:r w:rsidRPr="00846769">
        <w:t xml:space="preserve">to Australia could provide a pathway for other </w:t>
      </w:r>
      <w:r w:rsidR="7045C4A0" w:rsidRPr="00846769">
        <w:t xml:space="preserve">significant </w:t>
      </w:r>
      <w:r w:rsidRPr="00846769">
        <w:t>prawn pathogens.</w:t>
      </w:r>
    </w:p>
    <w:p w14:paraId="0E2F638D" w14:textId="77777777" w:rsidR="00FE785A" w:rsidRPr="00846769" w:rsidRDefault="00FE785A">
      <w:pPr>
        <w:spacing w:after="160" w:line="259" w:lineRule="auto"/>
      </w:pPr>
      <w:r w:rsidRPr="00846769">
        <w:br w:type="page"/>
      </w:r>
    </w:p>
    <w:p w14:paraId="1013D764" w14:textId="77777777" w:rsidR="00E55B67" w:rsidRPr="00846769" w:rsidRDefault="00E55B67" w:rsidP="0098611B">
      <w:pPr>
        <w:pStyle w:val="Heading3"/>
        <w:spacing w:after="120"/>
        <w:ind w:left="851" w:hanging="851"/>
      </w:pPr>
      <w:bookmarkStart w:id="620" w:name="_Toc191998680"/>
      <w:r w:rsidRPr="00846769">
        <w:lastRenderedPageBreak/>
        <w:t xml:space="preserve">Family </w:t>
      </w:r>
      <w:proofErr w:type="spellStart"/>
      <w:r w:rsidRPr="00846769">
        <w:t>Myidae</w:t>
      </w:r>
      <w:bookmarkEnd w:id="620"/>
      <w:proofErr w:type="spellEnd"/>
    </w:p>
    <w:p w14:paraId="643AC688" w14:textId="138964B5" w:rsidR="00E55B67" w:rsidRPr="00846769" w:rsidRDefault="00E55B67" w:rsidP="0098611B">
      <w:pPr>
        <w:pStyle w:val="Heading4"/>
        <w:spacing w:after="120"/>
        <w:ind w:left="851" w:hanging="851"/>
        <w:rPr>
          <w:rStyle w:val="Emphasis"/>
          <w:color w:val="262626" w:themeColor="text1" w:themeTint="D9"/>
        </w:rPr>
      </w:pPr>
      <w:r w:rsidRPr="00846769">
        <w:rPr>
          <w:rStyle w:val="Emphasis"/>
          <w:color w:val="262626" w:themeColor="text1" w:themeTint="D9"/>
        </w:rPr>
        <w:t>Mya arenaria</w:t>
      </w:r>
      <w:r w:rsidR="004E5649" w:rsidRPr="00846769">
        <w:rPr>
          <w:rStyle w:val="Emphasis"/>
          <w:color w:val="262626" w:themeColor="text1" w:themeTint="D9"/>
        </w:rPr>
        <w:t xml:space="preserve"> </w:t>
      </w:r>
      <w:r w:rsidR="004E5649" w:rsidRPr="00846769">
        <w:rPr>
          <w:rStyle w:val="Emphasis"/>
          <w:i w:val="0"/>
          <w:iCs w:val="0"/>
          <w:color w:val="262626" w:themeColor="text1" w:themeTint="D9"/>
        </w:rPr>
        <w:t xml:space="preserve">and </w:t>
      </w:r>
      <w:r w:rsidR="004E5649" w:rsidRPr="00846769">
        <w:rPr>
          <w:rStyle w:val="Emphasis"/>
          <w:color w:val="262626" w:themeColor="text1" w:themeTint="D9"/>
        </w:rPr>
        <w:t>Mya japonica</w:t>
      </w:r>
    </w:p>
    <w:p w14:paraId="24CA0C43" w14:textId="51779BF0" w:rsidR="0098611B" w:rsidRPr="008E6EB9" w:rsidRDefault="00E55B67" w:rsidP="00E55B67">
      <w:r w:rsidRPr="00846769">
        <w:rPr>
          <w:i/>
          <w:iCs/>
        </w:rPr>
        <w:t xml:space="preserve">Mya arenaria </w:t>
      </w:r>
      <w:r w:rsidRPr="00846769">
        <w:t xml:space="preserve">is known as </w:t>
      </w:r>
      <w:r w:rsidR="0098611B" w:rsidRPr="00846769">
        <w:t xml:space="preserve">the </w:t>
      </w:r>
      <w:r w:rsidRPr="00846769">
        <w:t>soft-shelled clam</w:t>
      </w:r>
      <w:r w:rsidR="0098611B" w:rsidRPr="00846769">
        <w:t>. It is</w:t>
      </w:r>
      <w:r w:rsidRPr="00846769">
        <w:t xml:space="preserve"> native to eastern North America, from Canada to South Carolina</w:t>
      </w:r>
      <w:r w:rsidR="0098611B" w:rsidRPr="00846769">
        <w:t xml:space="preserve">. </w:t>
      </w:r>
      <w:r w:rsidRPr="00846769">
        <w:rPr>
          <w:i/>
          <w:iCs/>
        </w:rPr>
        <w:t>Mya arenaria</w:t>
      </w:r>
      <w:r w:rsidRPr="00846769">
        <w:t xml:space="preserve"> </w:t>
      </w:r>
      <w:r w:rsidR="002E70C5" w:rsidRPr="00846769">
        <w:t xml:space="preserve">was introduced to the </w:t>
      </w:r>
      <w:r w:rsidRPr="00846769">
        <w:t xml:space="preserve">Pacific coast North America, from Alaska to California. </w:t>
      </w:r>
      <w:r w:rsidR="002E70C5" w:rsidRPr="00846769">
        <w:t xml:space="preserve">Historically, it was </w:t>
      </w:r>
      <w:r w:rsidR="002E70C5" w:rsidRPr="007F3FF4">
        <w:t xml:space="preserve">believed that Vikings introduced </w:t>
      </w:r>
      <w:r w:rsidR="002E70C5" w:rsidRPr="007F3FF4">
        <w:rPr>
          <w:i/>
          <w:iCs/>
        </w:rPr>
        <w:t xml:space="preserve">M. arenaria </w:t>
      </w:r>
      <w:r w:rsidR="002E70C5" w:rsidRPr="007F3FF4">
        <w:t xml:space="preserve">throughout Atlantic Europe as far back as 500 years </w:t>
      </w:r>
      <w:r w:rsidR="002E70C5" w:rsidRPr="008E6EB9">
        <w:t>ago (</w:t>
      </w:r>
      <w:r w:rsidR="002E70C5" w:rsidRPr="00634A79">
        <w:t>Essink et al. 201</w:t>
      </w:r>
      <w:r w:rsidR="007F3FF4" w:rsidRPr="00634A79">
        <w:t>7</w:t>
      </w:r>
      <w:r w:rsidR="002E70C5" w:rsidRPr="008E6EB9">
        <w:t xml:space="preserve">). </w:t>
      </w:r>
    </w:p>
    <w:p w14:paraId="28FE0D7F" w14:textId="5769C2DE" w:rsidR="0098611B" w:rsidRPr="00846769" w:rsidRDefault="0098611B" w:rsidP="00E55B67">
      <w:r w:rsidRPr="008E6EB9">
        <w:rPr>
          <w:i/>
          <w:iCs/>
        </w:rPr>
        <w:t xml:space="preserve">Mya japonica </w:t>
      </w:r>
      <w:r w:rsidRPr="008E6EB9">
        <w:t xml:space="preserve">is known as the Japanese soft-shelled clam and is closely related to </w:t>
      </w:r>
      <w:r w:rsidRPr="008E6EB9">
        <w:rPr>
          <w:i/>
          <w:iCs/>
        </w:rPr>
        <w:t xml:space="preserve">M. arenaria. </w:t>
      </w:r>
      <w:r w:rsidRPr="008E6EB9">
        <w:t xml:space="preserve">In 2018, taxonomic work undertaken by </w:t>
      </w:r>
      <w:r w:rsidRPr="00634A79">
        <w:t>Zhang et al. (2018)</w:t>
      </w:r>
      <w:r w:rsidRPr="008E6EB9">
        <w:t xml:space="preserve"> confirmed that </w:t>
      </w:r>
      <w:r w:rsidRPr="008E6EB9">
        <w:rPr>
          <w:i/>
          <w:iCs/>
        </w:rPr>
        <w:t xml:space="preserve">M. japonica </w:t>
      </w:r>
      <w:r w:rsidRPr="008E6EB9">
        <w:t xml:space="preserve">is a separate species to </w:t>
      </w:r>
      <w:r w:rsidRPr="008E6EB9">
        <w:rPr>
          <w:i/>
          <w:iCs/>
        </w:rPr>
        <w:t xml:space="preserve">M. arenaria. </w:t>
      </w:r>
      <w:r w:rsidRPr="008E6EB9">
        <w:t>Both species are almost identical</w:t>
      </w:r>
      <w:r w:rsidR="003442FD" w:rsidRPr="008E6EB9">
        <w:t xml:space="preserve"> morphologically, with notable intraspecific and ontogenetic variation (Richard Willan</w:t>
      </w:r>
      <w:r w:rsidR="00F47511" w:rsidRPr="008E6EB9">
        <w:t xml:space="preserve"> [MAGNT]</w:t>
      </w:r>
      <w:r w:rsidR="003442FD" w:rsidRPr="008E6EB9">
        <w:t>, pers. comm., April 2023). Therefore, m</w:t>
      </w:r>
      <w:r w:rsidRPr="008E6EB9">
        <w:t>olecular diagnostics is the best way to distinguish between the two</w:t>
      </w:r>
      <w:r w:rsidR="003442FD" w:rsidRPr="008E6EB9">
        <w:t xml:space="preserve"> species</w:t>
      </w:r>
      <w:r w:rsidRPr="008E6EB9">
        <w:t xml:space="preserve">. </w:t>
      </w:r>
      <w:r w:rsidR="002E70C5" w:rsidRPr="008E6EB9">
        <w:rPr>
          <w:i/>
          <w:iCs/>
        </w:rPr>
        <w:t xml:space="preserve">Mya japonica </w:t>
      </w:r>
      <w:r w:rsidR="002E70C5" w:rsidRPr="008E6EB9">
        <w:t>has been introduced to sandy beaches in the southeast of Tasmania, Australia</w:t>
      </w:r>
      <w:r w:rsidR="003442FD" w:rsidRPr="008E6EB9">
        <w:t xml:space="preserve">. This is the first confirmed record of any </w:t>
      </w:r>
      <w:proofErr w:type="spellStart"/>
      <w:r w:rsidR="003442FD" w:rsidRPr="008E6EB9">
        <w:t>myid</w:t>
      </w:r>
      <w:proofErr w:type="spellEnd"/>
      <w:r w:rsidR="003442FD" w:rsidRPr="008E6EB9">
        <w:t xml:space="preserve"> species to be introduced to the southern </w:t>
      </w:r>
      <w:r w:rsidR="003442FD" w:rsidRPr="00634A79">
        <w:t>hemisphere (Dann et al. 2020</w:t>
      </w:r>
      <w:r w:rsidR="003442FD" w:rsidRPr="008E6EB9">
        <w:t>)</w:t>
      </w:r>
      <w:r w:rsidR="002E70C5" w:rsidRPr="008E6EB9">
        <w:t>.</w:t>
      </w:r>
      <w:r w:rsidR="002E70C5" w:rsidRPr="00846769">
        <w:t xml:space="preserve"> </w:t>
      </w:r>
    </w:p>
    <w:p w14:paraId="3DDF39E1" w14:textId="16565521" w:rsidR="00E55B67" w:rsidRPr="00846769" w:rsidRDefault="002E70C5" w:rsidP="00E55B67">
      <w:r w:rsidRPr="00846769">
        <w:t>Both species are infaunal clams</w:t>
      </w:r>
      <w:r w:rsidR="00F00EB9" w:rsidRPr="00846769">
        <w:t>, with shell lengths between 75</w:t>
      </w:r>
      <w:r w:rsidR="003637A4">
        <w:rPr>
          <w:rFonts w:cstheme="minorHAnsi"/>
        </w:rPr>
        <w:t>‒</w:t>
      </w:r>
      <w:r w:rsidR="00F00EB9" w:rsidRPr="00846769">
        <w:t xml:space="preserve">100 mm, but may reach 150 mm. </w:t>
      </w:r>
      <w:r w:rsidR="00F00EB9" w:rsidRPr="00846769">
        <w:rPr>
          <w:i/>
          <w:iCs/>
        </w:rPr>
        <w:t xml:space="preserve">Mya arenaria </w:t>
      </w:r>
      <w:r w:rsidR="00F00EB9" w:rsidRPr="00846769">
        <w:t xml:space="preserve">has become widespread through deliberate and inadvertent human introductions, and substantial scientific literature is available for this species. In contrast, </w:t>
      </w:r>
      <w:r w:rsidR="00F00EB9" w:rsidRPr="00846769">
        <w:rPr>
          <w:i/>
          <w:iCs/>
        </w:rPr>
        <w:t xml:space="preserve">M. japonica </w:t>
      </w:r>
      <w:r w:rsidR="00F00EB9" w:rsidRPr="00846769">
        <w:t xml:space="preserve">is a recently recognised species with a limited introduced distribution, and therefore there are few data available. </w:t>
      </w:r>
      <w:r w:rsidR="00F00EB9" w:rsidRPr="00846769">
        <w:rPr>
          <w:i/>
          <w:iCs/>
        </w:rPr>
        <w:t xml:space="preserve">Mya arenaria </w:t>
      </w:r>
      <w:r w:rsidR="00F00EB9" w:rsidRPr="00846769">
        <w:t xml:space="preserve">may be used as a surrogate species where information is lacking for </w:t>
      </w:r>
      <w:r w:rsidR="00F00EB9" w:rsidRPr="00846769">
        <w:rPr>
          <w:i/>
          <w:iCs/>
        </w:rPr>
        <w:t>M.</w:t>
      </w:r>
      <w:r w:rsidR="00FF70DD">
        <w:rPr>
          <w:i/>
          <w:iCs/>
        </w:rPr>
        <w:t> </w:t>
      </w:r>
      <w:r w:rsidR="00F00EB9" w:rsidRPr="00846769">
        <w:rPr>
          <w:i/>
          <w:iCs/>
        </w:rPr>
        <w:t>japonica</w:t>
      </w:r>
      <w:r w:rsidR="00F00EB9" w:rsidRPr="00846769">
        <w:t xml:space="preserve">. </w:t>
      </w:r>
    </w:p>
    <w:p w14:paraId="33F89452" w14:textId="3D88E1E0" w:rsidR="001933EE" w:rsidRPr="00846769" w:rsidRDefault="00E55B67" w:rsidP="0090794A">
      <w:r w:rsidRPr="00846769">
        <w:rPr>
          <w:i/>
          <w:iCs/>
        </w:rPr>
        <w:t xml:space="preserve">Mya arenaria </w:t>
      </w:r>
      <w:r w:rsidRPr="00846769">
        <w:t xml:space="preserve">is </w:t>
      </w:r>
      <w:r w:rsidR="00EE0F80" w:rsidRPr="00846769">
        <w:t xml:space="preserve">nationally listed </w:t>
      </w:r>
      <w:r w:rsidRPr="00846769">
        <w:t xml:space="preserve">on the </w:t>
      </w:r>
      <w:hyperlink r:id="rId221" w:anchor="marine-pests" w:history="1">
        <w:r w:rsidRPr="00846769">
          <w:rPr>
            <w:rStyle w:val="Hyperlink"/>
          </w:rPr>
          <w:t>Exotic Environmental Pest Lis</w:t>
        </w:r>
      </w:hyperlink>
      <w:r w:rsidRPr="00846769">
        <w:rPr>
          <w:rStyle w:val="Hyperlink"/>
        </w:rPr>
        <w:t>t</w:t>
      </w:r>
      <w:r w:rsidRPr="00846769">
        <w:t xml:space="preserve"> (EEPL)</w:t>
      </w:r>
      <w:r w:rsidR="003442FD" w:rsidRPr="00846769">
        <w:t xml:space="preserve">, however </w:t>
      </w:r>
      <w:r w:rsidR="003442FD" w:rsidRPr="00846769">
        <w:rPr>
          <w:i/>
          <w:iCs/>
        </w:rPr>
        <w:t xml:space="preserve">M. japonica </w:t>
      </w:r>
      <w:r w:rsidR="003442FD" w:rsidRPr="00846769">
        <w:t xml:space="preserve">is not nationally listed in Australia. </w:t>
      </w:r>
      <w:r w:rsidR="00EE0F80" w:rsidRPr="00846769">
        <w:t xml:space="preserve"> </w:t>
      </w:r>
    </w:p>
    <w:p w14:paraId="0ADB71C7" w14:textId="50519879" w:rsidR="0090794A" w:rsidRPr="00846769" w:rsidRDefault="0090794A" w:rsidP="0090794A">
      <w:pPr>
        <w:pStyle w:val="Caption"/>
      </w:pPr>
      <w:bookmarkStart w:id="621" w:name="_Toc191999504"/>
      <w:r w:rsidRPr="00846769">
        <w:t xml:space="preserve">Table </w:t>
      </w:r>
      <w:r w:rsidRPr="00846769">
        <w:fldChar w:fldCharType="begin"/>
      </w:r>
      <w:r w:rsidRPr="00846769">
        <w:instrText xml:space="preserve"> SEQ Table \* ARABIC </w:instrText>
      </w:r>
      <w:r w:rsidRPr="00846769">
        <w:fldChar w:fldCharType="separate"/>
      </w:r>
      <w:r w:rsidR="005E4F41">
        <w:rPr>
          <w:noProof/>
        </w:rPr>
        <w:t>9</w:t>
      </w:r>
      <w:r w:rsidRPr="00846769">
        <w:fldChar w:fldCharType="end"/>
      </w:r>
      <w:r w:rsidRPr="00846769">
        <w:t xml:space="preserve"> </w:t>
      </w:r>
      <w:r w:rsidRPr="00846769">
        <w:rPr>
          <w:color w:val="262626" w:themeColor="text1" w:themeTint="D9"/>
          <w:lang w:eastAsia="ja-JP"/>
        </w:rPr>
        <w:t xml:space="preserve">Taxonomic classification of </w:t>
      </w:r>
      <w:r w:rsidRPr="00846769">
        <w:rPr>
          <w:rStyle w:val="Emphasis"/>
          <w:color w:val="262626" w:themeColor="text1" w:themeTint="D9"/>
        </w:rPr>
        <w:t xml:space="preserve">Mya </w:t>
      </w:r>
      <w:r w:rsidRPr="00846769">
        <w:rPr>
          <w:rStyle w:val="Emphasis"/>
          <w:i w:val="0"/>
          <w:iCs w:val="0"/>
          <w:color w:val="262626" w:themeColor="text1" w:themeTint="D9"/>
        </w:rPr>
        <w:t>spp.</w:t>
      </w:r>
      <w:bookmarkEnd w:id="621"/>
    </w:p>
    <w:tbl>
      <w:tblPr>
        <w:tblStyle w:val="TableGrid"/>
        <w:tblW w:w="0" w:type="auto"/>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1526"/>
        <w:gridCol w:w="2585"/>
      </w:tblGrid>
      <w:tr w:rsidR="00E55B67" w:rsidRPr="00846769" w14:paraId="57BF6D8F" w14:textId="77777777" w:rsidTr="00A04E26">
        <w:trPr>
          <w:cantSplit/>
          <w:tblHeader/>
        </w:trPr>
        <w:tc>
          <w:tcPr>
            <w:tcW w:w="1526" w:type="dxa"/>
            <w:shd w:val="clear" w:color="auto" w:fill="FFFFFF" w:themeFill="background1"/>
          </w:tcPr>
          <w:p w14:paraId="32DCCED9" w14:textId="77777777" w:rsidR="00E55B67" w:rsidRPr="00846769" w:rsidRDefault="00E55B67" w:rsidP="00A67BBE">
            <w:pPr>
              <w:pStyle w:val="TableText"/>
              <w:rPr>
                <w:rFonts w:cstheme="minorHAnsi"/>
                <w:b/>
                <w:bCs/>
              </w:rPr>
            </w:pPr>
            <w:bookmarkStart w:id="622" w:name="Table_9"/>
            <w:bookmarkEnd w:id="622"/>
            <w:r w:rsidRPr="00846769">
              <w:rPr>
                <w:rFonts w:cstheme="minorHAnsi"/>
                <w:b/>
                <w:bCs/>
              </w:rPr>
              <w:t>Classification</w:t>
            </w:r>
          </w:p>
        </w:tc>
        <w:tc>
          <w:tcPr>
            <w:tcW w:w="2585" w:type="dxa"/>
            <w:shd w:val="clear" w:color="auto" w:fill="FFFFFF" w:themeFill="background1"/>
          </w:tcPr>
          <w:p w14:paraId="5BF8180C" w14:textId="376E5006" w:rsidR="00E55B67" w:rsidRPr="00846769" w:rsidRDefault="00E55B67" w:rsidP="00A67BBE">
            <w:pPr>
              <w:pStyle w:val="TableText"/>
              <w:rPr>
                <w:rStyle w:val="Emphasis"/>
                <w:rFonts w:cstheme="minorBidi"/>
                <w:b/>
              </w:rPr>
            </w:pPr>
            <w:r w:rsidRPr="00846769">
              <w:rPr>
                <w:rStyle w:val="Emphasis"/>
                <w:rFonts w:cstheme="minorBidi"/>
                <w:b/>
              </w:rPr>
              <w:t xml:space="preserve">Mya </w:t>
            </w:r>
            <w:r w:rsidRPr="00846769">
              <w:rPr>
                <w:rStyle w:val="Emphasis"/>
                <w:rFonts w:cstheme="minorBidi"/>
                <w:b/>
                <w:bCs/>
              </w:rPr>
              <w:t>arenaria</w:t>
            </w:r>
            <w:r w:rsidR="0098611B" w:rsidRPr="00846769">
              <w:rPr>
                <w:rStyle w:val="Emphasis"/>
                <w:rFonts w:cstheme="minorBidi"/>
                <w:b/>
                <w:bCs/>
              </w:rPr>
              <w:t xml:space="preserve"> &amp;</w:t>
            </w:r>
            <w:r w:rsidR="0098611B" w:rsidRPr="00846769">
              <w:rPr>
                <w:rStyle w:val="Emphasis"/>
                <w:b/>
                <w:bCs/>
              </w:rPr>
              <w:t xml:space="preserve"> </w:t>
            </w:r>
            <w:r w:rsidR="006C5232" w:rsidRPr="00846769">
              <w:rPr>
                <w:rStyle w:val="Emphasis"/>
                <w:b/>
                <w:bCs/>
              </w:rPr>
              <w:t>M.</w:t>
            </w:r>
            <w:r w:rsidR="0098611B" w:rsidRPr="00846769">
              <w:rPr>
                <w:rStyle w:val="Emphasis"/>
                <w:b/>
                <w:bCs/>
              </w:rPr>
              <w:t xml:space="preserve"> japonica</w:t>
            </w:r>
          </w:p>
        </w:tc>
      </w:tr>
      <w:tr w:rsidR="00E55B67" w:rsidRPr="00846769" w14:paraId="3AA7242A" w14:textId="77777777" w:rsidTr="00A04E26">
        <w:trPr>
          <w:cantSplit/>
          <w:tblHeader/>
        </w:trPr>
        <w:tc>
          <w:tcPr>
            <w:tcW w:w="1526" w:type="dxa"/>
            <w:shd w:val="clear" w:color="auto" w:fill="FFFFFF" w:themeFill="background1"/>
          </w:tcPr>
          <w:p w14:paraId="65DAE1AF" w14:textId="77777777" w:rsidR="00E55B67" w:rsidRPr="00846769" w:rsidRDefault="00E55B67" w:rsidP="00A67BBE">
            <w:pPr>
              <w:pStyle w:val="TableText"/>
              <w:rPr>
                <w:rFonts w:cstheme="minorHAnsi"/>
              </w:rPr>
            </w:pPr>
            <w:r w:rsidRPr="00846769">
              <w:rPr>
                <w:rFonts w:cstheme="minorHAnsi"/>
              </w:rPr>
              <w:t>Phylum</w:t>
            </w:r>
          </w:p>
        </w:tc>
        <w:tc>
          <w:tcPr>
            <w:tcW w:w="2585" w:type="dxa"/>
            <w:shd w:val="clear" w:color="auto" w:fill="FFFFFF" w:themeFill="background1"/>
          </w:tcPr>
          <w:p w14:paraId="1910F581" w14:textId="77777777" w:rsidR="00E55B67" w:rsidRPr="00846769" w:rsidRDefault="00E55B67" w:rsidP="00A67BBE">
            <w:pPr>
              <w:pStyle w:val="TableText"/>
              <w:rPr>
                <w:rFonts w:cstheme="minorHAnsi"/>
              </w:rPr>
            </w:pPr>
            <w:r w:rsidRPr="00846769">
              <w:rPr>
                <w:rFonts w:cstheme="minorHAnsi"/>
              </w:rPr>
              <w:t>Mollusca</w:t>
            </w:r>
          </w:p>
        </w:tc>
      </w:tr>
      <w:tr w:rsidR="00E55B67" w:rsidRPr="00846769" w14:paraId="5E298AE3" w14:textId="77777777" w:rsidTr="00A04E26">
        <w:trPr>
          <w:cantSplit/>
          <w:tblHeader/>
        </w:trPr>
        <w:tc>
          <w:tcPr>
            <w:tcW w:w="1526" w:type="dxa"/>
            <w:shd w:val="clear" w:color="auto" w:fill="FFFFFF" w:themeFill="background1"/>
          </w:tcPr>
          <w:p w14:paraId="392331FB" w14:textId="77777777" w:rsidR="00E55B67" w:rsidRPr="00846769" w:rsidRDefault="00E55B67" w:rsidP="00A67BBE">
            <w:pPr>
              <w:pStyle w:val="TableText"/>
              <w:rPr>
                <w:rFonts w:cstheme="minorHAnsi"/>
              </w:rPr>
            </w:pPr>
            <w:r w:rsidRPr="00846769">
              <w:rPr>
                <w:rFonts w:cstheme="minorHAnsi"/>
              </w:rPr>
              <w:t>Class</w:t>
            </w:r>
          </w:p>
        </w:tc>
        <w:tc>
          <w:tcPr>
            <w:tcW w:w="2585" w:type="dxa"/>
            <w:shd w:val="clear" w:color="auto" w:fill="FFFFFF" w:themeFill="background1"/>
          </w:tcPr>
          <w:p w14:paraId="1641320B" w14:textId="77777777" w:rsidR="00E55B67" w:rsidRPr="00846769" w:rsidRDefault="00E55B67" w:rsidP="00A67BBE">
            <w:pPr>
              <w:pStyle w:val="TableText"/>
              <w:rPr>
                <w:rFonts w:cstheme="minorHAnsi"/>
              </w:rPr>
            </w:pPr>
            <w:r w:rsidRPr="00846769">
              <w:rPr>
                <w:rFonts w:cstheme="minorHAnsi"/>
              </w:rPr>
              <w:t>Bivalvia</w:t>
            </w:r>
          </w:p>
        </w:tc>
      </w:tr>
      <w:tr w:rsidR="00E55B67" w:rsidRPr="00846769" w14:paraId="6AF15909" w14:textId="77777777" w:rsidTr="00A04E26">
        <w:trPr>
          <w:cantSplit/>
          <w:tblHeader/>
        </w:trPr>
        <w:tc>
          <w:tcPr>
            <w:tcW w:w="1526" w:type="dxa"/>
            <w:shd w:val="clear" w:color="auto" w:fill="FFFFFF" w:themeFill="background1"/>
          </w:tcPr>
          <w:p w14:paraId="7AC21DD3" w14:textId="77777777" w:rsidR="00E55B67" w:rsidRPr="00846769" w:rsidRDefault="00E55B67" w:rsidP="00A67BBE">
            <w:pPr>
              <w:pStyle w:val="TableText"/>
              <w:rPr>
                <w:rFonts w:cstheme="minorHAnsi"/>
              </w:rPr>
            </w:pPr>
            <w:r w:rsidRPr="00846769">
              <w:rPr>
                <w:rFonts w:cstheme="minorHAnsi"/>
              </w:rPr>
              <w:t>Order</w:t>
            </w:r>
          </w:p>
        </w:tc>
        <w:tc>
          <w:tcPr>
            <w:tcW w:w="2585" w:type="dxa"/>
            <w:shd w:val="clear" w:color="auto" w:fill="FFFFFF" w:themeFill="background1"/>
          </w:tcPr>
          <w:p w14:paraId="03FF0F0F" w14:textId="77777777" w:rsidR="00E55B67" w:rsidRPr="00846769" w:rsidRDefault="00E55B67" w:rsidP="00A67BBE">
            <w:pPr>
              <w:pStyle w:val="TableText"/>
              <w:rPr>
                <w:rFonts w:cstheme="minorHAnsi"/>
              </w:rPr>
            </w:pPr>
            <w:proofErr w:type="spellStart"/>
            <w:r w:rsidRPr="00846769">
              <w:rPr>
                <w:rFonts w:cstheme="minorHAnsi"/>
              </w:rPr>
              <w:t>Myida</w:t>
            </w:r>
            <w:proofErr w:type="spellEnd"/>
          </w:p>
        </w:tc>
      </w:tr>
      <w:tr w:rsidR="00E55B67" w:rsidRPr="00846769" w14:paraId="6B9C3E18" w14:textId="77777777" w:rsidTr="00A04E26">
        <w:trPr>
          <w:cantSplit/>
          <w:tblHeader/>
        </w:trPr>
        <w:tc>
          <w:tcPr>
            <w:tcW w:w="1526" w:type="dxa"/>
            <w:shd w:val="clear" w:color="auto" w:fill="FFFFFF" w:themeFill="background1"/>
          </w:tcPr>
          <w:p w14:paraId="47F19D03" w14:textId="77777777" w:rsidR="00E55B67" w:rsidRPr="00846769" w:rsidRDefault="00E55B67" w:rsidP="00A67BBE">
            <w:pPr>
              <w:pStyle w:val="TableText"/>
              <w:rPr>
                <w:rFonts w:cstheme="minorHAnsi"/>
              </w:rPr>
            </w:pPr>
            <w:r w:rsidRPr="00846769">
              <w:rPr>
                <w:rFonts w:cstheme="minorHAnsi"/>
              </w:rPr>
              <w:t>Family</w:t>
            </w:r>
          </w:p>
        </w:tc>
        <w:tc>
          <w:tcPr>
            <w:tcW w:w="2585" w:type="dxa"/>
            <w:shd w:val="clear" w:color="auto" w:fill="FFFFFF" w:themeFill="background1"/>
          </w:tcPr>
          <w:p w14:paraId="1B2167EA" w14:textId="77777777" w:rsidR="00E55B67" w:rsidRPr="00846769" w:rsidRDefault="00E55B67" w:rsidP="00A67BBE">
            <w:pPr>
              <w:pStyle w:val="TableText"/>
              <w:rPr>
                <w:rFonts w:cstheme="minorHAnsi"/>
              </w:rPr>
            </w:pPr>
            <w:proofErr w:type="spellStart"/>
            <w:r w:rsidRPr="00846769">
              <w:rPr>
                <w:rFonts w:cstheme="minorHAnsi"/>
              </w:rPr>
              <w:t>Myidae</w:t>
            </w:r>
            <w:proofErr w:type="spellEnd"/>
          </w:p>
        </w:tc>
      </w:tr>
      <w:tr w:rsidR="00E55B67" w:rsidRPr="00846769" w14:paraId="6BAB006E" w14:textId="77777777" w:rsidTr="00A04E26">
        <w:trPr>
          <w:cantSplit/>
          <w:tblHeader/>
        </w:trPr>
        <w:tc>
          <w:tcPr>
            <w:tcW w:w="1526" w:type="dxa"/>
            <w:shd w:val="clear" w:color="auto" w:fill="FFFFFF" w:themeFill="background1"/>
          </w:tcPr>
          <w:p w14:paraId="64070080" w14:textId="77777777" w:rsidR="00E55B67" w:rsidRPr="00846769" w:rsidRDefault="00E55B67" w:rsidP="00A67BBE">
            <w:pPr>
              <w:pStyle w:val="TableText"/>
              <w:rPr>
                <w:rFonts w:cstheme="minorHAnsi"/>
              </w:rPr>
            </w:pPr>
            <w:r w:rsidRPr="00846769">
              <w:rPr>
                <w:rFonts w:cstheme="minorHAnsi"/>
              </w:rPr>
              <w:t>Genus</w:t>
            </w:r>
          </w:p>
        </w:tc>
        <w:tc>
          <w:tcPr>
            <w:tcW w:w="2585" w:type="dxa"/>
            <w:shd w:val="clear" w:color="auto" w:fill="FFFFFF" w:themeFill="background1"/>
          </w:tcPr>
          <w:p w14:paraId="7BAB09FC" w14:textId="77777777" w:rsidR="00E55B67" w:rsidRPr="00846769" w:rsidRDefault="00E55B67" w:rsidP="00A67BBE">
            <w:pPr>
              <w:pStyle w:val="TableText"/>
              <w:rPr>
                <w:rStyle w:val="Emphasis"/>
              </w:rPr>
            </w:pPr>
            <w:r w:rsidRPr="00846769">
              <w:rPr>
                <w:rStyle w:val="Emphasis"/>
              </w:rPr>
              <w:t>Mya</w:t>
            </w:r>
          </w:p>
        </w:tc>
      </w:tr>
    </w:tbl>
    <w:p w14:paraId="1A3C6DC8" w14:textId="77777777" w:rsidR="00E55B67" w:rsidRPr="00846769" w:rsidRDefault="00E55B67" w:rsidP="003442FD">
      <w:pPr>
        <w:pStyle w:val="Heading5"/>
        <w:spacing w:before="120" w:after="120"/>
        <w:rPr>
          <w:color w:val="262626" w:themeColor="text1" w:themeTint="D9"/>
          <w:sz w:val="24"/>
          <w:szCs w:val="24"/>
        </w:rPr>
      </w:pPr>
      <w:r w:rsidRPr="00846769">
        <w:rPr>
          <w:color w:val="262626" w:themeColor="text1" w:themeTint="D9"/>
          <w:sz w:val="24"/>
          <w:szCs w:val="24"/>
        </w:rPr>
        <w:t>Diagnostic features for identification</w:t>
      </w:r>
    </w:p>
    <w:p w14:paraId="1F1B4753" w14:textId="3AD4FF8D" w:rsidR="00F613E9" w:rsidRPr="00846769" w:rsidRDefault="00F613E9" w:rsidP="00F613E9">
      <w:pPr>
        <w:pStyle w:val="Heading6"/>
        <w:spacing w:after="40"/>
        <w:rPr>
          <w:color w:val="262626" w:themeColor="text1" w:themeTint="D9"/>
        </w:rPr>
      </w:pPr>
      <w:r w:rsidRPr="00846769">
        <w:rPr>
          <w:color w:val="262626" w:themeColor="text1" w:themeTint="D9"/>
        </w:rPr>
        <w:t>Field identification</w:t>
      </w:r>
    </w:p>
    <w:p w14:paraId="1B4C41D6" w14:textId="3FA0BFA3" w:rsidR="00E55B67" w:rsidRPr="00846769" w:rsidRDefault="00D969F1" w:rsidP="00E55B67">
      <w:r w:rsidRPr="00846769">
        <w:t xml:space="preserve">The genus </w:t>
      </w:r>
      <w:r w:rsidRPr="00846769">
        <w:rPr>
          <w:i/>
          <w:iCs/>
        </w:rPr>
        <w:t xml:space="preserve">Mya </w:t>
      </w:r>
      <w:r w:rsidRPr="00846769">
        <w:t xml:space="preserve">can </w:t>
      </w:r>
      <w:r w:rsidR="008B2E0E" w:rsidRPr="00846769">
        <w:t xml:space="preserve">possibly </w:t>
      </w:r>
      <w:r w:rsidRPr="00846769">
        <w:t xml:space="preserve">be identified in the field, however not to </w:t>
      </w:r>
      <w:r w:rsidR="008561AB" w:rsidRPr="00846769">
        <w:t xml:space="preserve">a </w:t>
      </w:r>
      <w:r w:rsidRPr="00846769">
        <w:t>species level</w:t>
      </w:r>
      <w:r w:rsidR="008B2E0E" w:rsidRPr="00846769">
        <w:t xml:space="preserve">, </w:t>
      </w:r>
      <w:r w:rsidR="00DD03FC">
        <w:t xml:space="preserve">as </w:t>
      </w:r>
      <w:r w:rsidR="00DD03FC">
        <w:rPr>
          <w:i/>
          <w:iCs/>
        </w:rPr>
        <w:t xml:space="preserve">Mya </w:t>
      </w:r>
      <w:r w:rsidR="00DD03FC">
        <w:t>spp. are</w:t>
      </w:r>
      <w:r w:rsidR="008B2E0E" w:rsidRPr="00846769">
        <w:t xml:space="preserve"> also </w:t>
      </w:r>
      <w:r w:rsidR="00DD03FC">
        <w:t xml:space="preserve">morphologically </w:t>
      </w:r>
      <w:proofErr w:type="gramStart"/>
      <w:r w:rsidR="008B2E0E" w:rsidRPr="00846769">
        <w:t>similar to</w:t>
      </w:r>
      <w:proofErr w:type="gramEnd"/>
      <w:r w:rsidR="008B2E0E" w:rsidRPr="00846769">
        <w:t xml:space="preserve"> some </w:t>
      </w:r>
      <w:hyperlink w:anchor="_Similar_native_species" w:history="1">
        <w:r w:rsidR="008B2E0E" w:rsidRPr="00846769">
          <w:rPr>
            <w:rStyle w:val="Hyperlink"/>
          </w:rPr>
          <w:t>native species</w:t>
        </w:r>
      </w:hyperlink>
      <w:r w:rsidRPr="00846769">
        <w:t xml:space="preserve">. Identification to confirm between </w:t>
      </w:r>
      <w:r w:rsidRPr="00846769">
        <w:rPr>
          <w:i/>
          <w:iCs/>
        </w:rPr>
        <w:t>M. arenaria</w:t>
      </w:r>
      <w:r w:rsidRPr="00846769">
        <w:t xml:space="preserve">, </w:t>
      </w:r>
      <w:r w:rsidRPr="00846769">
        <w:rPr>
          <w:i/>
          <w:iCs/>
        </w:rPr>
        <w:t xml:space="preserve">M. japonica, </w:t>
      </w:r>
      <w:r w:rsidRPr="00846769">
        <w:t xml:space="preserve">or any other </w:t>
      </w:r>
      <w:proofErr w:type="spellStart"/>
      <w:r w:rsidRPr="00846769">
        <w:t>myid</w:t>
      </w:r>
      <w:proofErr w:type="spellEnd"/>
      <w:r w:rsidRPr="00846769">
        <w:t xml:space="preserve"> species would require molecular diagnostics. </w:t>
      </w:r>
      <w:r w:rsidR="00E55B67" w:rsidRPr="00846769">
        <w:rPr>
          <w:i/>
          <w:iCs/>
        </w:rPr>
        <w:t xml:space="preserve">Mya arenaria </w:t>
      </w:r>
      <w:r w:rsidR="00E55B67" w:rsidRPr="00846769">
        <w:t xml:space="preserve">and </w:t>
      </w:r>
      <w:r w:rsidR="00E55B67" w:rsidRPr="00846769">
        <w:rPr>
          <w:i/>
          <w:iCs/>
        </w:rPr>
        <w:t xml:space="preserve">M. japonica </w:t>
      </w:r>
      <w:r w:rsidR="00E55B67" w:rsidRPr="00846769">
        <w:t xml:space="preserve">are almost </w:t>
      </w:r>
      <w:r w:rsidRPr="00846769">
        <w:t xml:space="preserve">morphologically </w:t>
      </w:r>
      <w:r w:rsidR="00E55B67" w:rsidRPr="00846769">
        <w:t xml:space="preserve">identical and molecular methods are the </w:t>
      </w:r>
      <w:r w:rsidR="007E11FA" w:rsidRPr="00846769">
        <w:t xml:space="preserve">only </w:t>
      </w:r>
      <w:r w:rsidR="00E55B67" w:rsidRPr="00846769">
        <w:t>method to distinguish them</w:t>
      </w:r>
      <w:r w:rsidR="007E11FA" w:rsidRPr="00846769">
        <w:t xml:space="preserve"> </w:t>
      </w:r>
      <w:r w:rsidR="007E11FA" w:rsidRPr="00DD01E4">
        <w:t>conclusively</w:t>
      </w:r>
      <w:r w:rsidR="00E55B67" w:rsidRPr="00DD01E4">
        <w:t xml:space="preserve"> (Zhang et al. 2018).</w:t>
      </w:r>
      <w:r w:rsidR="00E55B67" w:rsidRPr="00846769">
        <w:t xml:space="preserve"> </w:t>
      </w:r>
    </w:p>
    <w:p w14:paraId="5E04BB61" w14:textId="14E4A663" w:rsidR="00E55B67" w:rsidRPr="00846769" w:rsidRDefault="00D969F1" w:rsidP="00E55B67">
      <w:pPr>
        <w:rPr>
          <w:rStyle w:val="Emphasis"/>
          <w:i w:val="0"/>
          <w:iCs w:val="0"/>
        </w:rPr>
      </w:pPr>
      <w:r w:rsidRPr="00846769">
        <w:rPr>
          <w:rStyle w:val="Emphasis"/>
        </w:rPr>
        <w:t>Mya</w:t>
      </w:r>
      <w:r w:rsidR="00E55B67" w:rsidRPr="00846769">
        <w:rPr>
          <w:rStyle w:val="Emphasis"/>
        </w:rPr>
        <w:t xml:space="preserve"> arenaria </w:t>
      </w:r>
      <w:r w:rsidRPr="00846769">
        <w:rPr>
          <w:rStyle w:val="Emphasis"/>
          <w:i w:val="0"/>
          <w:iCs w:val="0"/>
        </w:rPr>
        <w:t xml:space="preserve">and </w:t>
      </w:r>
      <w:r w:rsidRPr="00846769">
        <w:rPr>
          <w:rStyle w:val="Emphasis"/>
        </w:rPr>
        <w:t xml:space="preserve">M. japonica </w:t>
      </w:r>
      <w:r w:rsidRPr="00846769">
        <w:rPr>
          <w:rStyle w:val="Emphasis"/>
          <w:i w:val="0"/>
          <w:iCs w:val="0"/>
        </w:rPr>
        <w:t xml:space="preserve">have a </w:t>
      </w:r>
      <w:r w:rsidR="00DD03FC">
        <w:rPr>
          <w:rStyle w:val="Emphasis"/>
          <w:i w:val="0"/>
          <w:iCs w:val="0"/>
        </w:rPr>
        <w:t>near identical</w:t>
      </w:r>
      <w:r w:rsidR="00DD03FC" w:rsidRPr="00846769">
        <w:rPr>
          <w:rStyle w:val="Emphasis"/>
          <w:i w:val="0"/>
          <w:iCs w:val="0"/>
        </w:rPr>
        <w:t xml:space="preserve"> </w:t>
      </w:r>
      <w:r w:rsidRPr="00846769">
        <w:rPr>
          <w:rStyle w:val="Emphasis"/>
          <w:i w:val="0"/>
          <w:iCs w:val="0"/>
        </w:rPr>
        <w:t>appearance</w:t>
      </w:r>
      <w:r w:rsidR="009D2C85" w:rsidRPr="00846769">
        <w:rPr>
          <w:rStyle w:val="Emphasis"/>
          <w:i w:val="0"/>
          <w:iCs w:val="0"/>
        </w:rPr>
        <w:t xml:space="preserve"> </w:t>
      </w:r>
      <w:r w:rsidR="00611CCC" w:rsidRPr="00846769">
        <w:rPr>
          <w:rStyle w:val="Emphasis"/>
          <w:i w:val="0"/>
          <w:iCs w:val="0"/>
        </w:rPr>
        <w:t>(</w:t>
      </w:r>
      <w:r w:rsidR="00192097" w:rsidRPr="00846769">
        <w:rPr>
          <w:rStyle w:val="Emphasis"/>
          <w:i w:val="0"/>
          <w:iCs w:val="0"/>
        </w:rPr>
        <w:fldChar w:fldCharType="begin"/>
      </w:r>
      <w:r w:rsidR="00192097" w:rsidRPr="00846769">
        <w:rPr>
          <w:rStyle w:val="Emphasis"/>
          <w:i w:val="0"/>
          <w:iCs w:val="0"/>
        </w:rPr>
        <w:instrText xml:space="preserve"> REF _Ref171944330 \h </w:instrText>
      </w:r>
      <w:r w:rsidR="00192097" w:rsidRPr="00846769">
        <w:rPr>
          <w:rStyle w:val="Emphasis"/>
          <w:i w:val="0"/>
          <w:iCs w:val="0"/>
        </w:rPr>
      </w:r>
      <w:r w:rsidR="00192097" w:rsidRPr="00846769">
        <w:rPr>
          <w:rStyle w:val="Emphasis"/>
          <w:i w:val="0"/>
          <w:iCs w:val="0"/>
        </w:rPr>
        <w:fldChar w:fldCharType="separate"/>
      </w:r>
      <w:r w:rsidR="00192097" w:rsidRPr="00846769">
        <w:t>Photo 10</w:t>
      </w:r>
      <w:r w:rsidR="00192097" w:rsidRPr="00846769">
        <w:rPr>
          <w:rStyle w:val="Emphasis"/>
          <w:i w:val="0"/>
          <w:iCs w:val="0"/>
        </w:rPr>
        <w:fldChar w:fldCharType="end"/>
      </w:r>
      <w:r w:rsidR="00611CCC" w:rsidRPr="00846769">
        <w:rPr>
          <w:rStyle w:val="Emphasis"/>
          <w:i w:val="0"/>
          <w:iCs w:val="0"/>
        </w:rPr>
        <w:t xml:space="preserve"> </w:t>
      </w:r>
      <w:r w:rsidR="009D2C85" w:rsidRPr="00846769">
        <w:rPr>
          <w:rStyle w:val="Emphasis"/>
          <w:i w:val="0"/>
          <w:iCs w:val="0"/>
        </w:rPr>
        <w:t xml:space="preserve">and </w:t>
      </w:r>
      <w:r w:rsidR="00192097" w:rsidRPr="00846769">
        <w:rPr>
          <w:rStyle w:val="Emphasis"/>
          <w:i w:val="0"/>
          <w:iCs w:val="0"/>
        </w:rPr>
        <w:fldChar w:fldCharType="begin"/>
      </w:r>
      <w:r w:rsidR="00192097" w:rsidRPr="00846769">
        <w:rPr>
          <w:rStyle w:val="Emphasis"/>
          <w:i w:val="0"/>
          <w:iCs w:val="0"/>
        </w:rPr>
        <w:instrText xml:space="preserve"> REF _Ref171944324 \h </w:instrText>
      </w:r>
      <w:r w:rsidR="00192097" w:rsidRPr="00846769">
        <w:rPr>
          <w:rStyle w:val="Emphasis"/>
          <w:i w:val="0"/>
          <w:iCs w:val="0"/>
        </w:rPr>
      </w:r>
      <w:r w:rsidR="00192097" w:rsidRPr="00846769">
        <w:rPr>
          <w:rStyle w:val="Emphasis"/>
          <w:i w:val="0"/>
          <w:iCs w:val="0"/>
        </w:rPr>
        <w:fldChar w:fldCharType="separate"/>
      </w:r>
      <w:r w:rsidR="00192097" w:rsidRPr="00846769">
        <w:t>Photo 11</w:t>
      </w:r>
      <w:r w:rsidR="00192097" w:rsidRPr="00846769">
        <w:rPr>
          <w:rStyle w:val="Emphasis"/>
          <w:i w:val="0"/>
          <w:iCs w:val="0"/>
        </w:rPr>
        <w:fldChar w:fldCharType="end"/>
      </w:r>
      <w:r w:rsidR="00611CCC" w:rsidRPr="00846769">
        <w:rPr>
          <w:rStyle w:val="Emphasis"/>
          <w:i w:val="0"/>
          <w:iCs w:val="0"/>
        </w:rPr>
        <w:t>, respectively</w:t>
      </w:r>
      <w:r w:rsidR="009D2C85" w:rsidRPr="00846769">
        <w:rPr>
          <w:rStyle w:val="Emphasis"/>
          <w:i w:val="0"/>
          <w:iCs w:val="0"/>
        </w:rPr>
        <w:t>)</w:t>
      </w:r>
      <w:r w:rsidRPr="00846769">
        <w:rPr>
          <w:rStyle w:val="Emphasis"/>
          <w:i w:val="0"/>
          <w:iCs w:val="0"/>
        </w:rPr>
        <w:t xml:space="preserve">. Both species </w:t>
      </w:r>
      <w:r w:rsidR="00E55B67" w:rsidRPr="00846769">
        <w:rPr>
          <w:rStyle w:val="Emphasis"/>
          <w:i w:val="0"/>
          <w:iCs w:val="0"/>
        </w:rPr>
        <w:t>ha</w:t>
      </w:r>
      <w:r w:rsidRPr="00846769">
        <w:rPr>
          <w:rStyle w:val="Emphasis"/>
          <w:i w:val="0"/>
          <w:iCs w:val="0"/>
        </w:rPr>
        <w:t>ve</w:t>
      </w:r>
      <w:r w:rsidR="00E55B67" w:rsidRPr="00846769">
        <w:rPr>
          <w:rStyle w:val="Emphasis"/>
          <w:i w:val="0"/>
          <w:iCs w:val="0"/>
        </w:rPr>
        <w:t xml:space="preserve"> a grey or chalky-white shell that is thin and </w:t>
      </w:r>
      <w:proofErr w:type="gramStart"/>
      <w:r w:rsidR="00E55B67" w:rsidRPr="00846769">
        <w:rPr>
          <w:rStyle w:val="Emphasis"/>
          <w:i w:val="0"/>
          <w:iCs w:val="0"/>
        </w:rPr>
        <w:t>brittle</w:t>
      </w:r>
      <w:r w:rsidR="008561AB" w:rsidRPr="00846769">
        <w:rPr>
          <w:rStyle w:val="Emphasis"/>
          <w:i w:val="0"/>
          <w:iCs w:val="0"/>
        </w:rPr>
        <w:t>, and</w:t>
      </w:r>
      <w:proofErr w:type="gramEnd"/>
      <w:r w:rsidR="008561AB" w:rsidRPr="00846769">
        <w:rPr>
          <w:rStyle w:val="Emphasis"/>
          <w:i w:val="0"/>
          <w:iCs w:val="0"/>
        </w:rPr>
        <w:t xml:space="preserve"> can have a greyish/brownish periostracum. </w:t>
      </w:r>
      <w:r w:rsidR="00E55B67" w:rsidRPr="00846769">
        <w:rPr>
          <w:rStyle w:val="Emphasis"/>
          <w:i w:val="0"/>
          <w:iCs w:val="0"/>
        </w:rPr>
        <w:t xml:space="preserve">Adults grow to between 75 and 100 mm, but can reach 150 mm. </w:t>
      </w:r>
      <w:r w:rsidR="00E55B67" w:rsidRPr="00846769">
        <w:rPr>
          <w:rStyle w:val="Emphasis"/>
          <w:i w:val="0"/>
          <w:iCs w:val="0"/>
        </w:rPr>
        <w:lastRenderedPageBreak/>
        <w:t>The shell shape is oval</w:t>
      </w:r>
      <w:r w:rsidRPr="00846769">
        <w:rPr>
          <w:rStyle w:val="Emphasis"/>
          <w:i w:val="0"/>
          <w:iCs w:val="0"/>
        </w:rPr>
        <w:t>, rounded, and slightly elongate in outline</w:t>
      </w:r>
      <w:r w:rsidR="00E55B67" w:rsidRPr="00846769">
        <w:rPr>
          <w:rStyle w:val="Emphasis"/>
          <w:i w:val="0"/>
          <w:iCs w:val="0"/>
        </w:rPr>
        <w:t xml:space="preserve"> with gaps at both ends for the foot and siphons of the clam. </w:t>
      </w:r>
    </w:p>
    <w:p w14:paraId="76955C57" w14:textId="22CFD319" w:rsidR="00E55B67" w:rsidRPr="00846769" w:rsidRDefault="00E55B67" w:rsidP="00E55B67">
      <w:r w:rsidRPr="00846769">
        <w:rPr>
          <w:rStyle w:val="Emphasis"/>
          <w:i w:val="0"/>
          <w:iCs w:val="0"/>
        </w:rPr>
        <w:t>The shell hinge has a spoon-shaped tooth</w:t>
      </w:r>
      <w:r w:rsidR="00D969F1" w:rsidRPr="00846769">
        <w:rPr>
          <w:rStyle w:val="Emphasis"/>
          <w:i w:val="0"/>
          <w:iCs w:val="0"/>
        </w:rPr>
        <w:t xml:space="preserve"> (</w:t>
      </w:r>
      <w:proofErr w:type="spellStart"/>
      <w:r w:rsidR="00D969F1" w:rsidRPr="00846769">
        <w:rPr>
          <w:rStyle w:val="Emphasis"/>
          <w:i w:val="0"/>
          <w:iCs w:val="0"/>
        </w:rPr>
        <w:t>chondrophore</w:t>
      </w:r>
      <w:proofErr w:type="spellEnd"/>
      <w:r w:rsidR="00D969F1" w:rsidRPr="00846769">
        <w:rPr>
          <w:rStyle w:val="Emphasis"/>
          <w:i w:val="0"/>
          <w:iCs w:val="0"/>
        </w:rPr>
        <w:t>)</w:t>
      </w:r>
      <w:r w:rsidRPr="00846769">
        <w:rPr>
          <w:rStyle w:val="Emphasis"/>
          <w:i w:val="0"/>
          <w:iCs w:val="0"/>
        </w:rPr>
        <w:t xml:space="preserve"> on the left valve which is distinctive of the genus </w:t>
      </w:r>
      <w:r w:rsidRPr="00846769">
        <w:rPr>
          <w:rStyle w:val="Emphasis"/>
        </w:rPr>
        <w:t>Mya</w:t>
      </w:r>
      <w:r w:rsidRPr="00846769">
        <w:rPr>
          <w:rStyle w:val="Emphasis"/>
          <w:i w:val="0"/>
          <w:iCs w:val="0"/>
        </w:rPr>
        <w:t xml:space="preserve"> but </w:t>
      </w:r>
      <w:r w:rsidRPr="00DD01E4">
        <w:rPr>
          <w:rStyle w:val="Emphasis"/>
          <w:i w:val="0"/>
          <w:iCs w:val="0"/>
        </w:rPr>
        <w:t xml:space="preserve">non-diagnostic for differentiating </w:t>
      </w:r>
      <w:r w:rsidRPr="00DD01E4">
        <w:rPr>
          <w:rStyle w:val="Emphasis"/>
        </w:rPr>
        <w:t>M. arenaria</w:t>
      </w:r>
      <w:r w:rsidRPr="00DD01E4">
        <w:rPr>
          <w:rStyle w:val="Emphasis"/>
          <w:i w:val="0"/>
          <w:iCs w:val="0"/>
        </w:rPr>
        <w:t xml:space="preserve"> and </w:t>
      </w:r>
      <w:r w:rsidRPr="00DD01E4">
        <w:rPr>
          <w:rStyle w:val="Emphasis"/>
        </w:rPr>
        <w:t>M. japonica</w:t>
      </w:r>
      <w:r w:rsidRPr="00DD01E4">
        <w:rPr>
          <w:rStyle w:val="Emphasis"/>
          <w:i w:val="0"/>
          <w:iCs w:val="0"/>
        </w:rPr>
        <w:t xml:space="preserve"> (</w:t>
      </w:r>
      <w:r w:rsidR="00192097" w:rsidRPr="00DD01E4">
        <w:rPr>
          <w:rStyle w:val="Emphasis"/>
          <w:i w:val="0"/>
          <w:iCs w:val="0"/>
        </w:rPr>
        <w:fldChar w:fldCharType="begin"/>
      </w:r>
      <w:r w:rsidR="00192097" w:rsidRPr="00DD01E4">
        <w:rPr>
          <w:rStyle w:val="Emphasis"/>
          <w:i w:val="0"/>
          <w:iCs w:val="0"/>
        </w:rPr>
        <w:instrText xml:space="preserve"> REF _Ref171944330 \h </w:instrText>
      </w:r>
      <w:r w:rsidR="00DD01E4">
        <w:rPr>
          <w:rStyle w:val="Emphasis"/>
          <w:i w:val="0"/>
          <w:iCs w:val="0"/>
        </w:rPr>
        <w:instrText xml:space="preserve"> \* MERGEFORMAT </w:instrText>
      </w:r>
      <w:r w:rsidR="00192097" w:rsidRPr="00DD01E4">
        <w:rPr>
          <w:rStyle w:val="Emphasis"/>
          <w:i w:val="0"/>
          <w:iCs w:val="0"/>
        </w:rPr>
      </w:r>
      <w:r w:rsidR="00192097" w:rsidRPr="00DD01E4">
        <w:rPr>
          <w:rStyle w:val="Emphasis"/>
          <w:i w:val="0"/>
          <w:iCs w:val="0"/>
        </w:rPr>
        <w:fldChar w:fldCharType="separate"/>
      </w:r>
      <w:r w:rsidR="00192097" w:rsidRPr="00DD01E4">
        <w:t>Photo 10</w:t>
      </w:r>
      <w:r w:rsidR="00192097" w:rsidRPr="00DD01E4">
        <w:rPr>
          <w:rStyle w:val="Emphasis"/>
          <w:i w:val="0"/>
          <w:iCs w:val="0"/>
        </w:rPr>
        <w:fldChar w:fldCharType="end"/>
      </w:r>
      <w:r w:rsidR="00D969F1" w:rsidRPr="00DD01E4">
        <w:rPr>
          <w:rStyle w:val="Emphasis"/>
          <w:i w:val="0"/>
          <w:iCs w:val="0"/>
        </w:rPr>
        <w:t xml:space="preserve">; </w:t>
      </w:r>
      <w:r w:rsidRPr="00DD01E4">
        <w:rPr>
          <w:rStyle w:val="Emphasis"/>
          <w:i w:val="0"/>
          <w:iCs w:val="0"/>
        </w:rPr>
        <w:t xml:space="preserve">Zhang et al. 2018). </w:t>
      </w:r>
      <w:r w:rsidRPr="00DD01E4">
        <w:rPr>
          <w:rStyle w:val="Emphasis"/>
        </w:rPr>
        <w:t>Mya</w:t>
      </w:r>
      <w:r w:rsidRPr="00DD01E4">
        <w:rPr>
          <w:rStyle w:val="Emphasis"/>
          <w:i w:val="0"/>
          <w:iCs w:val="0"/>
        </w:rPr>
        <w:t xml:space="preserve"> spp</w:t>
      </w:r>
      <w:r w:rsidRPr="00846769">
        <w:rPr>
          <w:rStyle w:val="Emphasis"/>
          <w:i w:val="0"/>
          <w:iCs w:val="0"/>
        </w:rPr>
        <w:t>. also have a deep pallial sinus that extends deep into the shell (</w:t>
      </w:r>
      <w:r w:rsidR="00192097" w:rsidRPr="00846769">
        <w:rPr>
          <w:rStyle w:val="Emphasis"/>
          <w:i w:val="0"/>
          <w:iCs w:val="0"/>
        </w:rPr>
        <w:fldChar w:fldCharType="begin"/>
      </w:r>
      <w:r w:rsidR="00192097" w:rsidRPr="00846769">
        <w:rPr>
          <w:rStyle w:val="Emphasis"/>
          <w:i w:val="0"/>
          <w:iCs w:val="0"/>
        </w:rPr>
        <w:instrText xml:space="preserve"> REF _Ref171944330 \h </w:instrText>
      </w:r>
      <w:r w:rsidR="00192097" w:rsidRPr="00846769">
        <w:rPr>
          <w:rStyle w:val="Emphasis"/>
          <w:i w:val="0"/>
          <w:iCs w:val="0"/>
        </w:rPr>
      </w:r>
      <w:r w:rsidR="00192097" w:rsidRPr="00846769">
        <w:rPr>
          <w:rStyle w:val="Emphasis"/>
          <w:i w:val="0"/>
          <w:iCs w:val="0"/>
        </w:rPr>
        <w:fldChar w:fldCharType="separate"/>
      </w:r>
      <w:r w:rsidR="00192097" w:rsidRPr="00846769">
        <w:t>Photo 10</w:t>
      </w:r>
      <w:r w:rsidR="00192097" w:rsidRPr="00846769">
        <w:rPr>
          <w:rStyle w:val="Emphasis"/>
          <w:i w:val="0"/>
          <w:iCs w:val="0"/>
        </w:rPr>
        <w:fldChar w:fldCharType="end"/>
      </w:r>
      <w:r w:rsidRPr="00846769">
        <w:rPr>
          <w:rStyle w:val="Emphasis"/>
          <w:i w:val="0"/>
          <w:iCs w:val="0"/>
        </w:rPr>
        <w:t xml:space="preserve">). </w:t>
      </w:r>
      <w:r w:rsidR="00DD03FC">
        <w:rPr>
          <w:rStyle w:val="Emphasis"/>
          <w:i w:val="0"/>
          <w:iCs w:val="0"/>
        </w:rPr>
        <w:t>The shell</w:t>
      </w:r>
      <w:r w:rsidR="00DD03FC" w:rsidRPr="00846769">
        <w:rPr>
          <w:rStyle w:val="Emphasis"/>
          <w:i w:val="0"/>
          <w:iCs w:val="0"/>
        </w:rPr>
        <w:t xml:space="preserve"> </w:t>
      </w:r>
      <w:r w:rsidR="008561AB" w:rsidRPr="00846769">
        <w:rPr>
          <w:rStyle w:val="Emphasis"/>
          <w:i w:val="0"/>
          <w:iCs w:val="0"/>
        </w:rPr>
        <w:t xml:space="preserve">has a rough sculpture marked by concentric lines (growth lines). </w:t>
      </w:r>
    </w:p>
    <w:p w14:paraId="5B046938" w14:textId="5422475A" w:rsidR="00E55B67" w:rsidRPr="00846769" w:rsidRDefault="00E55B67" w:rsidP="00E55B67">
      <w:r w:rsidRPr="00846769">
        <w:t xml:space="preserve">The siphon of </w:t>
      </w:r>
      <w:r w:rsidRPr="00846769">
        <w:rPr>
          <w:i/>
          <w:iCs/>
        </w:rPr>
        <w:t xml:space="preserve">M. arenaria </w:t>
      </w:r>
      <w:r w:rsidR="008561AB" w:rsidRPr="00846769">
        <w:t xml:space="preserve">and </w:t>
      </w:r>
      <w:r w:rsidR="008561AB" w:rsidRPr="00846769">
        <w:rPr>
          <w:i/>
          <w:iCs/>
        </w:rPr>
        <w:t xml:space="preserve">M. japonica </w:t>
      </w:r>
      <w:r w:rsidRPr="00846769">
        <w:t>may extend for as much as 200 mm to reach the surface. The siphons are tan or brown and are fused together into a single thick “neck” that is oval in cross section</w:t>
      </w:r>
      <w:r w:rsidR="009D2C85" w:rsidRPr="00846769">
        <w:t xml:space="preserve"> (</w:t>
      </w:r>
      <w:r w:rsidR="00192097" w:rsidRPr="00846769">
        <w:rPr>
          <w:highlight w:val="yellow"/>
        </w:rPr>
        <w:fldChar w:fldCharType="begin"/>
      </w:r>
      <w:r w:rsidR="00192097" w:rsidRPr="00846769">
        <w:instrText xml:space="preserve"> REF _Ref171944425 \h </w:instrText>
      </w:r>
      <w:r w:rsidR="00192097" w:rsidRPr="00846769">
        <w:rPr>
          <w:highlight w:val="yellow"/>
        </w:rPr>
      </w:r>
      <w:r w:rsidR="00192097" w:rsidRPr="00846769">
        <w:rPr>
          <w:highlight w:val="yellow"/>
        </w:rPr>
        <w:fldChar w:fldCharType="separate"/>
      </w:r>
      <w:r w:rsidR="00192097" w:rsidRPr="00846769">
        <w:t>Photo 12</w:t>
      </w:r>
      <w:r w:rsidR="00192097" w:rsidRPr="00846769">
        <w:rPr>
          <w:highlight w:val="yellow"/>
        </w:rPr>
        <w:fldChar w:fldCharType="end"/>
      </w:r>
      <w:r w:rsidR="009D2C85" w:rsidRPr="00846769">
        <w:t>)</w:t>
      </w:r>
      <w:r w:rsidRPr="00846769">
        <w:t>.</w:t>
      </w:r>
    </w:p>
    <w:p w14:paraId="300386B2" w14:textId="3609824B" w:rsidR="008561AB" w:rsidRPr="00846769" w:rsidRDefault="008561AB" w:rsidP="00E55B67">
      <w:pPr>
        <w:rPr>
          <w:rStyle w:val="Emphasis"/>
          <w:i w:val="0"/>
          <w:iCs w:val="0"/>
        </w:rPr>
      </w:pPr>
      <w:r w:rsidRPr="00846769">
        <w:rPr>
          <w:rStyle w:val="Emphasis"/>
          <w:i w:val="0"/>
          <w:iCs w:val="0"/>
        </w:rPr>
        <w:t xml:space="preserve">Although </w:t>
      </w:r>
      <w:r w:rsidRPr="00DD01E4">
        <w:rPr>
          <w:rStyle w:val="Emphasis"/>
          <w:i w:val="0"/>
          <w:iCs w:val="0"/>
        </w:rPr>
        <w:t>Zhang et al. (2018)</w:t>
      </w:r>
      <w:r w:rsidRPr="00846769">
        <w:rPr>
          <w:rStyle w:val="Emphasis"/>
          <w:i w:val="0"/>
          <w:iCs w:val="0"/>
        </w:rPr>
        <w:t xml:space="preserve"> identified some morphological differences between the two species, there is significant intraspecific and ontogenetic variation in </w:t>
      </w:r>
      <w:r w:rsidRPr="00846769">
        <w:rPr>
          <w:rStyle w:val="Emphasis"/>
        </w:rPr>
        <w:t xml:space="preserve">M. arenaria </w:t>
      </w:r>
      <w:r w:rsidRPr="00846769">
        <w:rPr>
          <w:rStyle w:val="Emphasis"/>
          <w:i w:val="0"/>
          <w:iCs w:val="0"/>
        </w:rPr>
        <w:t xml:space="preserve">and </w:t>
      </w:r>
      <w:r w:rsidRPr="00846769">
        <w:rPr>
          <w:rStyle w:val="Emphasis"/>
        </w:rPr>
        <w:t xml:space="preserve">M. japonica </w:t>
      </w:r>
      <w:r w:rsidRPr="00846769">
        <w:rPr>
          <w:rStyle w:val="Emphasis"/>
          <w:i w:val="0"/>
          <w:iCs w:val="0"/>
        </w:rPr>
        <w:t xml:space="preserve">which prevents accurate morphological identification </w:t>
      </w:r>
      <w:r w:rsidRPr="00C44569">
        <w:rPr>
          <w:rStyle w:val="Emphasis"/>
          <w:i w:val="0"/>
          <w:iCs w:val="0"/>
        </w:rPr>
        <w:t>(Richard Willan</w:t>
      </w:r>
      <w:r w:rsidR="00F47511" w:rsidRPr="00C44569">
        <w:rPr>
          <w:rStyle w:val="Emphasis"/>
          <w:i w:val="0"/>
          <w:iCs w:val="0"/>
        </w:rPr>
        <w:t xml:space="preserve"> [MAGNT]</w:t>
      </w:r>
      <w:r w:rsidRPr="00C44569">
        <w:rPr>
          <w:rStyle w:val="Emphasis"/>
          <w:i w:val="0"/>
          <w:iCs w:val="0"/>
        </w:rPr>
        <w:t>, pers. comm., April 2023).</w:t>
      </w:r>
      <w:r w:rsidR="006C56DF" w:rsidRPr="00846769">
        <w:rPr>
          <w:rFonts w:cstheme="minorHAnsi"/>
          <w:i/>
        </w:rPr>
        <w:t xml:space="preserve"> Mya arenaria</w:t>
      </w:r>
      <w:r w:rsidR="006C56DF" w:rsidRPr="00846769">
        <w:rPr>
          <w:rFonts w:cstheme="minorHAnsi"/>
        </w:rPr>
        <w:t xml:space="preserve"> and </w:t>
      </w:r>
      <w:r w:rsidR="006C56DF" w:rsidRPr="00846769">
        <w:rPr>
          <w:rFonts w:cstheme="minorHAnsi"/>
          <w:i/>
        </w:rPr>
        <w:t>M. japonica</w:t>
      </w:r>
      <w:r w:rsidR="006C56DF" w:rsidRPr="00846769">
        <w:rPr>
          <w:rFonts w:cstheme="minorHAnsi"/>
        </w:rPr>
        <w:t xml:space="preserve"> are visually </w:t>
      </w:r>
      <w:proofErr w:type="gramStart"/>
      <w:r w:rsidR="006C56DF" w:rsidRPr="00846769">
        <w:rPr>
          <w:rFonts w:cstheme="minorHAnsi"/>
        </w:rPr>
        <w:t>identical</w:t>
      </w:r>
      <w:proofErr w:type="gramEnd"/>
      <w:r w:rsidR="006C56DF" w:rsidRPr="00846769">
        <w:rPr>
          <w:rFonts w:cstheme="minorHAnsi"/>
        </w:rPr>
        <w:t xml:space="preserve"> and molecular methods are the only method to distinguish them conclusively.</w:t>
      </w:r>
    </w:p>
    <w:p w14:paraId="153A9331" w14:textId="33B227A1" w:rsidR="00611CCC" w:rsidRPr="00846769" w:rsidRDefault="00611CCC" w:rsidP="00611CCC">
      <w:pPr>
        <w:pStyle w:val="Caption"/>
      </w:pPr>
      <w:bookmarkStart w:id="623" w:name="_Ref171944330"/>
      <w:bookmarkStart w:id="624" w:name="_Toc191999534"/>
      <w:r w:rsidRPr="00846769">
        <w:t xml:space="preserve">Photo </w:t>
      </w:r>
      <w:r w:rsidRPr="00846769">
        <w:fldChar w:fldCharType="begin"/>
      </w:r>
      <w:r w:rsidRPr="00846769">
        <w:instrText xml:space="preserve"> SEQ Photo \* ARABIC </w:instrText>
      </w:r>
      <w:r w:rsidRPr="00846769">
        <w:fldChar w:fldCharType="separate"/>
      </w:r>
      <w:r w:rsidR="00300312" w:rsidRPr="00846769">
        <w:t>10</w:t>
      </w:r>
      <w:r w:rsidRPr="00846769">
        <w:fldChar w:fldCharType="end"/>
      </w:r>
      <w:bookmarkEnd w:id="623"/>
      <w:r w:rsidRPr="00846769">
        <w:t xml:space="preserve"> Adult </w:t>
      </w:r>
      <w:r w:rsidRPr="00846769">
        <w:rPr>
          <w:rStyle w:val="Emphasis"/>
        </w:rPr>
        <w:t xml:space="preserve">Mya arenaria </w:t>
      </w:r>
      <w:r w:rsidRPr="00846769">
        <w:rPr>
          <w:rStyle w:val="Emphasis"/>
          <w:i w:val="0"/>
          <w:iCs w:val="0"/>
        </w:rPr>
        <w:t>showing the outside and inside of the shell</w:t>
      </w:r>
      <w:bookmarkEnd w:id="624"/>
    </w:p>
    <w:p w14:paraId="4F79A408" w14:textId="78F7BD9C" w:rsidR="00611CCC" w:rsidRPr="00846769" w:rsidRDefault="00611CCC" w:rsidP="00E55B67">
      <w:pPr>
        <w:rPr>
          <w:rStyle w:val="Emphasis"/>
          <w:i w:val="0"/>
          <w:iCs w:val="0"/>
        </w:rPr>
      </w:pPr>
      <w:r w:rsidRPr="00846769">
        <w:rPr>
          <w:noProof/>
        </w:rPr>
        <w:drawing>
          <wp:inline distT="0" distB="0" distL="0" distR="0" wp14:anchorId="5331FAE3" wp14:editId="600579E0">
            <wp:extent cx="5661022" cy="2795874"/>
            <wp:effectExtent l="0" t="0" r="0" b="5080"/>
            <wp:docPr id="953570647" name="Picture 6" descr="Coloured photographs of adult Mya arenaria showing the inside and outside of the empty sh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70647" name="Picture 6" descr="Coloured photographs of adult Mya arenaria showing the inside and outside of the empty shell. "/>
                    <pic:cNvPicPr/>
                  </pic:nvPicPr>
                  <pic:blipFill>
                    <a:blip r:embed="rId222" cstate="email">
                      <a:extLst>
                        <a:ext uri="{28A0092B-C50C-407E-A947-70E740481C1C}">
                          <a14:useLocalDpi xmlns:a14="http://schemas.microsoft.com/office/drawing/2010/main" val="0"/>
                        </a:ext>
                      </a:extLst>
                    </a:blip>
                    <a:stretch>
                      <a:fillRect/>
                    </a:stretch>
                  </pic:blipFill>
                  <pic:spPr>
                    <a:xfrm>
                      <a:off x="0" y="0"/>
                      <a:ext cx="5661022" cy="2795874"/>
                    </a:xfrm>
                    <a:prstGeom prst="rect">
                      <a:avLst/>
                    </a:prstGeom>
                  </pic:spPr>
                </pic:pic>
              </a:graphicData>
            </a:graphic>
          </wp:inline>
        </w:drawing>
      </w:r>
    </w:p>
    <w:p w14:paraId="6D7DBFE7" w14:textId="2B9C8957" w:rsidR="00E55B67" w:rsidRPr="00846769" w:rsidRDefault="008561AB" w:rsidP="009D2C85">
      <w:pPr>
        <w:pStyle w:val="FigureTableNoteSource"/>
        <w:rPr>
          <w:rStyle w:val="Emphasis"/>
          <w:i w:val="0"/>
          <w:iCs w:val="0"/>
        </w:rPr>
      </w:pPr>
      <w:r w:rsidRPr="00846769">
        <w:rPr>
          <w:rStyle w:val="Strong"/>
        </w:rPr>
        <w:t xml:space="preserve">A </w:t>
      </w:r>
      <w:r w:rsidR="00E55B67" w:rsidRPr="00846769">
        <w:t xml:space="preserve">Spoon-shaped tooth on the left valve. </w:t>
      </w:r>
      <w:r w:rsidRPr="00846769">
        <w:rPr>
          <w:rStyle w:val="Strong"/>
        </w:rPr>
        <w:t>B</w:t>
      </w:r>
      <w:r w:rsidR="00E55B67" w:rsidRPr="00846769">
        <w:rPr>
          <w:rStyle w:val="Strong"/>
        </w:rPr>
        <w:t xml:space="preserve"> </w:t>
      </w:r>
      <w:r w:rsidR="00E55B67" w:rsidRPr="00846769">
        <w:rPr>
          <w:rStyle w:val="Strong"/>
          <w:b w:val="0"/>
          <w:bCs w:val="0"/>
        </w:rPr>
        <w:t>De</w:t>
      </w:r>
      <w:r w:rsidR="00E55B67" w:rsidRPr="00846769">
        <w:t>ep pallial sinus that extends deep into the shell.</w:t>
      </w:r>
    </w:p>
    <w:p w14:paraId="0C37F8BB" w14:textId="615A4091" w:rsidR="00E55B67" w:rsidRPr="00846769" w:rsidRDefault="00E55B67" w:rsidP="009D2C85">
      <w:pPr>
        <w:pStyle w:val="FigureTableNoteSource"/>
        <w:spacing w:before="0"/>
      </w:pPr>
      <w:r w:rsidRPr="00846769">
        <w:rPr>
          <w:rStyle w:val="Emphasis"/>
          <w:i w:val="0"/>
          <w:iCs w:val="0"/>
        </w:rPr>
        <w:t>Source:</w:t>
      </w:r>
      <w:r w:rsidRPr="00846769">
        <w:rPr>
          <w:rStyle w:val="Emphasis"/>
        </w:rPr>
        <w:t xml:space="preserve"> </w:t>
      </w:r>
      <w:r w:rsidR="008E1565" w:rsidRPr="00846769">
        <w:t>Ashley Coutts/Biofouling Solutions, for the Marine Pest Photo Album</w:t>
      </w:r>
    </w:p>
    <w:p w14:paraId="68B9AE02" w14:textId="02FFAA77" w:rsidR="00611CCC" w:rsidRPr="00846769" w:rsidRDefault="00611CCC" w:rsidP="00611CCC">
      <w:pPr>
        <w:pStyle w:val="Caption"/>
      </w:pPr>
      <w:bookmarkStart w:id="625" w:name="_Ref171944324"/>
      <w:bookmarkStart w:id="626" w:name="_Toc191999535"/>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11</w:t>
      </w:r>
      <w:r w:rsidRPr="00846769">
        <w:fldChar w:fldCharType="end"/>
      </w:r>
      <w:bookmarkEnd w:id="625"/>
      <w:r w:rsidRPr="00846769">
        <w:t xml:space="preserve"> </w:t>
      </w:r>
      <w:r w:rsidRPr="00846769">
        <w:rPr>
          <w:color w:val="262626" w:themeColor="text1" w:themeTint="D9"/>
          <w:szCs w:val="24"/>
        </w:rPr>
        <w:t xml:space="preserve">Adult </w:t>
      </w:r>
      <w:r w:rsidRPr="00846769">
        <w:rPr>
          <w:rStyle w:val="Emphasis"/>
          <w:color w:val="262626" w:themeColor="text1" w:themeTint="D9"/>
          <w:szCs w:val="24"/>
        </w:rPr>
        <w:t xml:space="preserve">Mya japonica </w:t>
      </w:r>
      <w:r w:rsidRPr="00846769">
        <w:rPr>
          <w:rStyle w:val="Emphasis"/>
          <w:i w:val="0"/>
          <w:iCs w:val="0"/>
          <w:color w:val="262626" w:themeColor="text1" w:themeTint="D9"/>
          <w:szCs w:val="24"/>
        </w:rPr>
        <w:t>showing the outside and inside of the shell</w:t>
      </w:r>
      <w:bookmarkEnd w:id="626"/>
    </w:p>
    <w:p w14:paraId="5E7B6BE2" w14:textId="613039BC" w:rsidR="002E7F52" w:rsidRPr="00846769" w:rsidRDefault="002E7F52" w:rsidP="009D2C85">
      <w:pPr>
        <w:spacing w:before="120" w:after="120"/>
      </w:pPr>
      <w:r w:rsidRPr="00846769">
        <w:rPr>
          <w:noProof/>
        </w:rPr>
        <w:drawing>
          <wp:inline distT="0" distB="0" distL="0" distR="0" wp14:anchorId="11C2A5C7" wp14:editId="1647EAC0">
            <wp:extent cx="4335780" cy="4336741"/>
            <wp:effectExtent l="0" t="0" r="7620" b="6985"/>
            <wp:docPr id="1492333102" name="Picture 1" descr="Coloured photographs of adult Mya japonica showing the inside and outside of the empty sh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33102" name="Picture 1" descr="Coloured photographs of adult Mya japonica showing the inside and outside of the empty shell. "/>
                    <pic:cNvPicPr/>
                  </pic:nvPicPr>
                  <pic:blipFill>
                    <a:blip r:embed="rId223" cstate="email">
                      <a:extLst>
                        <a:ext uri="{28A0092B-C50C-407E-A947-70E740481C1C}">
                          <a14:useLocalDpi xmlns:a14="http://schemas.microsoft.com/office/drawing/2010/main" val="0"/>
                        </a:ext>
                      </a:extLst>
                    </a:blip>
                    <a:stretch>
                      <a:fillRect/>
                    </a:stretch>
                  </pic:blipFill>
                  <pic:spPr>
                    <a:xfrm>
                      <a:off x="0" y="0"/>
                      <a:ext cx="4339630" cy="4340592"/>
                    </a:xfrm>
                    <a:prstGeom prst="rect">
                      <a:avLst/>
                    </a:prstGeom>
                  </pic:spPr>
                </pic:pic>
              </a:graphicData>
            </a:graphic>
          </wp:inline>
        </w:drawing>
      </w:r>
    </w:p>
    <w:p w14:paraId="506B29F3" w14:textId="6E251492" w:rsidR="00953407" w:rsidRPr="00846769" w:rsidRDefault="00953407" w:rsidP="00953407">
      <w:pPr>
        <w:pStyle w:val="FigureTableNoteSource"/>
        <w:spacing w:before="0"/>
      </w:pPr>
      <w:r w:rsidRPr="00846769">
        <w:rPr>
          <w:rStyle w:val="Emphasis"/>
          <w:i w:val="0"/>
          <w:iCs w:val="0"/>
        </w:rPr>
        <w:t>Source:</w:t>
      </w:r>
      <w:r w:rsidRPr="00846769">
        <w:rPr>
          <w:rStyle w:val="Emphasis"/>
        </w:rPr>
        <w:t xml:space="preserve"> </w:t>
      </w:r>
      <w:r w:rsidRPr="00846769">
        <w:t>Simon Grove, Tasmanian Museum and Art Gallery (TMAG)</w:t>
      </w:r>
    </w:p>
    <w:p w14:paraId="7FB39CEB" w14:textId="563A1734" w:rsidR="00611CCC" w:rsidRPr="00846769" w:rsidRDefault="00611CCC" w:rsidP="00611CCC">
      <w:pPr>
        <w:pStyle w:val="Caption"/>
      </w:pPr>
      <w:bookmarkStart w:id="627" w:name="_Ref171944425"/>
      <w:bookmarkStart w:id="628" w:name="_Toc191999536"/>
      <w:r w:rsidRPr="00846769">
        <w:t xml:space="preserve">Photo </w:t>
      </w:r>
      <w:r w:rsidRPr="00846769">
        <w:fldChar w:fldCharType="begin"/>
      </w:r>
      <w:r w:rsidRPr="00846769">
        <w:instrText xml:space="preserve"> SEQ Photo \* ARABIC </w:instrText>
      </w:r>
      <w:r w:rsidRPr="00846769">
        <w:fldChar w:fldCharType="separate"/>
      </w:r>
      <w:r w:rsidR="00300312" w:rsidRPr="00846769">
        <w:t>12</w:t>
      </w:r>
      <w:r w:rsidRPr="00846769">
        <w:fldChar w:fldCharType="end"/>
      </w:r>
      <w:bookmarkEnd w:id="627"/>
      <w:r w:rsidRPr="00846769">
        <w:t xml:space="preserve"> </w:t>
      </w:r>
      <w:r w:rsidRPr="00846769">
        <w:rPr>
          <w:color w:val="262626" w:themeColor="text1" w:themeTint="D9"/>
          <w:szCs w:val="24"/>
        </w:rPr>
        <w:t xml:space="preserve">Adult </w:t>
      </w:r>
      <w:r w:rsidRPr="00846769">
        <w:rPr>
          <w:rStyle w:val="Emphasis"/>
          <w:color w:val="262626" w:themeColor="text1" w:themeTint="D9"/>
          <w:szCs w:val="24"/>
        </w:rPr>
        <w:t xml:space="preserve">Mya japonica </w:t>
      </w:r>
      <w:r w:rsidRPr="00846769">
        <w:rPr>
          <w:rStyle w:val="Emphasis"/>
          <w:i w:val="0"/>
          <w:iCs w:val="0"/>
          <w:color w:val="262626" w:themeColor="text1" w:themeTint="D9"/>
          <w:szCs w:val="24"/>
        </w:rPr>
        <w:t>with the siphon protruding</w:t>
      </w:r>
      <w:bookmarkEnd w:id="628"/>
    </w:p>
    <w:p w14:paraId="69D94CFB" w14:textId="69E91A33" w:rsidR="00953407" w:rsidRPr="00846769" w:rsidRDefault="00953407" w:rsidP="009D2C85">
      <w:pPr>
        <w:spacing w:before="120" w:after="120"/>
        <w:rPr>
          <w:rStyle w:val="Emphasis"/>
          <w:b/>
          <w:bCs/>
          <w:i w:val="0"/>
          <w:iCs w:val="0"/>
          <w:color w:val="262626" w:themeColor="text1" w:themeTint="D9"/>
          <w:sz w:val="24"/>
          <w:szCs w:val="24"/>
        </w:rPr>
      </w:pPr>
      <w:r w:rsidRPr="00846769">
        <w:rPr>
          <w:b/>
          <w:bCs/>
          <w:noProof/>
          <w:color w:val="000000" w:themeColor="text1"/>
          <w:sz w:val="24"/>
          <w:szCs w:val="24"/>
        </w:rPr>
        <w:drawing>
          <wp:inline distT="0" distB="0" distL="0" distR="0" wp14:anchorId="2E9F135C" wp14:editId="00F01AFC">
            <wp:extent cx="4157133" cy="3118079"/>
            <wp:effectExtent l="0" t="0" r="0" b="6350"/>
            <wp:docPr id="1188184367" name="Picture 4" descr="Coloured photograph of adult Mya arenaria showing the siphon protruding from the shell in a live specimen. The clam is being held in someone's hand over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84367" name="Picture 4" descr="Coloured photograph of adult Mya arenaria showing the siphon protruding from the shell in a live specimen. The clam is being held in someone's hand over water. "/>
                    <pic:cNvPicPr/>
                  </pic:nvPicPr>
                  <pic:blipFill>
                    <a:blip r:embed="rId224" cstate="email">
                      <a:extLst>
                        <a:ext uri="{28A0092B-C50C-407E-A947-70E740481C1C}">
                          <a14:useLocalDpi xmlns:a14="http://schemas.microsoft.com/office/drawing/2010/main" val="0"/>
                        </a:ext>
                      </a:extLst>
                    </a:blip>
                    <a:stretch>
                      <a:fillRect/>
                    </a:stretch>
                  </pic:blipFill>
                  <pic:spPr>
                    <a:xfrm>
                      <a:off x="0" y="0"/>
                      <a:ext cx="4170870" cy="3128383"/>
                    </a:xfrm>
                    <a:prstGeom prst="rect">
                      <a:avLst/>
                    </a:prstGeom>
                  </pic:spPr>
                </pic:pic>
              </a:graphicData>
            </a:graphic>
          </wp:inline>
        </w:drawing>
      </w:r>
    </w:p>
    <w:p w14:paraId="51EE59B6" w14:textId="4DF063AC" w:rsidR="00953407" w:rsidRPr="00846769" w:rsidRDefault="00953407" w:rsidP="00953407">
      <w:pPr>
        <w:pStyle w:val="FigureTableNoteSource"/>
        <w:spacing w:before="0"/>
      </w:pPr>
      <w:r w:rsidRPr="00846769">
        <w:rPr>
          <w:rStyle w:val="Emphasis"/>
          <w:i w:val="0"/>
          <w:iCs w:val="0"/>
        </w:rPr>
        <w:t>Source:</w:t>
      </w:r>
      <w:r w:rsidRPr="00846769">
        <w:rPr>
          <w:rStyle w:val="Emphasis"/>
        </w:rPr>
        <w:t xml:space="preserve"> </w:t>
      </w:r>
      <w:r w:rsidRPr="00846769">
        <w:t>Simon Grove, Tasmanian Museum and Art Gallery (TMAG)</w:t>
      </w:r>
    </w:p>
    <w:p w14:paraId="447C5712" w14:textId="77777777" w:rsidR="00F613E9" w:rsidRPr="00846769" w:rsidRDefault="00F613E9" w:rsidP="00F613E9">
      <w:pPr>
        <w:pStyle w:val="Heading6"/>
        <w:spacing w:after="40"/>
        <w:rPr>
          <w:color w:val="262626" w:themeColor="text1" w:themeTint="D9"/>
        </w:rPr>
      </w:pPr>
      <w:bookmarkStart w:id="629" w:name="_Similar_native_species"/>
      <w:bookmarkEnd w:id="629"/>
      <w:r w:rsidRPr="00846769">
        <w:rPr>
          <w:color w:val="262626" w:themeColor="text1" w:themeTint="D9"/>
        </w:rPr>
        <w:lastRenderedPageBreak/>
        <w:t>Similar native species</w:t>
      </w:r>
    </w:p>
    <w:p w14:paraId="46C31152" w14:textId="354262E5" w:rsidR="00F613E9" w:rsidRPr="00846769" w:rsidRDefault="008B2E0E" w:rsidP="00F613E9">
      <w:r w:rsidRPr="00846769">
        <w:t xml:space="preserve">While there are no native </w:t>
      </w:r>
      <w:proofErr w:type="spellStart"/>
      <w:r w:rsidRPr="00846769">
        <w:t>myids</w:t>
      </w:r>
      <w:proofErr w:type="spellEnd"/>
      <w:r w:rsidRPr="00846769">
        <w:t xml:space="preserve"> in Australia, </w:t>
      </w:r>
      <w:r w:rsidRPr="00846769">
        <w:rPr>
          <w:i/>
          <w:iCs/>
        </w:rPr>
        <w:t xml:space="preserve">Mya </w:t>
      </w:r>
      <w:r w:rsidRPr="00846769">
        <w:t>spp. can</w:t>
      </w:r>
      <w:r w:rsidR="00D969F1" w:rsidRPr="00846769">
        <w:t xml:space="preserve"> be confused </w:t>
      </w:r>
      <w:r w:rsidRPr="00846769">
        <w:t xml:space="preserve">or misidentified </w:t>
      </w:r>
      <w:r w:rsidR="00D969F1" w:rsidRPr="00846769">
        <w:t xml:space="preserve">with </w:t>
      </w:r>
      <w:r w:rsidRPr="00846769">
        <w:t xml:space="preserve">some native Australian clams, notably </w:t>
      </w:r>
      <w:proofErr w:type="spellStart"/>
      <w:r w:rsidR="00D969F1" w:rsidRPr="00846769">
        <w:rPr>
          <w:rStyle w:val="Emphasis"/>
        </w:rPr>
        <w:t>Panopea</w:t>
      </w:r>
      <w:proofErr w:type="spellEnd"/>
      <w:r w:rsidR="00D969F1" w:rsidRPr="00846769">
        <w:t xml:space="preserve"> </w:t>
      </w:r>
      <w:r w:rsidR="00D969F1" w:rsidRPr="00846769">
        <w:rPr>
          <w:rStyle w:val="Emphasis"/>
        </w:rPr>
        <w:t>australis</w:t>
      </w:r>
      <w:r w:rsidRPr="00846769">
        <w:t xml:space="preserve">, </w:t>
      </w:r>
      <w:r w:rsidRPr="00846769">
        <w:rPr>
          <w:i/>
          <w:iCs/>
        </w:rPr>
        <w:t xml:space="preserve">Lutaria </w:t>
      </w:r>
      <w:proofErr w:type="spellStart"/>
      <w:r w:rsidRPr="00846769">
        <w:rPr>
          <w:i/>
          <w:iCs/>
        </w:rPr>
        <w:t>rhynchaena</w:t>
      </w:r>
      <w:proofErr w:type="spellEnd"/>
      <w:r w:rsidR="004316B5" w:rsidRPr="00846769">
        <w:rPr>
          <w:i/>
          <w:iCs/>
        </w:rPr>
        <w:t xml:space="preserve">, </w:t>
      </w:r>
      <w:proofErr w:type="spellStart"/>
      <w:r w:rsidR="004316B5" w:rsidRPr="00846769">
        <w:rPr>
          <w:i/>
          <w:iCs/>
        </w:rPr>
        <w:t>Venerupis</w:t>
      </w:r>
      <w:proofErr w:type="spellEnd"/>
      <w:r w:rsidR="004316B5" w:rsidRPr="00846769">
        <w:rPr>
          <w:i/>
          <w:iCs/>
        </w:rPr>
        <w:t xml:space="preserve"> </w:t>
      </w:r>
      <w:r w:rsidR="004316B5" w:rsidRPr="00846769">
        <w:t xml:space="preserve">spp., and </w:t>
      </w:r>
      <w:proofErr w:type="spellStart"/>
      <w:r w:rsidR="004316B5" w:rsidRPr="00846769">
        <w:rPr>
          <w:i/>
          <w:iCs/>
        </w:rPr>
        <w:t>Laternula</w:t>
      </w:r>
      <w:proofErr w:type="spellEnd"/>
      <w:r w:rsidR="004316B5" w:rsidRPr="00846769">
        <w:rPr>
          <w:i/>
          <w:iCs/>
        </w:rPr>
        <w:t xml:space="preserve"> </w:t>
      </w:r>
      <w:r w:rsidR="004316B5" w:rsidRPr="00846769">
        <w:t xml:space="preserve">spp. </w:t>
      </w:r>
    </w:p>
    <w:p w14:paraId="5A33B6D7" w14:textId="4ED8C687" w:rsidR="008B2E0E" w:rsidRPr="00846769" w:rsidRDefault="008B2E0E" w:rsidP="00F613E9">
      <w:r w:rsidRPr="00846769">
        <w:t xml:space="preserve">Photographs of some similar native bivalves to </w:t>
      </w:r>
      <w:r w:rsidRPr="00846769">
        <w:rPr>
          <w:i/>
          <w:iCs/>
        </w:rPr>
        <w:t xml:space="preserve">Mya arenaria </w:t>
      </w:r>
      <w:r w:rsidRPr="00846769">
        <w:t xml:space="preserve">and </w:t>
      </w:r>
      <w:r w:rsidRPr="00846769">
        <w:rPr>
          <w:i/>
          <w:iCs/>
        </w:rPr>
        <w:t>M. japonica</w:t>
      </w:r>
      <w:r w:rsidRPr="00846769">
        <w:t xml:space="preserve"> can be found at the </w:t>
      </w:r>
      <w:hyperlink r:id="rId225" w:anchor="lantern-gaper-shell--laternula-recta-rostrata-" w:history="1">
        <w:r w:rsidRPr="00846769">
          <w:rPr>
            <w:rStyle w:val="Hyperlink"/>
          </w:rPr>
          <w:t>marine pests website.</w:t>
        </w:r>
      </w:hyperlink>
      <w:r w:rsidRPr="00846769">
        <w:t xml:space="preserve"> </w:t>
      </w:r>
    </w:p>
    <w:p w14:paraId="4A00346C" w14:textId="45F8FB09" w:rsidR="00E55B67" w:rsidRPr="00846769" w:rsidRDefault="00E55B67" w:rsidP="00F613E9">
      <w:pPr>
        <w:pStyle w:val="Heading6"/>
        <w:spacing w:after="40"/>
        <w:rPr>
          <w:color w:val="262626" w:themeColor="text1" w:themeTint="D9"/>
        </w:rPr>
      </w:pPr>
      <w:r w:rsidRPr="00846769">
        <w:rPr>
          <w:color w:val="262626" w:themeColor="text1" w:themeTint="D9"/>
        </w:rPr>
        <w:t xml:space="preserve">Laboratory </w:t>
      </w:r>
      <w:r w:rsidR="00F613E9" w:rsidRPr="00846769">
        <w:rPr>
          <w:color w:val="262626" w:themeColor="text1" w:themeTint="D9"/>
        </w:rPr>
        <w:t xml:space="preserve">and molecular </w:t>
      </w:r>
      <w:r w:rsidRPr="00846769">
        <w:rPr>
          <w:color w:val="262626" w:themeColor="text1" w:themeTint="D9"/>
        </w:rPr>
        <w:t>identification</w:t>
      </w:r>
    </w:p>
    <w:p w14:paraId="4AB0B0C4" w14:textId="77777777" w:rsidR="00BF3323" w:rsidRPr="00846769" w:rsidRDefault="00E55B67" w:rsidP="00E55B67">
      <w:r w:rsidRPr="00846769">
        <w:t xml:space="preserve">Three published PCRs are available for the detection of </w:t>
      </w:r>
      <w:r w:rsidRPr="00846769">
        <w:rPr>
          <w:i/>
          <w:iCs/>
        </w:rPr>
        <w:t>Mya arenaria</w:t>
      </w:r>
      <w:r w:rsidRPr="00846769">
        <w:t>. These include two conventional PCRs</w:t>
      </w:r>
      <w:r w:rsidRPr="00D72BF1">
        <w:t xml:space="preserve">, </w:t>
      </w:r>
      <w:r w:rsidR="00BF3323" w:rsidRPr="00D72BF1">
        <w:t xml:space="preserve">with one targeting </w:t>
      </w:r>
      <w:r w:rsidRPr="00D72BF1">
        <w:t>the mitochondrial 16S rDNA gene (</w:t>
      </w:r>
      <w:proofErr w:type="spellStart"/>
      <w:r w:rsidRPr="00634A79">
        <w:t>Ardura</w:t>
      </w:r>
      <w:proofErr w:type="spellEnd"/>
      <w:r w:rsidRPr="00634A79">
        <w:t xml:space="preserve"> &amp; </w:t>
      </w:r>
      <w:proofErr w:type="spellStart"/>
      <w:r w:rsidRPr="00634A79">
        <w:t>Zaiko</w:t>
      </w:r>
      <w:proofErr w:type="spellEnd"/>
      <w:r w:rsidRPr="00634A79">
        <w:t xml:space="preserve"> 2018</w:t>
      </w:r>
      <w:r w:rsidRPr="00D72BF1">
        <w:t xml:space="preserve">) and the other </w:t>
      </w:r>
      <w:r w:rsidRPr="00634A79">
        <w:t>target</w:t>
      </w:r>
      <w:r w:rsidR="00BF3323" w:rsidRPr="00634A79">
        <w:t>ing</w:t>
      </w:r>
      <w:r w:rsidRPr="00634A79">
        <w:t xml:space="preserve"> the mitochondrial CO</w:t>
      </w:r>
      <w:r w:rsidR="00BF3323" w:rsidRPr="00634A79">
        <w:t>I</w:t>
      </w:r>
      <w:r w:rsidRPr="00634A79">
        <w:t xml:space="preserve"> gene (Hare et al. 2000). A qPCR targets the mitochondrial CO</w:t>
      </w:r>
      <w:r w:rsidR="00BF3323" w:rsidRPr="00634A79">
        <w:t>I</w:t>
      </w:r>
      <w:r w:rsidRPr="00634A79">
        <w:t xml:space="preserve"> gene (Andersen et al. 2018</w:t>
      </w:r>
      <w:r w:rsidRPr="00D72BF1">
        <w:t>).</w:t>
      </w:r>
      <w:r w:rsidRPr="00846769">
        <w:t xml:space="preserve"> </w:t>
      </w:r>
    </w:p>
    <w:p w14:paraId="74E69D2B" w14:textId="5B7E7961" w:rsidR="005D5B54" w:rsidRPr="00846769" w:rsidRDefault="005D5B54" w:rsidP="005D5B54">
      <w:r w:rsidRPr="00846769">
        <w:t>A qPCR assay has been desi</w:t>
      </w:r>
      <w:r w:rsidRPr="00D72BF1">
        <w:t xml:space="preserve">gned for </w:t>
      </w:r>
      <w:r w:rsidRPr="00D72BF1">
        <w:rPr>
          <w:i/>
          <w:iCs/>
        </w:rPr>
        <w:t xml:space="preserve">Mya japonica </w:t>
      </w:r>
      <w:r w:rsidRPr="00D72BF1">
        <w:t>using the mitochondrial COI gene (</w:t>
      </w:r>
      <w:proofErr w:type="spellStart"/>
      <w:r w:rsidRPr="00634A79">
        <w:t>Giblot-Ducray</w:t>
      </w:r>
      <w:proofErr w:type="spellEnd"/>
      <w:r w:rsidRPr="00634A79">
        <w:t xml:space="preserve"> et al. 2022</w:t>
      </w:r>
      <w:r w:rsidRPr="00D72BF1">
        <w:t xml:space="preserve">). The assay was shown to be specific against DNA of other native bivalves and to be able to detect </w:t>
      </w:r>
      <w:r w:rsidRPr="00D72BF1">
        <w:rPr>
          <w:i/>
          <w:iCs/>
        </w:rPr>
        <w:t xml:space="preserve">M. japonica </w:t>
      </w:r>
      <w:r w:rsidRPr="00D72BF1">
        <w:t>in plankton</w:t>
      </w:r>
      <w:r>
        <w:t xml:space="preserve"> samples collected from areas of occurrence in Tasmania </w:t>
      </w:r>
      <w:r w:rsidRPr="003010F3">
        <w:t>(</w:t>
      </w:r>
      <w:proofErr w:type="spellStart"/>
      <w:r w:rsidRPr="003010F3">
        <w:t>Giblot-Ducray</w:t>
      </w:r>
      <w:proofErr w:type="spellEnd"/>
      <w:r w:rsidRPr="003010F3">
        <w:t xml:space="preserve"> et al. 2022)</w:t>
      </w:r>
      <w:r>
        <w:t xml:space="preserve">. Further validation of this assay by Wiltshire et al. (2023) included HTS testing of samples with </w:t>
      </w:r>
      <w:r>
        <w:rPr>
          <w:i/>
          <w:iCs/>
        </w:rPr>
        <w:t xml:space="preserve">M. japonica </w:t>
      </w:r>
      <w:r>
        <w:t xml:space="preserve">detections and testing of archived DNA of plankton samples from around Australia to confirm assay specificity. Wiltshire et al. (2023) also tested plankton samples to which </w:t>
      </w:r>
      <w:r>
        <w:rPr>
          <w:i/>
          <w:iCs/>
        </w:rPr>
        <w:t xml:space="preserve">M. japonica </w:t>
      </w:r>
      <w:r>
        <w:t>tissue was added to quantify operational performance.</w:t>
      </w:r>
      <w:r w:rsidRPr="003010F3">
        <w:t xml:space="preserve">  </w:t>
      </w:r>
    </w:p>
    <w:p w14:paraId="4E28659E" w14:textId="77777777" w:rsidR="005D5B54" w:rsidRPr="00846769" w:rsidRDefault="005D5B54" w:rsidP="005D5B54">
      <w:pPr>
        <w:rPr>
          <w:rFonts w:cstheme="minorHAnsi"/>
        </w:rPr>
      </w:pPr>
      <w:r w:rsidRPr="00846769">
        <w:rPr>
          <w:rFonts w:cstheme="minorHAnsi"/>
        </w:rPr>
        <w:t>Refer to the guidelines for development and validation of assays for marine pests</w:t>
      </w:r>
      <w:r w:rsidRPr="00846769">
        <w:t xml:space="preserve"> for further information</w:t>
      </w:r>
      <w:r w:rsidRPr="00846769">
        <w:rPr>
          <w:rFonts w:cstheme="minorHAnsi"/>
        </w:rPr>
        <w:t xml:space="preserve"> and </w:t>
      </w:r>
      <w:hyperlink r:id="rId226" w:anchor=":~:text=Compendium%20of%20introduced%20marine%20pest%20molecular%20studies%20relevant%20to%20Australia,-Department%20of%20Agriculture&amp;text=This%20compendium%20provides%20a%20central,research%20and%20surveillance%20in%20Australia." w:history="1">
        <w:r w:rsidRPr="00846769">
          <w:rPr>
            <w:rStyle w:val="Hyperlink"/>
            <w:rFonts w:cstheme="minorHAnsi"/>
          </w:rPr>
          <w:t>compendium of introduced marine pest molecular studies relevant to Australia</w:t>
        </w:r>
      </w:hyperlink>
      <w:r w:rsidRPr="00846769">
        <w:rPr>
          <w:rFonts w:cstheme="minorHAnsi"/>
        </w:rPr>
        <w:t>.</w:t>
      </w:r>
    </w:p>
    <w:p w14:paraId="2C089BDB" w14:textId="77777777" w:rsidR="00E55B67" w:rsidRPr="00846769" w:rsidRDefault="00E55B67" w:rsidP="009607A5">
      <w:pPr>
        <w:pStyle w:val="Heading5"/>
        <w:spacing w:after="120"/>
        <w:rPr>
          <w:color w:val="262626" w:themeColor="text1" w:themeTint="D9"/>
          <w:sz w:val="24"/>
          <w:szCs w:val="24"/>
        </w:rPr>
      </w:pPr>
      <w:r w:rsidRPr="00846769">
        <w:rPr>
          <w:color w:val="262626" w:themeColor="text1" w:themeTint="D9"/>
          <w:sz w:val="24"/>
          <w:szCs w:val="24"/>
        </w:rPr>
        <w:t>Life history and ecology</w:t>
      </w:r>
    </w:p>
    <w:p w14:paraId="614FFC45" w14:textId="77777777" w:rsidR="00E55B67" w:rsidRPr="00846769" w:rsidRDefault="00E55B67" w:rsidP="009607A5">
      <w:pPr>
        <w:pStyle w:val="Heading6"/>
        <w:spacing w:after="40"/>
        <w:rPr>
          <w:color w:val="262626" w:themeColor="text1" w:themeTint="D9"/>
        </w:rPr>
      </w:pPr>
      <w:r w:rsidRPr="00846769">
        <w:rPr>
          <w:color w:val="262626" w:themeColor="text1" w:themeTint="D9"/>
        </w:rPr>
        <w:t>Life habit</w:t>
      </w:r>
    </w:p>
    <w:p w14:paraId="548DC97E" w14:textId="19E2233A" w:rsidR="00E55B67" w:rsidRPr="00846769" w:rsidRDefault="00E55B67" w:rsidP="00E55B67">
      <w:r w:rsidRPr="00846769">
        <w:rPr>
          <w:i/>
          <w:iCs/>
        </w:rPr>
        <w:t xml:space="preserve">Mya arenaria </w:t>
      </w:r>
      <w:r w:rsidR="00D44940" w:rsidRPr="00846769">
        <w:t xml:space="preserve">and </w:t>
      </w:r>
      <w:r w:rsidR="00D44940" w:rsidRPr="00846769">
        <w:rPr>
          <w:i/>
          <w:iCs/>
        </w:rPr>
        <w:t>M. japonica</w:t>
      </w:r>
      <w:r w:rsidRPr="00846769">
        <w:t xml:space="preserve"> </w:t>
      </w:r>
      <w:r w:rsidR="00D44940" w:rsidRPr="00846769">
        <w:t>are</w:t>
      </w:r>
      <w:r w:rsidRPr="00846769">
        <w:t xml:space="preserve"> infaunal clam</w:t>
      </w:r>
      <w:r w:rsidR="00D44940" w:rsidRPr="00846769">
        <w:t>s</w:t>
      </w:r>
      <w:r w:rsidRPr="00846769">
        <w:t xml:space="preserve"> burrowing into soft sediment, up to 50 cm deep. The shell of </w:t>
      </w:r>
      <w:r w:rsidRPr="00846769">
        <w:rPr>
          <w:i/>
          <w:iCs/>
        </w:rPr>
        <w:t>M</w:t>
      </w:r>
      <w:r w:rsidR="00D44940" w:rsidRPr="00846769">
        <w:rPr>
          <w:i/>
          <w:iCs/>
        </w:rPr>
        <w:t xml:space="preserve">ya </w:t>
      </w:r>
      <w:r w:rsidR="00D44940" w:rsidRPr="00846769">
        <w:t>spp.</w:t>
      </w:r>
      <w:r w:rsidRPr="00846769">
        <w:rPr>
          <w:i/>
          <w:iCs/>
        </w:rPr>
        <w:t xml:space="preserve"> </w:t>
      </w:r>
      <w:r w:rsidR="00D44940" w:rsidRPr="00846769">
        <w:t>is</w:t>
      </w:r>
      <w:r w:rsidRPr="00846769">
        <w:t xml:space="preserve"> </w:t>
      </w:r>
      <w:r w:rsidR="00D44940" w:rsidRPr="00846769">
        <w:t>thin,</w:t>
      </w:r>
      <w:r w:rsidRPr="00846769">
        <w:t xml:space="preserve"> so </w:t>
      </w:r>
      <w:r w:rsidR="00D44940" w:rsidRPr="00846769">
        <w:t>they</w:t>
      </w:r>
      <w:r w:rsidRPr="00846769">
        <w:t xml:space="preserve"> prefer finer than coarser sediment to avoid damaging the shell and for ease of mobility. </w:t>
      </w:r>
      <w:r w:rsidR="00D44940" w:rsidRPr="00846769">
        <w:t>Clams</w:t>
      </w:r>
      <w:r w:rsidRPr="00846769">
        <w:t xml:space="preserve"> can move with the tide and wave action. Usually, the highest densities of </w:t>
      </w:r>
      <w:r w:rsidRPr="00846769">
        <w:rPr>
          <w:i/>
          <w:iCs/>
        </w:rPr>
        <w:t xml:space="preserve">M. arenaria </w:t>
      </w:r>
      <w:r w:rsidRPr="00846769">
        <w:t xml:space="preserve">occur in the high intertidal zone. The distribution of the clam in a localised beach environment </w:t>
      </w:r>
      <w:r w:rsidRPr="00C80491">
        <w:t>is usually the re</w:t>
      </w:r>
      <w:r w:rsidRPr="00D72BF1">
        <w:t>sult of wave hydrodynamics than other factors (A</w:t>
      </w:r>
      <w:r w:rsidRPr="00634A79">
        <w:t>braham &amp; Dillon 1986</w:t>
      </w:r>
      <w:r w:rsidRPr="00D72BF1">
        <w:t xml:space="preserve">). </w:t>
      </w:r>
      <w:r w:rsidR="00F0286F">
        <w:t>I</w:t>
      </w:r>
      <w:r w:rsidR="00D44940" w:rsidRPr="00D72BF1">
        <w:t>ntroduced</w:t>
      </w:r>
      <w:r w:rsidR="00D44940" w:rsidRPr="00846769">
        <w:t xml:space="preserve"> </w:t>
      </w:r>
      <w:r w:rsidR="00D44940" w:rsidRPr="00846769">
        <w:rPr>
          <w:i/>
          <w:iCs/>
        </w:rPr>
        <w:t xml:space="preserve">M. japonica </w:t>
      </w:r>
      <w:r w:rsidR="00D44940" w:rsidRPr="00846769">
        <w:t xml:space="preserve">in the Prosser River, Tasmania, occur in muddy intertidal areas.  </w:t>
      </w:r>
    </w:p>
    <w:p w14:paraId="5E77CC3A" w14:textId="639AB52B" w:rsidR="00E55B67" w:rsidRPr="00846769" w:rsidRDefault="00E55B67" w:rsidP="00E55B67">
      <w:r w:rsidRPr="00846769">
        <w:rPr>
          <w:i/>
          <w:iCs/>
        </w:rPr>
        <w:t xml:space="preserve">Mya arenaria </w:t>
      </w:r>
      <w:r w:rsidRPr="00846769">
        <w:t>tolerates a wide range of salinities and temperatures and has high resistance to the presence of sulphides and low oxygen concentrations in the environment. The lowest mean salinity at which it exists in the Gulf of Bothnia is 4.5 to 5.0 ppt. Adults can tolerate salinities down to 5 ppt and up to a maximum of 35 ppt, and t</w:t>
      </w:r>
      <w:r w:rsidRPr="00D72BF1">
        <w:t xml:space="preserve">emperatures from </w:t>
      </w:r>
      <w:r w:rsidR="003637A4" w:rsidRPr="00D72BF1">
        <w:rPr>
          <w:rFonts w:cstheme="minorHAnsi"/>
        </w:rPr>
        <w:t>‒</w:t>
      </w:r>
      <w:r w:rsidRPr="00D72BF1">
        <w:t>2 to 28°C, and it can survive in an oxygen-free environment for up to 8 days (</w:t>
      </w:r>
      <w:r w:rsidRPr="00634A79">
        <w:t>Cohen 2011).</w:t>
      </w:r>
      <w:r w:rsidR="00D44940" w:rsidRPr="00D72BF1">
        <w:t xml:space="preserve"> </w:t>
      </w:r>
      <w:r w:rsidR="00F0286F">
        <w:t xml:space="preserve">For </w:t>
      </w:r>
      <w:r w:rsidR="00F0286F">
        <w:rPr>
          <w:i/>
          <w:iCs/>
        </w:rPr>
        <w:t xml:space="preserve">M. japonica, </w:t>
      </w:r>
      <w:r w:rsidR="00F0286F">
        <w:t>r</w:t>
      </w:r>
      <w:r w:rsidR="00F0286F" w:rsidRPr="00D72BF1">
        <w:t>ecorded temperature ranges are between 1 to 25°C (</w:t>
      </w:r>
      <w:r w:rsidR="00F0286F" w:rsidRPr="00634A79">
        <w:t>Zhang et al. 2018</w:t>
      </w:r>
      <w:r w:rsidR="00F0286F" w:rsidRPr="00D72BF1">
        <w:t>), however</w:t>
      </w:r>
      <w:r w:rsidR="00F0286F" w:rsidRPr="00846769">
        <w:t xml:space="preserve"> salinity and dissolved oxygen tolerances</w:t>
      </w:r>
      <w:r w:rsidR="00F0286F" w:rsidRPr="00846769">
        <w:rPr>
          <w:i/>
          <w:iCs/>
        </w:rPr>
        <w:t xml:space="preserve"> </w:t>
      </w:r>
      <w:r w:rsidR="00F0286F" w:rsidRPr="00846769">
        <w:t xml:space="preserve">are </w:t>
      </w:r>
      <w:r w:rsidR="00DD03FC">
        <w:t>un</w:t>
      </w:r>
      <w:r w:rsidR="00F0286F" w:rsidRPr="00846769">
        <w:t>known.</w:t>
      </w:r>
    </w:p>
    <w:p w14:paraId="34E2A4AA" w14:textId="75C31332" w:rsidR="00E55B67" w:rsidRPr="00846769" w:rsidRDefault="00E55B67" w:rsidP="00E55B67">
      <w:r w:rsidRPr="00846769">
        <w:rPr>
          <w:i/>
          <w:iCs/>
        </w:rPr>
        <w:t>Mya arenaria</w:t>
      </w:r>
      <w:r w:rsidR="00D44940" w:rsidRPr="00846769">
        <w:rPr>
          <w:i/>
          <w:iCs/>
        </w:rPr>
        <w:t xml:space="preserve"> </w:t>
      </w:r>
      <w:r w:rsidR="00D44940" w:rsidRPr="00846769">
        <w:t xml:space="preserve">and </w:t>
      </w:r>
      <w:r w:rsidR="00D44940" w:rsidRPr="00846769">
        <w:rPr>
          <w:i/>
          <w:iCs/>
        </w:rPr>
        <w:t>M. japonica</w:t>
      </w:r>
      <w:r w:rsidRPr="00846769">
        <w:rPr>
          <w:i/>
          <w:iCs/>
        </w:rPr>
        <w:t xml:space="preserve"> </w:t>
      </w:r>
      <w:r w:rsidR="00D44940" w:rsidRPr="00846769">
        <w:t xml:space="preserve">are infaunal </w:t>
      </w:r>
      <w:r w:rsidRPr="00846769">
        <w:t>benthic suspension feeder</w:t>
      </w:r>
      <w:r w:rsidR="00D44940" w:rsidRPr="00846769">
        <w:t>s</w:t>
      </w:r>
      <w:r w:rsidRPr="00846769">
        <w:t xml:space="preserve">. </w:t>
      </w:r>
      <w:r w:rsidR="00721C44" w:rsidRPr="00846769">
        <w:t xml:space="preserve">Clams feed by filtering organic material and suspended particles in the water column through their inhalant siphons. </w:t>
      </w:r>
    </w:p>
    <w:p w14:paraId="75D3CE31" w14:textId="03664D0F" w:rsidR="00E55B67" w:rsidRPr="00846769" w:rsidRDefault="00E55B67" w:rsidP="00E55B67">
      <w:pPr>
        <w:rPr>
          <w:i/>
          <w:iCs/>
        </w:rPr>
      </w:pPr>
      <w:r w:rsidRPr="00846769">
        <w:t xml:space="preserve">A wide range of predators have been documented for </w:t>
      </w:r>
      <w:r w:rsidRPr="00846769">
        <w:rPr>
          <w:i/>
          <w:iCs/>
        </w:rPr>
        <w:t>M. arenaria</w:t>
      </w:r>
      <w:r w:rsidRPr="00846769">
        <w:t xml:space="preserve">. These include skates and rays, </w:t>
      </w:r>
      <w:r w:rsidR="00721C44" w:rsidRPr="00846769">
        <w:t xml:space="preserve">carnivorous bony fishes, </w:t>
      </w:r>
      <w:r w:rsidRPr="00846769">
        <w:t xml:space="preserve">crabs, gastropods, birds, </w:t>
      </w:r>
      <w:r w:rsidR="00721C44" w:rsidRPr="00846769">
        <w:t xml:space="preserve">and seals. It is likely that natural predators will be </w:t>
      </w:r>
      <w:r w:rsidR="00721C44" w:rsidRPr="00846769">
        <w:lastRenderedPageBreak/>
        <w:t xml:space="preserve">similar for </w:t>
      </w:r>
      <w:r w:rsidR="00721C44" w:rsidRPr="00846769">
        <w:rPr>
          <w:i/>
          <w:iCs/>
        </w:rPr>
        <w:t xml:space="preserve">M. japonica </w:t>
      </w:r>
      <w:r w:rsidR="00721C44" w:rsidRPr="00846769">
        <w:t>in Tasmania</w:t>
      </w:r>
      <w:r w:rsidR="00721C44" w:rsidRPr="00846769">
        <w:rPr>
          <w:i/>
          <w:iCs/>
        </w:rPr>
        <w:t xml:space="preserve">. </w:t>
      </w:r>
      <w:r w:rsidR="00721C44" w:rsidRPr="00846769">
        <w:t xml:space="preserve">It should be noted that </w:t>
      </w:r>
      <w:r w:rsidR="00721C44" w:rsidRPr="00846769">
        <w:rPr>
          <w:i/>
          <w:iCs/>
        </w:rPr>
        <w:t xml:space="preserve">M. arenaria </w:t>
      </w:r>
      <w:r w:rsidR="00721C44" w:rsidRPr="00846769">
        <w:t>can be a valuable human food item in some European countries, and they are a commercially important species in the US.</w:t>
      </w:r>
    </w:p>
    <w:p w14:paraId="599A3618" w14:textId="77777777" w:rsidR="00E55B67" w:rsidRPr="00846769" w:rsidRDefault="00E55B67" w:rsidP="009607A5">
      <w:pPr>
        <w:pStyle w:val="Heading6"/>
        <w:spacing w:after="40"/>
        <w:rPr>
          <w:color w:val="262626" w:themeColor="text1" w:themeTint="D9"/>
        </w:rPr>
      </w:pPr>
      <w:r w:rsidRPr="00846769">
        <w:rPr>
          <w:color w:val="262626" w:themeColor="text1" w:themeTint="D9"/>
        </w:rPr>
        <w:t>Reproduction and growth</w:t>
      </w:r>
    </w:p>
    <w:p w14:paraId="0C1A2025" w14:textId="638B2DFF" w:rsidR="00E55B67" w:rsidRPr="00846769" w:rsidRDefault="00E55B67" w:rsidP="00E55B67">
      <w:pPr>
        <w:rPr>
          <w:i/>
          <w:iCs/>
        </w:rPr>
      </w:pPr>
      <w:r w:rsidRPr="00846769">
        <w:rPr>
          <w:i/>
          <w:iCs/>
        </w:rPr>
        <w:t xml:space="preserve">Mya arenaria </w:t>
      </w:r>
      <w:r w:rsidR="00721C44" w:rsidRPr="00846769">
        <w:t xml:space="preserve">and </w:t>
      </w:r>
      <w:r w:rsidR="00721C44" w:rsidRPr="00846769">
        <w:rPr>
          <w:i/>
          <w:iCs/>
        </w:rPr>
        <w:t xml:space="preserve">M. japonica </w:t>
      </w:r>
      <w:r w:rsidRPr="00846769">
        <w:t>ha</w:t>
      </w:r>
      <w:r w:rsidR="00721C44" w:rsidRPr="00846769">
        <w:t>ve</w:t>
      </w:r>
      <w:r w:rsidRPr="00846769">
        <w:t xml:space="preserve"> separate sexes</w:t>
      </w:r>
      <w:r w:rsidR="00721C44" w:rsidRPr="00846769">
        <w:t xml:space="preserve"> and are broadcast spawners. There are no direct studies on the reproduction of </w:t>
      </w:r>
      <w:r w:rsidR="00721C44" w:rsidRPr="00846769">
        <w:rPr>
          <w:i/>
          <w:iCs/>
        </w:rPr>
        <w:t xml:space="preserve">M. japonica. </w:t>
      </w:r>
      <w:r w:rsidR="00721C44" w:rsidRPr="00846769">
        <w:t xml:space="preserve">However, </w:t>
      </w:r>
      <w:r w:rsidR="00721C44" w:rsidRPr="00846769">
        <w:rPr>
          <w:i/>
          <w:iCs/>
        </w:rPr>
        <w:t xml:space="preserve">M. arenaria </w:t>
      </w:r>
      <w:r w:rsidR="00721C44" w:rsidRPr="00846769">
        <w:t xml:space="preserve">is </w:t>
      </w:r>
      <w:r w:rsidRPr="00846769">
        <w:t>highly fecund</w:t>
      </w:r>
      <w:r w:rsidR="00721C44" w:rsidRPr="00846769">
        <w:t xml:space="preserve"> with f</w:t>
      </w:r>
      <w:r w:rsidRPr="00846769">
        <w:t>emales produc</w:t>
      </w:r>
      <w:r w:rsidR="00721C44" w:rsidRPr="00846769">
        <w:t>ing</w:t>
      </w:r>
      <w:r w:rsidRPr="00846769">
        <w:t xml:space="preserve"> an average of 100</w:t>
      </w:r>
      <w:r w:rsidR="00721C44" w:rsidRPr="00846769">
        <w:t>,000 to a</w:t>
      </w:r>
      <w:r w:rsidRPr="00846769">
        <w:t xml:space="preserve"> million eggs in a single breeding </w:t>
      </w:r>
      <w:r w:rsidRPr="00D72BF1">
        <w:t>season</w:t>
      </w:r>
      <w:r w:rsidR="00721C44" w:rsidRPr="00D72BF1">
        <w:t xml:space="preserve"> (</w:t>
      </w:r>
      <w:r w:rsidR="007F3FF4" w:rsidRPr="00634A79">
        <w:t>Brousseau 1978</w:t>
      </w:r>
      <w:r w:rsidR="00721C44" w:rsidRPr="00D72BF1">
        <w:t>)</w:t>
      </w:r>
      <w:r w:rsidRPr="00D72BF1">
        <w:t>.</w:t>
      </w:r>
      <w:r w:rsidRPr="00846769">
        <w:t xml:space="preserve"> Generally, spawning of </w:t>
      </w:r>
      <w:r w:rsidRPr="00846769">
        <w:rPr>
          <w:i/>
          <w:iCs/>
        </w:rPr>
        <w:t xml:space="preserve">M. arenaria </w:t>
      </w:r>
      <w:r w:rsidRPr="00846769">
        <w:t>is temperature dependent. In its native range it spawns during the boreal spring and summer when the water temperature is usually between 10 and 20</w:t>
      </w:r>
      <w:r w:rsidRPr="00846769">
        <w:rPr>
          <w:rFonts w:cstheme="minorHAnsi"/>
        </w:rPr>
        <w:t>°</w:t>
      </w:r>
      <w:r w:rsidRPr="00846769">
        <w:t xml:space="preserve">C. </w:t>
      </w:r>
    </w:p>
    <w:p w14:paraId="0841B82D" w14:textId="77777777" w:rsidR="001E28AC" w:rsidRPr="00846769" w:rsidRDefault="00E55B67" w:rsidP="00E55B67">
      <w:r w:rsidRPr="00846769">
        <w:t xml:space="preserve">The optimal water temperature for larval development </w:t>
      </w:r>
      <w:r w:rsidR="00721C44" w:rsidRPr="00846769">
        <w:t xml:space="preserve">in </w:t>
      </w:r>
      <w:r w:rsidR="00721C44" w:rsidRPr="00846769">
        <w:rPr>
          <w:i/>
          <w:iCs/>
        </w:rPr>
        <w:t xml:space="preserve">M. arenaria </w:t>
      </w:r>
      <w:r w:rsidRPr="00846769">
        <w:t xml:space="preserve">is 20°C±3°C. Larval development time increases as the water temperature drops. Water temperature below 10°C is suboptimal </w:t>
      </w:r>
      <w:r w:rsidRPr="00C80491">
        <w:t>for larval development. The development from fertilised egg to feeding larvae can take about 12 hours, however, it could be faster if the water temperature is warmer (Abraham &amp; Dillon 1986).</w:t>
      </w:r>
      <w:r w:rsidRPr="00846769">
        <w:t xml:space="preserve"> </w:t>
      </w:r>
    </w:p>
    <w:p w14:paraId="614FF4B8" w14:textId="45C2A293" w:rsidR="00E55B67" w:rsidRPr="00846769" w:rsidRDefault="00E55B67" w:rsidP="00E55B67">
      <w:r w:rsidRPr="00846769">
        <w:t>The time from planktonic larvae to metamorphosis is approximately between 14 and 21 days. It takes around five years</w:t>
      </w:r>
      <w:r w:rsidR="001E28AC" w:rsidRPr="00846769">
        <w:t xml:space="preserve"> for </w:t>
      </w:r>
      <w:r w:rsidR="001E28AC" w:rsidRPr="00846769">
        <w:rPr>
          <w:i/>
          <w:iCs/>
        </w:rPr>
        <w:t>M. arenaria</w:t>
      </w:r>
      <w:r w:rsidRPr="00846769">
        <w:t xml:space="preserve"> to reach sexual maturity</w:t>
      </w:r>
      <w:r w:rsidR="001E28AC" w:rsidRPr="00846769">
        <w:t>, however clams can live to 10</w:t>
      </w:r>
      <w:r w:rsidR="003637A4">
        <w:rPr>
          <w:rFonts w:cstheme="minorHAnsi"/>
        </w:rPr>
        <w:t>‒</w:t>
      </w:r>
      <w:r w:rsidR="001E28AC" w:rsidRPr="00846769">
        <w:t>12 years or even longer</w:t>
      </w:r>
      <w:r w:rsidRPr="00846769">
        <w:t xml:space="preserve"> </w:t>
      </w:r>
      <w:r w:rsidRPr="00C80491">
        <w:t xml:space="preserve">(Abraham &amp; Dillon 1986). For optimum growth rates, </w:t>
      </w:r>
      <w:r w:rsidRPr="00C80491">
        <w:rPr>
          <w:i/>
          <w:iCs/>
        </w:rPr>
        <w:t xml:space="preserve">M. arenaria </w:t>
      </w:r>
      <w:r w:rsidRPr="00C80491">
        <w:t>prefer clam densities below 270 clams per m</w:t>
      </w:r>
      <w:r w:rsidRPr="00C80491">
        <w:rPr>
          <w:vertAlign w:val="superscript"/>
        </w:rPr>
        <w:t>2</w:t>
      </w:r>
      <w:r w:rsidRPr="00C80491">
        <w:t xml:space="preserve">. In its native range, 2 mm growth in juvenile clams was observed in 35 days and it took 95 days to reach 12 mm (Abraham &amp; Dillon 1986). </w:t>
      </w:r>
    </w:p>
    <w:p w14:paraId="536C2969" w14:textId="77777777" w:rsidR="00E55B67" w:rsidRPr="00846769" w:rsidRDefault="00E55B67" w:rsidP="009607A5">
      <w:pPr>
        <w:pStyle w:val="Heading6"/>
        <w:spacing w:after="40"/>
        <w:rPr>
          <w:color w:val="262626" w:themeColor="text1" w:themeTint="D9"/>
        </w:rPr>
      </w:pPr>
      <w:r w:rsidRPr="00846769">
        <w:rPr>
          <w:color w:val="262626" w:themeColor="text1" w:themeTint="D9"/>
        </w:rPr>
        <w:t>Pathways and vectors</w:t>
      </w:r>
    </w:p>
    <w:p w14:paraId="777D7091" w14:textId="2B1EF2F7" w:rsidR="00E55B67" w:rsidRPr="00D72BF1" w:rsidRDefault="00E55B67" w:rsidP="00E55B67">
      <w:r w:rsidRPr="00846769">
        <w:rPr>
          <w:i/>
          <w:iCs/>
        </w:rPr>
        <w:t xml:space="preserve">Mya </w:t>
      </w:r>
      <w:r w:rsidR="001E28AC" w:rsidRPr="00846769">
        <w:t xml:space="preserve">spp. are benthic </w:t>
      </w:r>
      <w:r w:rsidRPr="00846769">
        <w:t xml:space="preserve">infaunal </w:t>
      </w:r>
      <w:r w:rsidR="001E28AC" w:rsidRPr="00846769">
        <w:t>clams and</w:t>
      </w:r>
      <w:r w:rsidRPr="00846769">
        <w:t xml:space="preserve"> </w:t>
      </w:r>
      <w:r w:rsidR="001E28AC" w:rsidRPr="00846769">
        <w:t>are</w:t>
      </w:r>
      <w:r w:rsidRPr="00846769">
        <w:t xml:space="preserve"> unlikely to be translocated by hull fouling or among other biofouling communities. </w:t>
      </w:r>
      <w:r w:rsidRPr="00846769">
        <w:rPr>
          <w:i/>
          <w:iCs/>
        </w:rPr>
        <w:t xml:space="preserve">Mya arenaria </w:t>
      </w:r>
      <w:r w:rsidRPr="00846769">
        <w:t>has been reported from sediments in ballast tanks (</w:t>
      </w:r>
      <w:r w:rsidRPr="00634A79">
        <w:t>Briski et al. 2011</w:t>
      </w:r>
      <w:r w:rsidRPr="00D72BF1">
        <w:t xml:space="preserve">) highlighting this as an important method of transportation. </w:t>
      </w:r>
      <w:r w:rsidRPr="00D72BF1">
        <w:rPr>
          <w:i/>
          <w:iCs/>
        </w:rPr>
        <w:t xml:space="preserve">Mya arenaria </w:t>
      </w:r>
      <w:r w:rsidRPr="00D72BF1">
        <w:t>was accidentally introduced into California via a transhipment of oysters</w:t>
      </w:r>
      <w:r w:rsidR="00041102" w:rsidRPr="00D72BF1">
        <w:t xml:space="preserve"> </w:t>
      </w:r>
      <w:r w:rsidR="00041102" w:rsidRPr="00634A79">
        <w:t>(Zhang et al. 2018</w:t>
      </w:r>
      <w:r w:rsidR="00041102" w:rsidRPr="00D72BF1">
        <w:t>)</w:t>
      </w:r>
      <w:r w:rsidRPr="00D72BF1">
        <w:t>.</w:t>
      </w:r>
      <w:r w:rsidR="00A405DF">
        <w:t xml:space="preserve"> </w:t>
      </w:r>
      <w:r w:rsidR="00041102" w:rsidRPr="00D72BF1">
        <w:t>Translocation via aquaculture</w:t>
      </w:r>
      <w:r w:rsidRPr="00D72BF1">
        <w:t xml:space="preserve"> is less likely to be a high-risk pathway for </w:t>
      </w:r>
      <w:r w:rsidR="00041102" w:rsidRPr="00D72BF1">
        <w:t>the</w:t>
      </w:r>
      <w:r w:rsidRPr="00D72BF1">
        <w:t xml:space="preserve"> introduction </w:t>
      </w:r>
      <w:r w:rsidR="00041102" w:rsidRPr="00D72BF1">
        <w:t xml:space="preserve">of </w:t>
      </w:r>
      <w:r w:rsidR="00041102" w:rsidRPr="00D72BF1">
        <w:rPr>
          <w:i/>
          <w:iCs/>
        </w:rPr>
        <w:t>M.</w:t>
      </w:r>
      <w:r w:rsidR="00070E64">
        <w:rPr>
          <w:i/>
          <w:iCs/>
        </w:rPr>
        <w:t> </w:t>
      </w:r>
      <w:r w:rsidR="00041102" w:rsidRPr="00D72BF1">
        <w:rPr>
          <w:i/>
          <w:iCs/>
        </w:rPr>
        <w:t xml:space="preserve">japonica </w:t>
      </w:r>
      <w:r w:rsidRPr="00D72BF1">
        <w:t xml:space="preserve">into Australia because of strict import requirements, </w:t>
      </w:r>
      <w:r w:rsidR="00041102" w:rsidRPr="00D72BF1">
        <w:t>but it</w:t>
      </w:r>
      <w:r w:rsidRPr="00D72BF1">
        <w:t xml:space="preserve"> could be an important secondary domestic pathway.  </w:t>
      </w:r>
    </w:p>
    <w:p w14:paraId="22545932" w14:textId="11042C87" w:rsidR="00E55B67" w:rsidRPr="00D72BF1" w:rsidRDefault="00E55B67" w:rsidP="009607A5">
      <w:pPr>
        <w:pStyle w:val="Heading6"/>
        <w:spacing w:after="40"/>
        <w:rPr>
          <w:color w:val="262626" w:themeColor="text1" w:themeTint="D9"/>
        </w:rPr>
      </w:pPr>
      <w:r w:rsidRPr="00D72BF1">
        <w:rPr>
          <w:color w:val="262626" w:themeColor="text1" w:themeTint="D9"/>
        </w:rPr>
        <w:t>Potential impact</w:t>
      </w:r>
      <w:r w:rsidR="009607A5" w:rsidRPr="00D72BF1">
        <w:rPr>
          <w:color w:val="262626" w:themeColor="text1" w:themeTint="D9"/>
        </w:rPr>
        <w:t>s</w:t>
      </w:r>
    </w:p>
    <w:p w14:paraId="16FCD636" w14:textId="56E3B459" w:rsidR="00E55B67" w:rsidRPr="00846769" w:rsidRDefault="00E55B67" w:rsidP="00E55B67">
      <w:r w:rsidRPr="00D72BF1">
        <w:t xml:space="preserve">As </w:t>
      </w:r>
      <w:r w:rsidR="00041102" w:rsidRPr="00D72BF1">
        <w:t xml:space="preserve">a </w:t>
      </w:r>
      <w:r w:rsidRPr="00D72BF1">
        <w:t xml:space="preserve">burrowing bivalve, </w:t>
      </w:r>
      <w:r w:rsidR="00041102" w:rsidRPr="00D72BF1">
        <w:t xml:space="preserve">it is thought that </w:t>
      </w:r>
      <w:r w:rsidR="00041102" w:rsidRPr="00D72BF1">
        <w:rPr>
          <w:i/>
          <w:iCs/>
        </w:rPr>
        <w:t>M. arenaria</w:t>
      </w:r>
      <w:r w:rsidRPr="00D72BF1">
        <w:rPr>
          <w:i/>
          <w:iCs/>
        </w:rPr>
        <w:t xml:space="preserve"> </w:t>
      </w:r>
      <w:r w:rsidRPr="00D72BF1">
        <w:t xml:space="preserve">can alter </w:t>
      </w:r>
      <w:r w:rsidR="00041102" w:rsidRPr="00D72BF1">
        <w:t xml:space="preserve">surrounding </w:t>
      </w:r>
      <w:r w:rsidRPr="00D72BF1">
        <w:t>benthic communities by displacing native species and outcompeting other species for food and space.</w:t>
      </w:r>
      <w:r w:rsidR="00041102" w:rsidRPr="00D72BF1">
        <w:t xml:space="preserve"> However, these impacts are likely to only occur in high densities. </w:t>
      </w:r>
      <w:r w:rsidRPr="00D72BF1">
        <w:rPr>
          <w:i/>
          <w:iCs/>
        </w:rPr>
        <w:t xml:space="preserve">Mya arenaria </w:t>
      </w:r>
      <w:r w:rsidRPr="00D72BF1">
        <w:t xml:space="preserve">competitively excluded the native bivalve, </w:t>
      </w:r>
      <w:proofErr w:type="spellStart"/>
      <w:r w:rsidRPr="00D72BF1">
        <w:rPr>
          <w:i/>
          <w:iCs/>
        </w:rPr>
        <w:t>Lentidium</w:t>
      </w:r>
      <w:proofErr w:type="spellEnd"/>
      <w:r w:rsidRPr="00D72BF1">
        <w:rPr>
          <w:i/>
          <w:iCs/>
        </w:rPr>
        <w:t xml:space="preserve"> </w:t>
      </w:r>
      <w:proofErr w:type="spellStart"/>
      <w:r w:rsidRPr="00D72BF1">
        <w:rPr>
          <w:i/>
          <w:iCs/>
        </w:rPr>
        <w:t>mediterraneum</w:t>
      </w:r>
      <w:proofErr w:type="spellEnd"/>
      <w:r w:rsidRPr="00D72BF1">
        <w:rPr>
          <w:i/>
          <w:iCs/>
        </w:rPr>
        <w:t xml:space="preserve">, </w:t>
      </w:r>
      <w:r w:rsidRPr="00D72BF1">
        <w:t>within the Black Sea (</w:t>
      </w:r>
      <w:proofErr w:type="spellStart"/>
      <w:r w:rsidRPr="00634A79">
        <w:t>Gollasch</w:t>
      </w:r>
      <w:proofErr w:type="spellEnd"/>
      <w:r w:rsidRPr="00634A79">
        <w:t xml:space="preserve"> &amp; </w:t>
      </w:r>
      <w:proofErr w:type="spellStart"/>
      <w:r w:rsidRPr="00634A79">
        <w:t>Leppäkoski</w:t>
      </w:r>
      <w:proofErr w:type="spellEnd"/>
      <w:r w:rsidRPr="00634A79">
        <w:t xml:space="preserve"> 1999</w:t>
      </w:r>
      <w:r w:rsidRPr="00D72BF1">
        <w:t xml:space="preserve">). </w:t>
      </w:r>
      <w:r w:rsidRPr="00D72BF1">
        <w:rPr>
          <w:i/>
          <w:iCs/>
        </w:rPr>
        <w:t xml:space="preserve">Mya arenaria </w:t>
      </w:r>
      <w:r w:rsidRPr="00D72BF1">
        <w:t>may also impact bioturbation in its introduced range, altering sulphur reduction rates in the sediments surrounding its burrows (</w:t>
      </w:r>
      <w:r w:rsidRPr="00634A79">
        <w:t>Hansen et al. 1996</w:t>
      </w:r>
      <w:r w:rsidRPr="00D72BF1">
        <w:t xml:space="preserve">). In high densities, </w:t>
      </w:r>
      <w:r w:rsidRPr="00D72BF1">
        <w:rPr>
          <w:i/>
          <w:iCs/>
        </w:rPr>
        <w:t xml:space="preserve">M. arenaria </w:t>
      </w:r>
      <w:r w:rsidRPr="00D72BF1">
        <w:t>can cause social impacts when large populations of them die or wash ashore creating pungent odours (</w:t>
      </w:r>
      <w:proofErr w:type="spellStart"/>
      <w:r w:rsidRPr="00634A79">
        <w:t>Gollasch</w:t>
      </w:r>
      <w:proofErr w:type="spellEnd"/>
      <w:r w:rsidRPr="00634A79">
        <w:t xml:space="preserve"> &amp; </w:t>
      </w:r>
      <w:proofErr w:type="spellStart"/>
      <w:r w:rsidRPr="00634A79">
        <w:t>Leppäkoski</w:t>
      </w:r>
      <w:proofErr w:type="spellEnd"/>
      <w:r w:rsidRPr="00634A79">
        <w:t xml:space="preserve"> 1999</w:t>
      </w:r>
      <w:r w:rsidRPr="00D72BF1">
        <w:t>).</w:t>
      </w:r>
      <w:r w:rsidR="00041102" w:rsidRPr="00D72BF1">
        <w:t xml:space="preserve"> There are currently</w:t>
      </w:r>
      <w:r w:rsidR="00041102" w:rsidRPr="00846769">
        <w:t xml:space="preserve"> no known impacts of </w:t>
      </w:r>
      <w:r w:rsidR="00041102" w:rsidRPr="00846769">
        <w:rPr>
          <w:i/>
          <w:iCs/>
        </w:rPr>
        <w:t xml:space="preserve">M. japonica </w:t>
      </w:r>
      <w:r w:rsidR="00041102" w:rsidRPr="00846769">
        <w:t>in its introduced range in Tasmania</w:t>
      </w:r>
      <w:r w:rsidR="00041102" w:rsidRPr="00846769">
        <w:rPr>
          <w:i/>
          <w:iCs/>
        </w:rPr>
        <w:t xml:space="preserve">. </w:t>
      </w:r>
    </w:p>
    <w:p w14:paraId="7CB29407" w14:textId="77777777" w:rsidR="00E55B67" w:rsidRPr="00846769" w:rsidRDefault="00E55B67" w:rsidP="009607A5">
      <w:pPr>
        <w:pStyle w:val="Heading5"/>
        <w:spacing w:after="40"/>
        <w:rPr>
          <w:color w:val="262626" w:themeColor="text1" w:themeTint="D9"/>
          <w:sz w:val="24"/>
          <w:szCs w:val="24"/>
        </w:rPr>
      </w:pPr>
      <w:r w:rsidRPr="00846769">
        <w:rPr>
          <w:color w:val="262626" w:themeColor="text1" w:themeTint="D9"/>
          <w:sz w:val="24"/>
          <w:szCs w:val="24"/>
        </w:rPr>
        <w:t>Global and Australian distribution</w:t>
      </w:r>
    </w:p>
    <w:p w14:paraId="69E5DC82" w14:textId="788A9717" w:rsidR="00E55B67" w:rsidRPr="00846769" w:rsidRDefault="00E55B67" w:rsidP="00E55B67">
      <w:r w:rsidRPr="00846769">
        <w:rPr>
          <w:i/>
          <w:iCs/>
        </w:rPr>
        <w:t xml:space="preserve">Mya arenaria </w:t>
      </w:r>
      <w:r w:rsidRPr="00846769">
        <w:t>is not recorded in Australia</w:t>
      </w:r>
      <w:r w:rsidR="00CB234E" w:rsidRPr="00846769">
        <w:t>, however it does have the potential to be introduced into Australia</w:t>
      </w:r>
      <w:r w:rsidRPr="00846769">
        <w:t xml:space="preserve">. </w:t>
      </w:r>
      <w:r w:rsidRPr="00846769">
        <w:rPr>
          <w:i/>
          <w:iCs/>
        </w:rPr>
        <w:t xml:space="preserve">Mya arenaria </w:t>
      </w:r>
      <w:r w:rsidRPr="00846769">
        <w:t>is native to the Atlantic coastline of North America from South Carolina, USA, northwards to Canada (</w:t>
      </w:r>
      <w:r w:rsidR="007643C7">
        <w:fldChar w:fldCharType="begin"/>
      </w:r>
      <w:r w:rsidR="007643C7">
        <w:instrText xml:space="preserve"> REF _Ref189492377 \h </w:instrText>
      </w:r>
      <w:r w:rsidR="007643C7">
        <w:fldChar w:fldCharType="separate"/>
      </w:r>
      <w:r w:rsidR="007643C7">
        <w:t xml:space="preserve">Map </w:t>
      </w:r>
      <w:r w:rsidR="007643C7">
        <w:rPr>
          <w:noProof/>
        </w:rPr>
        <w:t>7</w:t>
      </w:r>
      <w:r w:rsidR="007643C7">
        <w:fldChar w:fldCharType="end"/>
      </w:r>
      <w:r w:rsidRPr="00846769">
        <w:t xml:space="preserve">). </w:t>
      </w:r>
      <w:r w:rsidRPr="00846769">
        <w:rPr>
          <w:i/>
          <w:iCs/>
        </w:rPr>
        <w:t xml:space="preserve">Mya arenaria </w:t>
      </w:r>
      <w:r w:rsidRPr="00846769">
        <w:t xml:space="preserve">has been introduced to Pacific North America, </w:t>
      </w:r>
      <w:r w:rsidRPr="00846769">
        <w:lastRenderedPageBreak/>
        <w:t xml:space="preserve">from Alaska to California and Atlantic Europe (including Iceland) </w:t>
      </w:r>
      <w:r w:rsidRPr="00B95B90">
        <w:t xml:space="preserve">and the </w:t>
      </w:r>
      <w:r w:rsidRPr="00D72BF1">
        <w:t>Mediterranean (</w:t>
      </w:r>
      <w:r w:rsidRPr="00634A79">
        <w:t xml:space="preserve">Crocetta &amp; </w:t>
      </w:r>
      <w:proofErr w:type="spellStart"/>
      <w:r w:rsidRPr="00634A79">
        <w:t>Turolla</w:t>
      </w:r>
      <w:proofErr w:type="spellEnd"/>
      <w:r w:rsidRPr="00634A79">
        <w:t xml:space="preserve"> 2011</w:t>
      </w:r>
      <w:r w:rsidRPr="00D72BF1">
        <w:t xml:space="preserve">). </w:t>
      </w:r>
      <w:r w:rsidRPr="00D72BF1">
        <w:rPr>
          <w:i/>
          <w:iCs/>
        </w:rPr>
        <w:t xml:space="preserve">Mya arenaria </w:t>
      </w:r>
      <w:r w:rsidRPr="00D72BF1">
        <w:t>is also present in the Black Sea in Romania (</w:t>
      </w:r>
      <w:proofErr w:type="spellStart"/>
      <w:r w:rsidRPr="00634A79">
        <w:t>Gomoiu</w:t>
      </w:r>
      <w:proofErr w:type="spellEnd"/>
      <w:r w:rsidRPr="00634A79">
        <w:t xml:space="preserve"> et al. 2002</w:t>
      </w:r>
      <w:r w:rsidRPr="00D72BF1">
        <w:t>).</w:t>
      </w:r>
      <w:r w:rsidRPr="00846769">
        <w:t xml:space="preserve"> </w:t>
      </w:r>
    </w:p>
    <w:p w14:paraId="2606EAD2" w14:textId="53682CA8" w:rsidR="007643C7" w:rsidRDefault="007643C7" w:rsidP="007643C7">
      <w:pPr>
        <w:pStyle w:val="Caption"/>
      </w:pPr>
      <w:bookmarkStart w:id="630" w:name="_Ref189492377"/>
      <w:bookmarkStart w:id="631" w:name="_Toc191999561"/>
      <w:r>
        <w:t xml:space="preserve">Map </w:t>
      </w:r>
      <w:r>
        <w:fldChar w:fldCharType="begin"/>
      </w:r>
      <w:r>
        <w:instrText xml:space="preserve"> SEQ Map \* ARABIC </w:instrText>
      </w:r>
      <w:r>
        <w:fldChar w:fldCharType="separate"/>
      </w:r>
      <w:r>
        <w:rPr>
          <w:noProof/>
        </w:rPr>
        <w:t>7</w:t>
      </w:r>
      <w:r>
        <w:fldChar w:fldCharType="end"/>
      </w:r>
      <w:bookmarkEnd w:id="630"/>
      <w:r>
        <w:t xml:space="preserve"> </w:t>
      </w:r>
      <w:r w:rsidRPr="00846769">
        <w:t xml:space="preserve">Known global distribution of </w:t>
      </w:r>
      <w:r w:rsidRPr="00846769">
        <w:rPr>
          <w:i/>
          <w:iCs/>
        </w:rPr>
        <w:t>Mya arenaria</w:t>
      </w:r>
      <w:bookmarkEnd w:id="631"/>
    </w:p>
    <w:p w14:paraId="79F9B729" w14:textId="1236A72F" w:rsidR="00E55B67" w:rsidRPr="00846769" w:rsidRDefault="004E5649" w:rsidP="00E55B67">
      <w:r w:rsidRPr="00846769">
        <w:rPr>
          <w:noProof/>
        </w:rPr>
        <w:drawing>
          <wp:inline distT="0" distB="0" distL="0" distR="0" wp14:anchorId="55B8790F" wp14:editId="3FFDA6AD">
            <wp:extent cx="5731510" cy="2860040"/>
            <wp:effectExtent l="0" t="0" r="2540" b="0"/>
            <wp:docPr id="2109840754" name="Picture 2" descr="Greyscale world map for the known global distribution of Mya arenaria. Distribution is shown in blue circles and red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40754" name="Picture 2" descr="Greyscale world map for the known global distribution of Mya arenaria. Distribution is shown in blue circles and red triangles. "/>
                    <pic:cNvPicPr/>
                  </pic:nvPicPr>
                  <pic:blipFill>
                    <a:blip r:embed="rId227" cstate="email">
                      <a:extLst>
                        <a:ext uri="{28A0092B-C50C-407E-A947-70E740481C1C}">
                          <a14:useLocalDpi xmlns:a14="http://schemas.microsoft.com/office/drawing/2010/main" val="0"/>
                        </a:ext>
                      </a:extLst>
                    </a:blip>
                    <a:stretch>
                      <a:fillRect/>
                    </a:stretch>
                  </pic:blipFill>
                  <pic:spPr>
                    <a:xfrm>
                      <a:off x="0" y="0"/>
                      <a:ext cx="5731510" cy="2860040"/>
                    </a:xfrm>
                    <a:prstGeom prst="rect">
                      <a:avLst/>
                    </a:prstGeom>
                  </pic:spPr>
                </pic:pic>
              </a:graphicData>
            </a:graphic>
          </wp:inline>
        </w:drawing>
      </w:r>
    </w:p>
    <w:p w14:paraId="2D0A758A" w14:textId="06D14005" w:rsidR="00CB234E" w:rsidRPr="00846769" w:rsidRDefault="00CB234E" w:rsidP="00CB234E">
      <w:pPr>
        <w:spacing w:before="120"/>
        <w:rPr>
          <w:sz w:val="18"/>
          <w:szCs w:val="18"/>
        </w:rPr>
      </w:pPr>
      <w:r w:rsidRPr="00846769">
        <w:rPr>
          <w:b/>
          <w:bCs/>
          <w:sz w:val="18"/>
          <w:szCs w:val="18"/>
        </w:rPr>
        <w:t xml:space="preserve">Data source: </w:t>
      </w:r>
      <w:r w:rsidRPr="00846769">
        <w:rPr>
          <w:sz w:val="18"/>
          <w:szCs w:val="18"/>
        </w:rPr>
        <w:t>GBIF.org (19 May 2024). GBIF Occurrence Download: https://doi.org/10.15468/dl.uv4c7t</w:t>
      </w:r>
    </w:p>
    <w:p w14:paraId="23147D66" w14:textId="64BEAB7E" w:rsidR="00CB234E" w:rsidRPr="00846769" w:rsidRDefault="0019208E" w:rsidP="00CB234E">
      <w:r w:rsidRPr="00846769">
        <w:rPr>
          <w:i/>
          <w:iCs/>
        </w:rPr>
        <w:t xml:space="preserve">Mya japonica </w:t>
      </w:r>
      <w:r w:rsidRPr="00846769">
        <w:t>is native to</w:t>
      </w:r>
      <w:r w:rsidR="00F067C9" w:rsidRPr="00846769">
        <w:t xml:space="preserve"> northeast Asia, notably in Japan, China, </w:t>
      </w:r>
      <w:r w:rsidR="00F067C9" w:rsidRPr="00C80491">
        <w:t>Korea, and Russia (Zhang et al. 2018). Two isolated individuals have been identified in British Columbia, Canada, but it is not known if they have established in this location (Zhang et al. 2018). In 2018</w:t>
      </w:r>
      <w:r w:rsidR="00F067C9" w:rsidRPr="00846769">
        <w:t xml:space="preserve">, </w:t>
      </w:r>
      <w:r w:rsidR="00F067C9" w:rsidRPr="00846769">
        <w:rPr>
          <w:i/>
          <w:iCs/>
        </w:rPr>
        <w:t xml:space="preserve">M. japonica </w:t>
      </w:r>
      <w:r w:rsidR="00F067C9" w:rsidRPr="00846769">
        <w:t xml:space="preserve">was detected in the Prosser River in Tasmania, </w:t>
      </w:r>
      <w:r w:rsidR="00F067C9" w:rsidRPr="00D72BF1">
        <w:t>Australia, where it has now established (</w:t>
      </w:r>
      <w:r w:rsidR="00F067C9" w:rsidRPr="00634A79">
        <w:t>Dann et al. 2020; Grove et al. 2018;</w:t>
      </w:r>
      <w:r w:rsidR="002C752F" w:rsidRPr="00D72BF1">
        <w:t xml:space="preserve"> </w:t>
      </w:r>
      <w:r w:rsidR="002C752F" w:rsidRPr="00D72BF1">
        <w:fldChar w:fldCharType="begin"/>
      </w:r>
      <w:r w:rsidR="002C752F" w:rsidRPr="00D72BF1">
        <w:instrText xml:space="preserve"> REF _Ref189507218 \h </w:instrText>
      </w:r>
      <w:r w:rsidR="00D72BF1">
        <w:instrText xml:space="preserve"> \* MERGEFORMAT </w:instrText>
      </w:r>
      <w:r w:rsidR="002C752F" w:rsidRPr="00D72BF1">
        <w:fldChar w:fldCharType="separate"/>
      </w:r>
      <w:r w:rsidR="002C752F" w:rsidRPr="00D72BF1">
        <w:t xml:space="preserve">Map </w:t>
      </w:r>
      <w:r w:rsidR="002C752F" w:rsidRPr="00D72BF1">
        <w:rPr>
          <w:noProof/>
        </w:rPr>
        <w:t>8</w:t>
      </w:r>
      <w:r w:rsidR="002C752F" w:rsidRPr="00D72BF1">
        <w:fldChar w:fldCharType="end"/>
      </w:r>
      <w:r w:rsidR="00F067C9" w:rsidRPr="00D72BF1">
        <w:t xml:space="preserve">). This represented the first known introduction of any </w:t>
      </w:r>
      <w:proofErr w:type="spellStart"/>
      <w:r w:rsidR="00F067C9" w:rsidRPr="00D72BF1">
        <w:t>myid</w:t>
      </w:r>
      <w:proofErr w:type="spellEnd"/>
      <w:r w:rsidR="00F067C9" w:rsidRPr="00D72BF1">
        <w:t xml:space="preserve"> into the southern hemisphere (Dann et al. 2020).</w:t>
      </w:r>
      <w:r w:rsidR="00F067C9" w:rsidRPr="00846769">
        <w:t xml:space="preserve"> </w:t>
      </w:r>
    </w:p>
    <w:p w14:paraId="0BD07009" w14:textId="77777777" w:rsidR="00CB234E" w:rsidRPr="00846769" w:rsidRDefault="00CB234E" w:rsidP="00CB234E"/>
    <w:p w14:paraId="14FA04D2" w14:textId="77777777" w:rsidR="00CB234E" w:rsidRPr="00846769" w:rsidRDefault="00CB234E" w:rsidP="00CB234E"/>
    <w:p w14:paraId="010A172C" w14:textId="77777777" w:rsidR="002C752F" w:rsidRPr="00846769" w:rsidRDefault="002C752F" w:rsidP="002C752F">
      <w:pPr>
        <w:pStyle w:val="Caption"/>
      </w:pPr>
      <w:bookmarkStart w:id="632" w:name="_Ref189507218"/>
      <w:bookmarkStart w:id="633" w:name="_Toc191999562"/>
      <w:r>
        <w:lastRenderedPageBreak/>
        <w:t xml:space="preserve">Map </w:t>
      </w:r>
      <w:r>
        <w:fldChar w:fldCharType="begin"/>
      </w:r>
      <w:r>
        <w:instrText xml:space="preserve"> SEQ Map \* ARABIC </w:instrText>
      </w:r>
      <w:r>
        <w:fldChar w:fldCharType="separate"/>
      </w:r>
      <w:r>
        <w:rPr>
          <w:noProof/>
        </w:rPr>
        <w:t>8</w:t>
      </w:r>
      <w:r>
        <w:fldChar w:fldCharType="end"/>
      </w:r>
      <w:bookmarkEnd w:id="632"/>
      <w:r>
        <w:t xml:space="preserve"> </w:t>
      </w:r>
      <w:r w:rsidRPr="00846769">
        <w:t xml:space="preserve">Known global distribution of </w:t>
      </w:r>
      <w:r w:rsidRPr="00846769">
        <w:rPr>
          <w:i/>
          <w:iCs/>
        </w:rPr>
        <w:t>Mya japonica</w:t>
      </w:r>
      <w:bookmarkEnd w:id="633"/>
    </w:p>
    <w:p w14:paraId="5FD47339" w14:textId="6ED7C59E" w:rsidR="00E55B67" w:rsidRPr="00846769" w:rsidRDefault="004E5649" w:rsidP="00E55B67">
      <w:r w:rsidRPr="00846769">
        <w:rPr>
          <w:noProof/>
        </w:rPr>
        <w:drawing>
          <wp:inline distT="0" distB="0" distL="0" distR="0" wp14:anchorId="66C52FD6" wp14:editId="27FD6AF9">
            <wp:extent cx="5731510" cy="2828500"/>
            <wp:effectExtent l="0" t="0" r="2540" b="0"/>
            <wp:docPr id="2117641729" name="Picture 3" descr="Greyscale world map for the known global distribution of Mya japonica. Distribution is shown in blue circles, yellow diamonds, and red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1729" name="Picture 3" descr="Greyscale world map for the known global distribution of Mya japonica. Distribution is shown in blue circles, yellow diamonds, and red triangles. "/>
                    <pic:cNvPicPr/>
                  </pic:nvPicPr>
                  <pic:blipFill>
                    <a:blip r:embed="rId228" cstate="email">
                      <a:extLst>
                        <a:ext uri="{28A0092B-C50C-407E-A947-70E740481C1C}">
                          <a14:useLocalDpi xmlns:a14="http://schemas.microsoft.com/office/drawing/2010/main" val="0"/>
                        </a:ext>
                      </a:extLst>
                    </a:blip>
                    <a:stretch>
                      <a:fillRect/>
                    </a:stretch>
                  </pic:blipFill>
                  <pic:spPr>
                    <a:xfrm>
                      <a:off x="0" y="0"/>
                      <a:ext cx="5731510" cy="2828500"/>
                    </a:xfrm>
                    <a:prstGeom prst="rect">
                      <a:avLst/>
                    </a:prstGeom>
                  </pic:spPr>
                </pic:pic>
              </a:graphicData>
            </a:graphic>
          </wp:inline>
        </w:drawing>
      </w:r>
    </w:p>
    <w:p w14:paraId="77B0919F" w14:textId="7394BF1C" w:rsidR="0019208E" w:rsidRDefault="0019208E" w:rsidP="0019208E">
      <w:pPr>
        <w:rPr>
          <w:sz w:val="18"/>
          <w:szCs w:val="18"/>
        </w:rPr>
      </w:pPr>
      <w:r w:rsidRPr="00846769">
        <w:rPr>
          <w:b/>
          <w:bCs/>
          <w:sz w:val="18"/>
          <w:szCs w:val="18"/>
        </w:rPr>
        <w:t>Data source:</w:t>
      </w:r>
      <w:r w:rsidRPr="00846769">
        <w:rPr>
          <w:sz w:val="18"/>
          <w:szCs w:val="18"/>
        </w:rPr>
        <w:t xml:space="preserve"> GBIF.org (19 May 2024). GBIF Occurrence Download: </w:t>
      </w:r>
      <w:hyperlink r:id="rId229" w:history="1">
        <w:r w:rsidR="002C752F" w:rsidRPr="00E642E2">
          <w:rPr>
            <w:rStyle w:val="Hyperlink"/>
            <w:sz w:val="18"/>
            <w:szCs w:val="18"/>
          </w:rPr>
          <w:t>https://doi.org/10.15468/dl.3hdvqb</w:t>
        </w:r>
      </w:hyperlink>
    </w:p>
    <w:p w14:paraId="025D6C92" w14:textId="77777777" w:rsidR="00E55B67" w:rsidRPr="00846769" w:rsidRDefault="00E55B67" w:rsidP="009607A5">
      <w:pPr>
        <w:pStyle w:val="Heading5"/>
        <w:spacing w:before="40" w:after="40"/>
        <w:ind w:left="851" w:hanging="851"/>
        <w:rPr>
          <w:rFonts w:cstheme="minorHAnsi"/>
        </w:rPr>
      </w:pPr>
      <w:r w:rsidRPr="00846769">
        <w:rPr>
          <w:rFonts w:cstheme="minorHAnsi"/>
        </w:rPr>
        <w:t>Invasion history</w:t>
      </w:r>
    </w:p>
    <w:p w14:paraId="551ACAD2" w14:textId="37881626" w:rsidR="00E55B67" w:rsidRPr="00846769" w:rsidRDefault="00E55B67" w:rsidP="00E55B67">
      <w:r w:rsidRPr="00846769">
        <w:rPr>
          <w:i/>
          <w:iCs/>
        </w:rPr>
        <w:t xml:space="preserve">Mya arenaria </w:t>
      </w:r>
      <w:r w:rsidRPr="00846769">
        <w:t xml:space="preserve">is native to Atlantic coast of North America. </w:t>
      </w:r>
      <w:r w:rsidRPr="00846769">
        <w:rPr>
          <w:i/>
          <w:iCs/>
        </w:rPr>
        <w:t xml:space="preserve">Mya arenaria </w:t>
      </w:r>
      <w:r w:rsidRPr="00846769">
        <w:t>was first reported in the Pacific coast, North America</w:t>
      </w:r>
      <w:r w:rsidR="0019208E" w:rsidRPr="00846769">
        <w:t>,</w:t>
      </w:r>
      <w:r w:rsidRPr="00846769">
        <w:t xml:space="preserve"> in 1874 when it was found in San Francisco Bay, California. After its introduction it rapidly became abundant and widespread in the area. </w:t>
      </w:r>
      <w:r w:rsidRPr="00846769">
        <w:rPr>
          <w:i/>
          <w:iCs/>
        </w:rPr>
        <w:t xml:space="preserve">Mya arenaria </w:t>
      </w:r>
      <w:r w:rsidRPr="00846769">
        <w:t xml:space="preserve">was most likely translocated deliberately along the Pacific coast of North America up to British Columbia, Canada. </w:t>
      </w:r>
      <w:r w:rsidRPr="00846769">
        <w:rPr>
          <w:i/>
          <w:iCs/>
        </w:rPr>
        <w:t xml:space="preserve">Mya arenaria </w:t>
      </w:r>
      <w:r w:rsidRPr="00846769">
        <w:t xml:space="preserve">was found as far north in Alaska by at least the early 1900s, where it is now considered established. </w:t>
      </w:r>
      <w:r w:rsidRPr="00846769">
        <w:rPr>
          <w:i/>
          <w:iCs/>
        </w:rPr>
        <w:t xml:space="preserve">Mya arenaria </w:t>
      </w:r>
      <w:r w:rsidRPr="00846769">
        <w:t xml:space="preserve">has struggled to extend its range southward from its initial introduction point of San Francisco despite translocation attempts. </w:t>
      </w:r>
    </w:p>
    <w:p w14:paraId="7FE3B374" w14:textId="2018F65C" w:rsidR="00E55B67" w:rsidRPr="00D72BF1" w:rsidRDefault="00E55B67" w:rsidP="00E55B67">
      <w:r w:rsidRPr="00846769">
        <w:rPr>
          <w:i/>
          <w:iCs/>
        </w:rPr>
        <w:t xml:space="preserve">Mya arenaria </w:t>
      </w:r>
      <w:r w:rsidRPr="00846769">
        <w:t xml:space="preserve">is likely to have been introduced into Europe by </w:t>
      </w:r>
      <w:r w:rsidRPr="00D72BF1">
        <w:t>the Vikings returning from North America</w:t>
      </w:r>
      <w:r w:rsidR="0019208E" w:rsidRPr="00D72BF1">
        <w:t xml:space="preserve"> (Essink et al. 201</w:t>
      </w:r>
      <w:r w:rsidR="007F3FF4" w:rsidRPr="00D72BF1">
        <w:t>7</w:t>
      </w:r>
      <w:r w:rsidR="0019208E" w:rsidRPr="00D72BF1">
        <w:t>)</w:t>
      </w:r>
      <w:r w:rsidRPr="00D72BF1">
        <w:t xml:space="preserve">. The clam was first reported </w:t>
      </w:r>
      <w:r w:rsidR="0019208E" w:rsidRPr="00D72BF1">
        <w:t>in</w:t>
      </w:r>
      <w:r w:rsidRPr="00D72BF1">
        <w:t xml:space="preserve"> France in 1700 (</w:t>
      </w:r>
      <w:proofErr w:type="spellStart"/>
      <w:r w:rsidRPr="00634A79">
        <w:t>Leppäkoski</w:t>
      </w:r>
      <w:proofErr w:type="spellEnd"/>
      <w:r w:rsidRPr="00634A79">
        <w:t xml:space="preserve"> et al. 2013)</w:t>
      </w:r>
      <w:r w:rsidRPr="00D72BF1">
        <w:t xml:space="preserve"> and the Netherlands in 1765 (</w:t>
      </w:r>
      <w:r w:rsidRPr="00634A79">
        <w:t>Wolff 2005).</w:t>
      </w:r>
      <w:r w:rsidRPr="00D72BF1">
        <w:t xml:space="preserve"> From there it has extended its range mainly northwards but also in the Mediterranean. By 1900, </w:t>
      </w:r>
      <w:r w:rsidRPr="00D72BF1">
        <w:rPr>
          <w:i/>
          <w:iCs/>
        </w:rPr>
        <w:t xml:space="preserve">M. arenaria </w:t>
      </w:r>
      <w:r w:rsidRPr="00D72BF1">
        <w:t xml:space="preserve">was found to be abundant in the Baltic Sea and established along coastlines of Sweden. </w:t>
      </w:r>
      <w:r w:rsidRPr="00D72BF1">
        <w:rPr>
          <w:i/>
          <w:iCs/>
        </w:rPr>
        <w:t xml:space="preserve">Mya arenaria </w:t>
      </w:r>
      <w:r w:rsidRPr="00D72BF1">
        <w:t xml:space="preserve">extends into the inner Baltic up to Finland and is found in Iceland. The clam’s distribution also extends northward towards the poles, where it is found all along the coast of Norway up to the White Sea of northern Russia. In the southern part of its range, </w:t>
      </w:r>
      <w:r w:rsidRPr="00D72BF1">
        <w:rPr>
          <w:i/>
          <w:iCs/>
        </w:rPr>
        <w:t xml:space="preserve">M. arenaria </w:t>
      </w:r>
      <w:r w:rsidRPr="00D72BF1">
        <w:t xml:space="preserve">has a spotty distribution in the Mediterranean Sea, with established populations in the Gulf of </w:t>
      </w:r>
      <w:proofErr w:type="spellStart"/>
      <w:r w:rsidRPr="00D72BF1">
        <w:t>Saronicos</w:t>
      </w:r>
      <w:proofErr w:type="spellEnd"/>
      <w:r w:rsidRPr="00D72BF1">
        <w:t>, Greece (</w:t>
      </w:r>
      <w:proofErr w:type="spellStart"/>
      <w:r w:rsidRPr="00634A79">
        <w:t>Zenetos</w:t>
      </w:r>
      <w:proofErr w:type="spellEnd"/>
      <w:r w:rsidRPr="00634A79">
        <w:t xml:space="preserve"> et al. 2005</w:t>
      </w:r>
      <w:r w:rsidRPr="00D72BF1">
        <w:t xml:space="preserve">). </w:t>
      </w:r>
      <w:r w:rsidRPr="00D72BF1">
        <w:rPr>
          <w:i/>
          <w:iCs/>
        </w:rPr>
        <w:t xml:space="preserve">Mya arenaria </w:t>
      </w:r>
      <w:r w:rsidRPr="00D72BF1">
        <w:t>was found in the Black Sea in 1966, where it has become abundant enough to be considered a pest (</w:t>
      </w:r>
      <w:proofErr w:type="spellStart"/>
      <w:r w:rsidRPr="00D72BF1">
        <w:t>Gomoiu</w:t>
      </w:r>
      <w:proofErr w:type="spellEnd"/>
      <w:r w:rsidRPr="00D72BF1">
        <w:t xml:space="preserve"> et al. 2002).</w:t>
      </w:r>
    </w:p>
    <w:p w14:paraId="4C5594FB" w14:textId="78AFDC65" w:rsidR="0019208E" w:rsidRPr="00846769" w:rsidRDefault="0019208E" w:rsidP="00C80491">
      <w:pPr>
        <w:spacing w:after="0"/>
      </w:pPr>
      <w:r w:rsidRPr="00D72BF1">
        <w:rPr>
          <w:i/>
          <w:iCs/>
        </w:rPr>
        <w:t>Mya japonica</w:t>
      </w:r>
      <w:r w:rsidRPr="00D72BF1">
        <w:t xml:space="preserve"> was recorded by Zhang et al. (2018) from </w:t>
      </w:r>
      <w:proofErr w:type="spellStart"/>
      <w:r w:rsidRPr="00D72BF1">
        <w:t>Quascilla</w:t>
      </w:r>
      <w:proofErr w:type="spellEnd"/>
      <w:r w:rsidRPr="00D72BF1">
        <w:t xml:space="preserve"> Bay and Graham Island, British Columbia, Canada, based on publicly available sequences and shell photographs of two individuals. The authors speculate that </w:t>
      </w:r>
      <w:r w:rsidRPr="00D72BF1">
        <w:rPr>
          <w:i/>
          <w:iCs/>
        </w:rPr>
        <w:t>M. japonica</w:t>
      </w:r>
      <w:r w:rsidRPr="00D72BF1">
        <w:t xml:space="preserve"> was introduced to British Columbia with the oyster </w:t>
      </w:r>
      <w:r w:rsidRPr="00D72BF1">
        <w:rPr>
          <w:i/>
          <w:iCs/>
        </w:rPr>
        <w:t>Magallana gigas</w:t>
      </w:r>
      <w:r w:rsidRPr="00D72BF1">
        <w:t xml:space="preserve"> which was introduced from the early 1910s until the late 1940s (</w:t>
      </w:r>
      <w:r w:rsidRPr="00634A79">
        <w:t>Carlton 1979</w:t>
      </w:r>
      <w:r w:rsidRPr="00D72BF1">
        <w:t xml:space="preserve">). No information is available on whether the species has become </w:t>
      </w:r>
      <w:r w:rsidR="00A405DF">
        <w:t>established</w:t>
      </w:r>
      <w:r w:rsidR="00A405DF" w:rsidRPr="00D72BF1">
        <w:t xml:space="preserve"> </w:t>
      </w:r>
      <w:r w:rsidRPr="00D72BF1">
        <w:t>at either locality.</w:t>
      </w:r>
      <w:r w:rsidRPr="00846769">
        <w:t xml:space="preserve"> </w:t>
      </w:r>
    </w:p>
    <w:p w14:paraId="6D627ABC" w14:textId="77777777" w:rsidR="0019208E" w:rsidRPr="00846769" w:rsidRDefault="0019208E" w:rsidP="00C80491">
      <w:pPr>
        <w:spacing w:after="0"/>
      </w:pPr>
    </w:p>
    <w:p w14:paraId="1E5D7171" w14:textId="37EB75E1" w:rsidR="0019208E" w:rsidRPr="00846769" w:rsidRDefault="00470AB8" w:rsidP="00C80491">
      <w:r w:rsidRPr="00846769">
        <w:lastRenderedPageBreak/>
        <w:t xml:space="preserve">In 2018, </w:t>
      </w:r>
      <w:r w:rsidRPr="00846769">
        <w:rPr>
          <w:i/>
          <w:iCs/>
        </w:rPr>
        <w:t>M</w:t>
      </w:r>
      <w:r w:rsidRPr="005F7F32">
        <w:rPr>
          <w:i/>
          <w:iCs/>
        </w:rPr>
        <w:t xml:space="preserve">. japonica </w:t>
      </w:r>
      <w:r w:rsidRPr="005F7F32">
        <w:t>was detected in the Prosser River in southern Tasmania, Australia, where the species has now established (</w:t>
      </w:r>
      <w:r w:rsidR="00705FA9" w:rsidRPr="005F7F32">
        <w:t>Grove et al. 2018</w:t>
      </w:r>
      <w:r w:rsidRPr="005F7F32">
        <w:t>). Dead</w:t>
      </w:r>
      <w:r w:rsidRPr="00846769">
        <w:t xml:space="preserve"> shells of </w:t>
      </w:r>
      <w:r w:rsidRPr="00846769">
        <w:rPr>
          <w:i/>
          <w:iCs/>
        </w:rPr>
        <w:t xml:space="preserve">M. japonica </w:t>
      </w:r>
      <w:r w:rsidRPr="00846769">
        <w:t>were also found in November 2019 at Louisville, a few kilometres north of the Prosser River</w:t>
      </w:r>
      <w:r w:rsidR="00705FA9" w:rsidRPr="00846769">
        <w:t xml:space="preserve"> and closer to Triabunna. The species may have first colonised the Triabunna area and then later colonised the mouth of the Prosser Rover a few kilometres downstre</w:t>
      </w:r>
      <w:r w:rsidR="00705FA9" w:rsidRPr="005F7F32">
        <w:t>am, possibly via natural dispersal (Dann et al. 2020; Grove et al. 2018). The exact</w:t>
      </w:r>
      <w:r w:rsidR="00705FA9" w:rsidRPr="00846769">
        <w:t xml:space="preserve"> vector for introduction into Australia is not known but via ballast water</w:t>
      </w:r>
      <w:r w:rsidR="00A405DF">
        <w:t>, prior to the introduction of ballast water management,</w:t>
      </w:r>
      <w:r w:rsidR="00705FA9" w:rsidRPr="00846769">
        <w:t xml:space="preserve"> is most likely. </w:t>
      </w:r>
    </w:p>
    <w:p w14:paraId="2069C841" w14:textId="77777777" w:rsidR="009607A5" w:rsidRPr="00846769" w:rsidRDefault="009607A5" w:rsidP="009607A5">
      <w:pPr>
        <w:pStyle w:val="Heading5"/>
        <w:spacing w:before="40" w:after="40"/>
        <w:ind w:left="851" w:hanging="851"/>
        <w:rPr>
          <w:color w:val="262626" w:themeColor="text1" w:themeTint="D9"/>
        </w:rPr>
      </w:pPr>
      <w:r w:rsidRPr="00846769">
        <w:rPr>
          <w:color w:val="262626" w:themeColor="text1" w:themeTint="D9"/>
        </w:rPr>
        <w:t>Diseases</w:t>
      </w:r>
    </w:p>
    <w:p w14:paraId="4C3BBC97" w14:textId="0DA6F8A5" w:rsidR="00705FA9" w:rsidRPr="00846769" w:rsidRDefault="00E55B67" w:rsidP="00E55B67">
      <w:r w:rsidRPr="00846769">
        <w:t xml:space="preserve">Disseminated neoplasia is known from </w:t>
      </w:r>
      <w:r w:rsidRPr="00846769">
        <w:rPr>
          <w:i/>
          <w:iCs/>
        </w:rPr>
        <w:t>M</w:t>
      </w:r>
      <w:r w:rsidR="00535014" w:rsidRPr="00846769">
        <w:rPr>
          <w:i/>
          <w:iCs/>
        </w:rPr>
        <w:t>.</w:t>
      </w:r>
      <w:r w:rsidRPr="00846769">
        <w:rPr>
          <w:i/>
          <w:iCs/>
        </w:rPr>
        <w:t xml:space="preserve"> arenaria </w:t>
      </w:r>
      <w:r w:rsidRPr="00846769">
        <w:t>in its native range. Disseminated neoplasia is a lethal cancer t</w:t>
      </w:r>
      <w:r w:rsidRPr="00DD01E4">
        <w:t xml:space="preserve">hat affects soft shell clams and is characterised by its transmissible nature (Metzger et al. 2016). </w:t>
      </w:r>
      <w:proofErr w:type="spellStart"/>
      <w:r w:rsidRPr="00DD01E4">
        <w:rPr>
          <w:i/>
          <w:iCs/>
        </w:rPr>
        <w:t>Perkinsus</w:t>
      </w:r>
      <w:proofErr w:type="spellEnd"/>
      <w:r w:rsidRPr="00846769">
        <w:rPr>
          <w:i/>
          <w:iCs/>
        </w:rPr>
        <w:t xml:space="preserve"> </w:t>
      </w:r>
      <w:r w:rsidRPr="00846769">
        <w:t xml:space="preserve">spp. are known to affect </w:t>
      </w:r>
      <w:r w:rsidRPr="00846769">
        <w:rPr>
          <w:i/>
          <w:iCs/>
        </w:rPr>
        <w:t xml:space="preserve">M. arenaria </w:t>
      </w:r>
      <w:r w:rsidRPr="00846769">
        <w:t xml:space="preserve">in its native range. </w:t>
      </w:r>
      <w:proofErr w:type="spellStart"/>
      <w:r w:rsidRPr="00846769">
        <w:rPr>
          <w:i/>
          <w:iCs/>
        </w:rPr>
        <w:t>Perkinsus</w:t>
      </w:r>
      <w:proofErr w:type="spellEnd"/>
      <w:r w:rsidRPr="00846769">
        <w:rPr>
          <w:i/>
          <w:iCs/>
        </w:rPr>
        <w:t xml:space="preserve"> marinus</w:t>
      </w:r>
      <w:r w:rsidRPr="00846769">
        <w:t xml:space="preserve">, </w:t>
      </w:r>
      <w:r w:rsidRPr="00846769">
        <w:rPr>
          <w:i/>
          <w:iCs/>
        </w:rPr>
        <w:t>P. </w:t>
      </w:r>
      <w:proofErr w:type="spellStart"/>
      <w:r w:rsidRPr="00846769">
        <w:rPr>
          <w:i/>
          <w:iCs/>
        </w:rPr>
        <w:t>andrewsi</w:t>
      </w:r>
      <w:proofErr w:type="spellEnd"/>
      <w:r w:rsidRPr="00846769">
        <w:rPr>
          <w:i/>
          <w:iCs/>
        </w:rPr>
        <w:t xml:space="preserve"> </w:t>
      </w:r>
      <w:r w:rsidRPr="00846769">
        <w:t xml:space="preserve">and </w:t>
      </w:r>
      <w:r w:rsidRPr="00846769">
        <w:rPr>
          <w:i/>
          <w:iCs/>
        </w:rPr>
        <w:t xml:space="preserve">P. </w:t>
      </w:r>
      <w:proofErr w:type="spellStart"/>
      <w:r w:rsidRPr="00846769">
        <w:rPr>
          <w:i/>
          <w:iCs/>
        </w:rPr>
        <w:t>chesapeaki</w:t>
      </w:r>
      <w:proofErr w:type="spellEnd"/>
      <w:r w:rsidRPr="00846769">
        <w:rPr>
          <w:i/>
          <w:iCs/>
        </w:rPr>
        <w:t xml:space="preserve"> </w:t>
      </w:r>
      <w:r w:rsidRPr="00846769">
        <w:t xml:space="preserve">have been recorded </w:t>
      </w:r>
      <w:r w:rsidR="00705FA9" w:rsidRPr="00846769">
        <w:t>in</w:t>
      </w:r>
      <w:r w:rsidRPr="00846769">
        <w:t xml:space="preserve"> </w:t>
      </w:r>
      <w:r w:rsidRPr="00846769">
        <w:rPr>
          <w:i/>
          <w:iCs/>
        </w:rPr>
        <w:t xml:space="preserve">M. arenaria </w:t>
      </w:r>
      <w:r w:rsidRPr="00846769">
        <w:t xml:space="preserve">experiencing high mortality in the </w:t>
      </w:r>
      <w:r w:rsidRPr="00933093">
        <w:t>Chesapeake Bay, USA (Dungan et al. 2002).</w:t>
      </w:r>
      <w:r w:rsidRPr="00846769">
        <w:t xml:space="preserve"> Only </w:t>
      </w:r>
      <w:r w:rsidRPr="00846769">
        <w:rPr>
          <w:i/>
          <w:iCs/>
        </w:rPr>
        <w:t xml:space="preserve">P. </w:t>
      </w:r>
      <w:proofErr w:type="spellStart"/>
      <w:r w:rsidRPr="00846769">
        <w:rPr>
          <w:i/>
          <w:iCs/>
        </w:rPr>
        <w:t>olseni</w:t>
      </w:r>
      <w:proofErr w:type="spellEnd"/>
      <w:r w:rsidRPr="00846769">
        <w:t xml:space="preserve"> is known in Australia where it impacts native abalone </w:t>
      </w:r>
      <w:r w:rsidRPr="00846769">
        <w:rPr>
          <w:i/>
          <w:iCs/>
        </w:rPr>
        <w:t xml:space="preserve">Haliotis </w:t>
      </w:r>
      <w:r w:rsidRPr="00846769">
        <w:t xml:space="preserve">spp. </w:t>
      </w:r>
      <w:proofErr w:type="spellStart"/>
      <w:r w:rsidRPr="00846769">
        <w:rPr>
          <w:i/>
          <w:iCs/>
        </w:rPr>
        <w:t>Perkinsus</w:t>
      </w:r>
      <w:proofErr w:type="spellEnd"/>
      <w:r w:rsidRPr="00846769">
        <w:rPr>
          <w:i/>
          <w:iCs/>
        </w:rPr>
        <w:t xml:space="preserve"> </w:t>
      </w:r>
      <w:r w:rsidRPr="00846769">
        <w:t>spp. have a wide host range</w:t>
      </w:r>
      <w:r w:rsidR="00DD03FC">
        <w:t>,</w:t>
      </w:r>
      <w:r w:rsidRPr="00846769">
        <w:t xml:space="preserve"> and it is likely that a </w:t>
      </w:r>
      <w:proofErr w:type="spellStart"/>
      <w:r w:rsidRPr="00846769">
        <w:rPr>
          <w:i/>
          <w:iCs/>
        </w:rPr>
        <w:t>Perkinsus</w:t>
      </w:r>
      <w:proofErr w:type="spellEnd"/>
      <w:r w:rsidR="00070E64">
        <w:rPr>
          <w:i/>
          <w:iCs/>
        </w:rPr>
        <w:t> </w:t>
      </w:r>
      <w:r w:rsidRPr="00846769">
        <w:t xml:space="preserve">spp. introduced with an invasive bivalve could become established in Australia. </w:t>
      </w:r>
      <w:r w:rsidR="00705FA9" w:rsidRPr="00846769">
        <w:t xml:space="preserve">Transmissible diseases and pathogens of </w:t>
      </w:r>
      <w:r w:rsidR="00705FA9" w:rsidRPr="00846769">
        <w:rPr>
          <w:i/>
          <w:iCs/>
        </w:rPr>
        <w:t xml:space="preserve">M. japonica </w:t>
      </w:r>
      <w:r w:rsidR="00705FA9" w:rsidRPr="00846769">
        <w:t xml:space="preserve">are not well known. </w:t>
      </w:r>
    </w:p>
    <w:p w14:paraId="3E0EC084" w14:textId="77777777" w:rsidR="009607A5" w:rsidRPr="00846769" w:rsidRDefault="009607A5">
      <w:pPr>
        <w:spacing w:after="160" w:line="259" w:lineRule="auto"/>
      </w:pPr>
      <w:r w:rsidRPr="00846769">
        <w:br w:type="page"/>
      </w:r>
    </w:p>
    <w:p w14:paraId="5BCD53EC" w14:textId="799CB5E6" w:rsidR="006939E1" w:rsidRPr="00846769" w:rsidRDefault="00B5740F" w:rsidP="0053062E">
      <w:pPr>
        <w:pStyle w:val="Heading3"/>
        <w:spacing w:after="120"/>
      </w:pPr>
      <w:bookmarkStart w:id="634" w:name="_Toc191998681"/>
      <w:r w:rsidRPr="00846769">
        <w:lastRenderedPageBreak/>
        <w:t>Family Mytilidae</w:t>
      </w:r>
      <w:bookmarkEnd w:id="634"/>
    </w:p>
    <w:p w14:paraId="423923E3" w14:textId="17F02AF8" w:rsidR="00B43163" w:rsidRPr="00846769" w:rsidRDefault="00B43163" w:rsidP="0053062E">
      <w:pPr>
        <w:pStyle w:val="Heading4"/>
        <w:spacing w:after="120"/>
        <w:rPr>
          <w:rStyle w:val="Emphasis"/>
          <w:color w:val="262626" w:themeColor="text1" w:themeTint="D9"/>
        </w:rPr>
      </w:pPr>
      <w:r w:rsidRPr="00846769">
        <w:rPr>
          <w:rStyle w:val="Emphasis"/>
          <w:color w:val="262626" w:themeColor="text1" w:themeTint="D9"/>
        </w:rPr>
        <w:t xml:space="preserve">Arcuatula senhousia </w:t>
      </w:r>
    </w:p>
    <w:p w14:paraId="23B8CC93" w14:textId="0AB59432" w:rsidR="0053062E" w:rsidRPr="00846769" w:rsidRDefault="0053062E" w:rsidP="0022749D">
      <w:r w:rsidRPr="00846769">
        <w:rPr>
          <w:i/>
          <w:iCs/>
        </w:rPr>
        <w:t xml:space="preserve">Arcuatula </w:t>
      </w:r>
      <w:r w:rsidR="00F2787C" w:rsidRPr="00846769">
        <w:rPr>
          <w:i/>
          <w:iCs/>
        </w:rPr>
        <w:t>(</w:t>
      </w:r>
      <w:r w:rsidR="00DD03FC">
        <w:t xml:space="preserve">formerly </w:t>
      </w:r>
      <w:proofErr w:type="spellStart"/>
      <w:r w:rsidR="00F2787C" w:rsidRPr="00846769">
        <w:rPr>
          <w:i/>
          <w:iCs/>
        </w:rPr>
        <w:t>Musculista</w:t>
      </w:r>
      <w:proofErr w:type="spellEnd"/>
      <w:r w:rsidR="00F2787C" w:rsidRPr="00846769">
        <w:rPr>
          <w:i/>
          <w:iCs/>
        </w:rPr>
        <w:t xml:space="preserve">) </w:t>
      </w:r>
      <w:r w:rsidRPr="00846769">
        <w:rPr>
          <w:i/>
          <w:iCs/>
        </w:rPr>
        <w:t xml:space="preserve">senhousia </w:t>
      </w:r>
      <w:r w:rsidRPr="00846769">
        <w:t xml:space="preserve">is known as the Asian bag mussel or Asian date mussel. It is a small, thin-shelled mussel with a maximum shell length of 30 mm. This mussel is native to the western Pacific Ocean, extending from the far eastern coasts of Russia southward to Singapore. It has been introduced to the USA, New Zealand, the Mediterranean Sea, and </w:t>
      </w:r>
      <w:r w:rsidR="006924BC" w:rsidRPr="00846769">
        <w:t xml:space="preserve">southern </w:t>
      </w:r>
      <w:r w:rsidRPr="00846769">
        <w:t xml:space="preserve">Australia. </w:t>
      </w:r>
      <w:r w:rsidRPr="00846769">
        <w:rPr>
          <w:i/>
          <w:iCs/>
        </w:rPr>
        <w:t xml:space="preserve">Arcuatula senhousia </w:t>
      </w:r>
      <w:r w:rsidRPr="00846769">
        <w:t>is established in Australia and has patchy</w:t>
      </w:r>
      <w:r w:rsidR="00F2787C" w:rsidRPr="00846769">
        <w:t xml:space="preserve"> </w:t>
      </w:r>
      <w:r w:rsidRPr="00846769">
        <w:t>but widespread</w:t>
      </w:r>
      <w:r w:rsidR="00F2787C" w:rsidRPr="00846769">
        <w:t xml:space="preserve"> </w:t>
      </w:r>
      <w:r w:rsidRPr="00846769">
        <w:t>populations in South Australia, Tasmania, Victoria</w:t>
      </w:r>
      <w:r w:rsidR="00F2787C" w:rsidRPr="00846769">
        <w:t>,</w:t>
      </w:r>
      <w:r w:rsidRPr="00846769">
        <w:t xml:space="preserve"> </w:t>
      </w:r>
      <w:r w:rsidR="006924BC" w:rsidRPr="00846769">
        <w:t xml:space="preserve">and </w:t>
      </w:r>
      <w:r w:rsidRPr="00846769">
        <w:t xml:space="preserve">Western Australia. </w:t>
      </w:r>
      <w:r w:rsidR="00F2787C" w:rsidRPr="00846769">
        <w:t xml:space="preserve">It can burrow fully into the sediment or sit just on top of the sediment and can dominate benthic communities in some instances. </w:t>
      </w:r>
    </w:p>
    <w:p w14:paraId="5E29E852" w14:textId="0A2E35E5" w:rsidR="00066BFC" w:rsidRPr="00846769" w:rsidRDefault="00F2787C" w:rsidP="00F2787C">
      <w:r w:rsidRPr="00846769">
        <w:rPr>
          <w:i/>
          <w:iCs/>
        </w:rPr>
        <w:t xml:space="preserve">Arcuatula senhousia </w:t>
      </w:r>
      <w:r w:rsidRPr="00846769">
        <w:t>is not nationally listed in Australia on either the APMPL or EEPL.</w:t>
      </w:r>
      <w:r w:rsidR="00B51CDD" w:rsidRPr="00846769">
        <w:t xml:space="preserve"> It was excluded from the APMPL because the species had been present in Australia for ~50 years in multiple jurisdictions, where no eradication attempts were undertaken, and no significant effects of this species observed </w:t>
      </w:r>
      <w:r w:rsidR="00B51CDD" w:rsidRPr="00DD01E4">
        <w:t>(MPSC 2018).</w:t>
      </w:r>
      <w:r w:rsidR="00066BFC" w:rsidRPr="00846769">
        <w:t xml:space="preserve"> </w:t>
      </w:r>
    </w:p>
    <w:p w14:paraId="16C68ED8" w14:textId="54A0955E" w:rsidR="001933EE" w:rsidRPr="00846769" w:rsidRDefault="00066BFC" w:rsidP="0090794A">
      <w:r w:rsidRPr="00846769">
        <w:t>This species</w:t>
      </w:r>
      <w:r w:rsidR="00F2787C" w:rsidRPr="00846769">
        <w:t xml:space="preserve"> is included on marine pest surveillance lists for most jurisdictions in </w:t>
      </w:r>
      <w:r w:rsidRPr="00846769">
        <w:t>Australia and</w:t>
      </w:r>
      <w:r w:rsidR="00F2787C" w:rsidRPr="00846769">
        <w:t xml:space="preserve"> is listed as a noxious species in some jurisdictions.</w:t>
      </w:r>
      <w:r w:rsidR="00B51CDD" w:rsidRPr="00846769">
        <w:t xml:space="preserve"> It is also an invasive species of concern in the </w:t>
      </w:r>
      <w:r w:rsidR="00B51CDD" w:rsidRPr="00D72BF1">
        <w:t>Mediterranean (</w:t>
      </w:r>
      <w:proofErr w:type="spellStart"/>
      <w:r w:rsidR="00B51CDD" w:rsidRPr="00634A79">
        <w:t>Streftaris</w:t>
      </w:r>
      <w:proofErr w:type="spellEnd"/>
      <w:r w:rsidR="00B51CDD" w:rsidRPr="00634A79">
        <w:t xml:space="preserve"> &amp; </w:t>
      </w:r>
      <w:proofErr w:type="spellStart"/>
      <w:r w:rsidR="00B51CDD" w:rsidRPr="00634A79">
        <w:t>Zenetos</w:t>
      </w:r>
      <w:proofErr w:type="spellEnd"/>
      <w:r w:rsidR="00B51CDD" w:rsidRPr="00634A79">
        <w:t xml:space="preserve"> 2006</w:t>
      </w:r>
      <w:r w:rsidR="00B51CDD" w:rsidRPr="00D72BF1">
        <w:t>) and</w:t>
      </w:r>
      <w:r w:rsidR="00B51CDD" w:rsidRPr="007F3FF4">
        <w:t xml:space="preserve"> in</w:t>
      </w:r>
      <w:r w:rsidR="00B51CDD" w:rsidRPr="00846769">
        <w:t xml:space="preserve"> New Zealand.</w:t>
      </w:r>
      <w:r w:rsidR="00F2787C" w:rsidRPr="00846769">
        <w:t xml:space="preserve"> A </w:t>
      </w:r>
      <w:hyperlink r:id="rId230" w:history="1">
        <w:r w:rsidR="00F2787C" w:rsidRPr="00846769">
          <w:rPr>
            <w:rStyle w:val="Hyperlink"/>
          </w:rPr>
          <w:t>National Control Plan (NCP)</w:t>
        </w:r>
      </w:hyperlink>
      <w:r w:rsidR="00F2787C" w:rsidRPr="00846769">
        <w:t xml:space="preserve"> was developed for </w:t>
      </w:r>
      <w:r w:rsidR="00B51CDD" w:rsidRPr="00846769">
        <w:rPr>
          <w:i/>
          <w:iCs/>
        </w:rPr>
        <w:t>A. senhousia</w:t>
      </w:r>
      <w:r w:rsidR="00F2787C" w:rsidRPr="00846769">
        <w:rPr>
          <w:i/>
          <w:iCs/>
        </w:rPr>
        <w:t xml:space="preserve"> </w:t>
      </w:r>
      <w:r w:rsidR="00F2787C" w:rsidRPr="00846769">
        <w:t xml:space="preserve">in 2008. NCPs were developed to assist with management of established marine pests in Australia which may have significant impacts but are deemed non-eradicable.  </w:t>
      </w:r>
    </w:p>
    <w:p w14:paraId="4D42BA98" w14:textId="24C6D753" w:rsidR="0090794A" w:rsidRPr="00846769" w:rsidRDefault="0090794A" w:rsidP="0090794A">
      <w:pPr>
        <w:pStyle w:val="Caption"/>
      </w:pPr>
      <w:bookmarkStart w:id="635" w:name="_Toc191999505"/>
      <w:r w:rsidRPr="00846769">
        <w:t xml:space="preserve">Table </w:t>
      </w:r>
      <w:r w:rsidRPr="00846769">
        <w:fldChar w:fldCharType="begin"/>
      </w:r>
      <w:r w:rsidRPr="00846769">
        <w:instrText xml:space="preserve"> SEQ Table \* ARABIC </w:instrText>
      </w:r>
      <w:r w:rsidRPr="00846769">
        <w:fldChar w:fldCharType="separate"/>
      </w:r>
      <w:r w:rsidR="005E4F41">
        <w:rPr>
          <w:noProof/>
        </w:rPr>
        <w:t>10</w:t>
      </w:r>
      <w:r w:rsidRPr="00846769">
        <w:fldChar w:fldCharType="end"/>
      </w:r>
      <w:r w:rsidRPr="00846769">
        <w:t xml:space="preserve"> </w:t>
      </w:r>
      <w:r w:rsidRPr="00846769">
        <w:rPr>
          <w:color w:val="262626" w:themeColor="text1" w:themeTint="D9"/>
          <w:lang w:eastAsia="ja-JP"/>
        </w:rPr>
        <w:t xml:space="preserve">Taxonomic classification of </w:t>
      </w:r>
      <w:r w:rsidRPr="00846769">
        <w:rPr>
          <w:rStyle w:val="Emphasis"/>
          <w:color w:val="262626" w:themeColor="text1" w:themeTint="D9"/>
        </w:rPr>
        <w:t>Arcuatula senhousia</w:t>
      </w:r>
      <w:bookmarkEnd w:id="635"/>
    </w:p>
    <w:tbl>
      <w:tblPr>
        <w:tblStyle w:val="TableGrid"/>
        <w:tblW w:w="0" w:type="auto"/>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1526"/>
        <w:gridCol w:w="2585"/>
      </w:tblGrid>
      <w:tr w:rsidR="00B43163" w:rsidRPr="00846769" w14:paraId="3045E2F3" w14:textId="77777777" w:rsidTr="00A04E26">
        <w:trPr>
          <w:cantSplit/>
          <w:tblHeader/>
        </w:trPr>
        <w:tc>
          <w:tcPr>
            <w:tcW w:w="1526" w:type="dxa"/>
            <w:shd w:val="clear" w:color="auto" w:fill="FFFFFF" w:themeFill="background1"/>
          </w:tcPr>
          <w:p w14:paraId="5567BAF2" w14:textId="77777777" w:rsidR="00B43163" w:rsidRPr="00846769" w:rsidRDefault="00B43163" w:rsidP="006966B1">
            <w:pPr>
              <w:pStyle w:val="TableText"/>
              <w:rPr>
                <w:rFonts w:cstheme="minorHAnsi"/>
                <w:b/>
                <w:bCs/>
              </w:rPr>
            </w:pPr>
            <w:bookmarkStart w:id="636" w:name="Table_10"/>
            <w:bookmarkEnd w:id="636"/>
            <w:r w:rsidRPr="00846769">
              <w:rPr>
                <w:rFonts w:cstheme="minorHAnsi"/>
                <w:b/>
                <w:bCs/>
              </w:rPr>
              <w:t>Classification</w:t>
            </w:r>
          </w:p>
        </w:tc>
        <w:tc>
          <w:tcPr>
            <w:tcW w:w="2585" w:type="dxa"/>
            <w:shd w:val="clear" w:color="auto" w:fill="FFFFFF" w:themeFill="background1"/>
          </w:tcPr>
          <w:p w14:paraId="077BB7C6" w14:textId="00561B89" w:rsidR="00B43163" w:rsidRPr="00846769" w:rsidRDefault="00B43163" w:rsidP="006966B1">
            <w:pPr>
              <w:pStyle w:val="TableText"/>
              <w:rPr>
                <w:rStyle w:val="Emphasis"/>
                <w:rFonts w:cstheme="minorHAnsi"/>
                <w:b/>
                <w:bCs/>
              </w:rPr>
            </w:pPr>
            <w:r w:rsidRPr="00846769">
              <w:rPr>
                <w:rStyle w:val="Emphasis"/>
                <w:rFonts w:cstheme="minorHAnsi"/>
                <w:b/>
                <w:bCs/>
              </w:rPr>
              <w:t>Arcuatula senhousia</w:t>
            </w:r>
          </w:p>
        </w:tc>
      </w:tr>
      <w:tr w:rsidR="00B43163" w:rsidRPr="00846769" w14:paraId="35DF76BF" w14:textId="77777777" w:rsidTr="00A04E26">
        <w:trPr>
          <w:cantSplit/>
          <w:tblHeader/>
        </w:trPr>
        <w:tc>
          <w:tcPr>
            <w:tcW w:w="1526" w:type="dxa"/>
            <w:shd w:val="clear" w:color="auto" w:fill="FFFFFF" w:themeFill="background1"/>
          </w:tcPr>
          <w:p w14:paraId="04204AB7" w14:textId="77777777" w:rsidR="00B43163" w:rsidRPr="00846769" w:rsidRDefault="00B43163" w:rsidP="006966B1">
            <w:pPr>
              <w:pStyle w:val="TableText"/>
              <w:rPr>
                <w:rFonts w:cstheme="minorHAnsi"/>
              </w:rPr>
            </w:pPr>
            <w:r w:rsidRPr="00846769">
              <w:rPr>
                <w:rFonts w:cstheme="minorHAnsi"/>
              </w:rPr>
              <w:t>Phylum</w:t>
            </w:r>
          </w:p>
        </w:tc>
        <w:tc>
          <w:tcPr>
            <w:tcW w:w="2585" w:type="dxa"/>
            <w:shd w:val="clear" w:color="auto" w:fill="FFFFFF" w:themeFill="background1"/>
          </w:tcPr>
          <w:p w14:paraId="65DEF810" w14:textId="77777777" w:rsidR="00B43163" w:rsidRPr="00846769" w:rsidRDefault="00B43163" w:rsidP="006966B1">
            <w:pPr>
              <w:pStyle w:val="TableText"/>
              <w:rPr>
                <w:rFonts w:cstheme="minorHAnsi"/>
              </w:rPr>
            </w:pPr>
            <w:r w:rsidRPr="00846769">
              <w:rPr>
                <w:rFonts w:cstheme="minorHAnsi"/>
              </w:rPr>
              <w:t>Mollusca</w:t>
            </w:r>
          </w:p>
        </w:tc>
      </w:tr>
      <w:tr w:rsidR="00B43163" w:rsidRPr="00846769" w14:paraId="4B5F6E02" w14:textId="77777777" w:rsidTr="00A04E26">
        <w:trPr>
          <w:cantSplit/>
          <w:tblHeader/>
        </w:trPr>
        <w:tc>
          <w:tcPr>
            <w:tcW w:w="1526" w:type="dxa"/>
            <w:shd w:val="clear" w:color="auto" w:fill="FFFFFF" w:themeFill="background1"/>
          </w:tcPr>
          <w:p w14:paraId="58DB5DAB" w14:textId="77777777" w:rsidR="00B43163" w:rsidRPr="00846769" w:rsidRDefault="00B43163" w:rsidP="006966B1">
            <w:pPr>
              <w:pStyle w:val="TableText"/>
              <w:rPr>
                <w:rFonts w:cstheme="minorHAnsi"/>
              </w:rPr>
            </w:pPr>
            <w:r w:rsidRPr="00846769">
              <w:rPr>
                <w:rFonts w:cstheme="minorHAnsi"/>
              </w:rPr>
              <w:t>Class</w:t>
            </w:r>
          </w:p>
        </w:tc>
        <w:tc>
          <w:tcPr>
            <w:tcW w:w="2585" w:type="dxa"/>
            <w:shd w:val="clear" w:color="auto" w:fill="FFFFFF" w:themeFill="background1"/>
          </w:tcPr>
          <w:p w14:paraId="72A5529E" w14:textId="77777777" w:rsidR="00B43163" w:rsidRPr="00846769" w:rsidRDefault="00B43163" w:rsidP="006966B1">
            <w:pPr>
              <w:pStyle w:val="TableText"/>
              <w:rPr>
                <w:rFonts w:cstheme="minorHAnsi"/>
              </w:rPr>
            </w:pPr>
            <w:r w:rsidRPr="00846769">
              <w:rPr>
                <w:rFonts w:cstheme="minorHAnsi"/>
              </w:rPr>
              <w:t>Bivalvia</w:t>
            </w:r>
          </w:p>
        </w:tc>
      </w:tr>
      <w:tr w:rsidR="00B43163" w:rsidRPr="00846769" w14:paraId="7887318B" w14:textId="77777777" w:rsidTr="00A04E26">
        <w:trPr>
          <w:cantSplit/>
          <w:tblHeader/>
        </w:trPr>
        <w:tc>
          <w:tcPr>
            <w:tcW w:w="1526" w:type="dxa"/>
            <w:shd w:val="clear" w:color="auto" w:fill="FFFFFF" w:themeFill="background1"/>
          </w:tcPr>
          <w:p w14:paraId="270C313F" w14:textId="77777777" w:rsidR="00B43163" w:rsidRPr="00846769" w:rsidRDefault="00B43163" w:rsidP="006966B1">
            <w:pPr>
              <w:pStyle w:val="TableText"/>
              <w:rPr>
                <w:rFonts w:cstheme="minorHAnsi"/>
              </w:rPr>
            </w:pPr>
            <w:r w:rsidRPr="00846769">
              <w:rPr>
                <w:rFonts w:cstheme="minorHAnsi"/>
              </w:rPr>
              <w:t>Order</w:t>
            </w:r>
          </w:p>
        </w:tc>
        <w:tc>
          <w:tcPr>
            <w:tcW w:w="2585" w:type="dxa"/>
            <w:shd w:val="clear" w:color="auto" w:fill="FFFFFF" w:themeFill="background1"/>
          </w:tcPr>
          <w:p w14:paraId="19CA14A8" w14:textId="77777777" w:rsidR="00B43163" w:rsidRPr="00846769" w:rsidRDefault="00B43163" w:rsidP="006966B1">
            <w:pPr>
              <w:pStyle w:val="TableText"/>
              <w:rPr>
                <w:rFonts w:cstheme="minorHAnsi"/>
              </w:rPr>
            </w:pPr>
            <w:proofErr w:type="spellStart"/>
            <w:r w:rsidRPr="00846769">
              <w:rPr>
                <w:rFonts w:cstheme="minorHAnsi"/>
              </w:rPr>
              <w:t>Mytilida</w:t>
            </w:r>
            <w:proofErr w:type="spellEnd"/>
          </w:p>
        </w:tc>
      </w:tr>
      <w:tr w:rsidR="00B43163" w:rsidRPr="00846769" w14:paraId="325B057F" w14:textId="77777777" w:rsidTr="00A04E26">
        <w:trPr>
          <w:cantSplit/>
          <w:tblHeader/>
        </w:trPr>
        <w:tc>
          <w:tcPr>
            <w:tcW w:w="1526" w:type="dxa"/>
            <w:shd w:val="clear" w:color="auto" w:fill="FFFFFF" w:themeFill="background1"/>
          </w:tcPr>
          <w:p w14:paraId="75848A65" w14:textId="77777777" w:rsidR="00B43163" w:rsidRPr="00846769" w:rsidRDefault="00B43163" w:rsidP="006966B1">
            <w:pPr>
              <w:pStyle w:val="TableText"/>
              <w:rPr>
                <w:rFonts w:cstheme="minorHAnsi"/>
              </w:rPr>
            </w:pPr>
            <w:r w:rsidRPr="00846769">
              <w:rPr>
                <w:rFonts w:cstheme="minorHAnsi"/>
              </w:rPr>
              <w:t>Family</w:t>
            </w:r>
          </w:p>
        </w:tc>
        <w:tc>
          <w:tcPr>
            <w:tcW w:w="2585" w:type="dxa"/>
            <w:shd w:val="clear" w:color="auto" w:fill="FFFFFF" w:themeFill="background1"/>
          </w:tcPr>
          <w:p w14:paraId="78BE29EB" w14:textId="77777777" w:rsidR="00B43163" w:rsidRPr="00846769" w:rsidRDefault="00B43163" w:rsidP="006966B1">
            <w:pPr>
              <w:pStyle w:val="TableText"/>
              <w:rPr>
                <w:rFonts w:cstheme="minorHAnsi"/>
              </w:rPr>
            </w:pPr>
            <w:r w:rsidRPr="00846769">
              <w:rPr>
                <w:rFonts w:cstheme="minorHAnsi"/>
              </w:rPr>
              <w:t>Mytilidae</w:t>
            </w:r>
          </w:p>
        </w:tc>
      </w:tr>
      <w:tr w:rsidR="00B43163" w:rsidRPr="00846769" w14:paraId="67E68DE8" w14:textId="77777777" w:rsidTr="00A04E26">
        <w:trPr>
          <w:cantSplit/>
          <w:tblHeader/>
        </w:trPr>
        <w:tc>
          <w:tcPr>
            <w:tcW w:w="1526" w:type="dxa"/>
            <w:shd w:val="clear" w:color="auto" w:fill="FFFFFF" w:themeFill="background1"/>
          </w:tcPr>
          <w:p w14:paraId="68EEACFB" w14:textId="77777777" w:rsidR="00B43163" w:rsidRPr="00846769" w:rsidRDefault="00B43163" w:rsidP="006966B1">
            <w:pPr>
              <w:pStyle w:val="TableText"/>
              <w:rPr>
                <w:rFonts w:cstheme="minorHAnsi"/>
              </w:rPr>
            </w:pPr>
            <w:r w:rsidRPr="00846769">
              <w:rPr>
                <w:rFonts w:cstheme="minorHAnsi"/>
              </w:rPr>
              <w:t>Genus</w:t>
            </w:r>
          </w:p>
        </w:tc>
        <w:tc>
          <w:tcPr>
            <w:tcW w:w="2585" w:type="dxa"/>
            <w:shd w:val="clear" w:color="auto" w:fill="FFFFFF" w:themeFill="background1"/>
          </w:tcPr>
          <w:p w14:paraId="276EFCD7" w14:textId="07249E3D" w:rsidR="00B43163" w:rsidRPr="00846769" w:rsidRDefault="00B43163" w:rsidP="006966B1">
            <w:pPr>
              <w:pStyle w:val="TableText"/>
              <w:rPr>
                <w:rStyle w:val="Emphasis"/>
                <w:rFonts w:cstheme="minorHAnsi"/>
              </w:rPr>
            </w:pPr>
            <w:r w:rsidRPr="00846769">
              <w:rPr>
                <w:rStyle w:val="Emphasis"/>
                <w:rFonts w:cstheme="minorHAnsi"/>
              </w:rPr>
              <w:t>Arcuatula</w:t>
            </w:r>
          </w:p>
        </w:tc>
      </w:tr>
    </w:tbl>
    <w:p w14:paraId="0E2FEA78" w14:textId="77777777" w:rsidR="00F2787C" w:rsidRPr="00846769" w:rsidRDefault="00F2787C" w:rsidP="00F2787C">
      <w:pPr>
        <w:pStyle w:val="Heading5"/>
        <w:spacing w:before="120" w:after="120"/>
        <w:rPr>
          <w:color w:val="262626" w:themeColor="text1" w:themeTint="D9"/>
          <w:sz w:val="24"/>
          <w:szCs w:val="24"/>
        </w:rPr>
      </w:pPr>
      <w:r w:rsidRPr="00846769">
        <w:rPr>
          <w:color w:val="262626" w:themeColor="text1" w:themeTint="D9"/>
          <w:sz w:val="24"/>
          <w:szCs w:val="24"/>
        </w:rPr>
        <w:t>Diagnostic features for identification</w:t>
      </w:r>
    </w:p>
    <w:p w14:paraId="37955BD5" w14:textId="6C4C828C" w:rsidR="0031256C" w:rsidRPr="00846769" w:rsidRDefault="0031256C" w:rsidP="0031256C">
      <w:pPr>
        <w:pStyle w:val="Heading6"/>
        <w:spacing w:after="40"/>
        <w:rPr>
          <w:color w:val="262626" w:themeColor="text1" w:themeTint="D9"/>
        </w:rPr>
      </w:pPr>
      <w:r w:rsidRPr="00846769">
        <w:rPr>
          <w:color w:val="262626" w:themeColor="text1" w:themeTint="D9"/>
        </w:rPr>
        <w:t>Field identification</w:t>
      </w:r>
    </w:p>
    <w:p w14:paraId="26C1738B" w14:textId="29D635A2" w:rsidR="00066BFC" w:rsidRPr="00846769" w:rsidRDefault="00066BFC" w:rsidP="00066BFC">
      <w:r w:rsidRPr="00846769">
        <w:rPr>
          <w:i/>
          <w:iCs/>
        </w:rPr>
        <w:t xml:space="preserve">Arcuatula senhousia </w:t>
      </w:r>
      <w:r w:rsidRPr="00846769">
        <w:t xml:space="preserve">cannot be accurately identified in the field </w:t>
      </w:r>
      <w:r w:rsidR="00993C62" w:rsidRPr="00846769">
        <w:t xml:space="preserve">as it looks morphologically </w:t>
      </w:r>
      <w:proofErr w:type="gramStart"/>
      <w:r w:rsidR="00993C62" w:rsidRPr="00846769">
        <w:t>similar to</w:t>
      </w:r>
      <w:proofErr w:type="gramEnd"/>
      <w:r w:rsidR="00993C62" w:rsidRPr="00846769">
        <w:t xml:space="preserve"> several native </w:t>
      </w:r>
      <w:r w:rsidR="00993C62" w:rsidRPr="00DD01E4">
        <w:t xml:space="preserve">species </w:t>
      </w:r>
      <w:r w:rsidR="00DD03FC">
        <w:t>(</w:t>
      </w:r>
      <w:r w:rsidR="00F0555A" w:rsidRPr="00DD01E4">
        <w:t>MPSC 2018)</w:t>
      </w:r>
      <w:r w:rsidRPr="00DD01E4">
        <w:t>. Identification</w:t>
      </w:r>
      <w:r w:rsidRPr="00846769">
        <w:t xml:space="preserve"> needs confirmation </w:t>
      </w:r>
      <w:r w:rsidR="00DD03FC">
        <w:t>by</w:t>
      </w:r>
      <w:r w:rsidR="00DD03FC" w:rsidRPr="00846769">
        <w:t xml:space="preserve"> </w:t>
      </w:r>
      <w:r w:rsidRPr="00846769">
        <w:t>an experienced taxonomist</w:t>
      </w:r>
      <w:r w:rsidR="00DD03FC">
        <w:t xml:space="preserve"> or via molecular diagnostics</w:t>
      </w:r>
      <w:r w:rsidR="00F0555A" w:rsidRPr="00846769">
        <w:t>.</w:t>
      </w:r>
    </w:p>
    <w:p w14:paraId="63737DFB" w14:textId="19D45E79" w:rsidR="00066BFC" w:rsidRPr="00846769" w:rsidRDefault="00066BFC" w:rsidP="00066BFC">
      <w:r w:rsidRPr="00846769">
        <w:rPr>
          <w:i/>
          <w:iCs/>
        </w:rPr>
        <w:t xml:space="preserve">Arcuatula senhousia </w:t>
      </w:r>
      <w:r w:rsidRPr="00846769">
        <w:t>is a relatively small</w:t>
      </w:r>
      <w:r w:rsidR="00F0555A" w:rsidRPr="00846769">
        <w:t xml:space="preserve">, thin-shelled </w:t>
      </w:r>
      <w:r w:rsidRPr="00846769">
        <w:t xml:space="preserve">mussel </w:t>
      </w:r>
      <w:r w:rsidR="00F0555A" w:rsidRPr="00846769">
        <w:t>with adults growing between 10</w:t>
      </w:r>
      <w:r w:rsidR="003E0CB9">
        <w:rPr>
          <w:rFonts w:cstheme="minorHAnsi"/>
        </w:rPr>
        <w:t>‒</w:t>
      </w:r>
      <w:r w:rsidR="00F0555A" w:rsidRPr="00846769">
        <w:t>32</w:t>
      </w:r>
      <w:r w:rsidR="00DD03FC">
        <w:t> </w:t>
      </w:r>
      <w:r w:rsidR="00F0555A" w:rsidRPr="00846769">
        <w:t>mm in length</w:t>
      </w:r>
      <w:r w:rsidRPr="00846769">
        <w:t xml:space="preserve">. </w:t>
      </w:r>
      <w:r w:rsidR="00F0555A" w:rsidRPr="00846769">
        <w:t>The s</w:t>
      </w:r>
      <w:r w:rsidRPr="00846769">
        <w:t xml:space="preserve">hell is glossy, smooth, and equivalve. </w:t>
      </w:r>
      <w:r w:rsidR="00F0555A" w:rsidRPr="00846769">
        <w:t xml:space="preserve">The beak is near the anterior end, but not terminal. </w:t>
      </w:r>
      <w:r w:rsidRPr="00846769">
        <w:t xml:space="preserve">Shell colour is a dull olive-green or </w:t>
      </w:r>
      <w:proofErr w:type="gramStart"/>
      <w:r w:rsidRPr="00846769">
        <w:t>yellow-brown</w:t>
      </w:r>
      <w:proofErr w:type="gramEnd"/>
      <w:r w:rsidRPr="00846769">
        <w:t>, with concentric purple-brown zigzag markings and red radial striae</w:t>
      </w:r>
      <w:r w:rsidR="00E06D72" w:rsidRPr="00846769">
        <w:t xml:space="preserve"> (</w:t>
      </w:r>
      <w:r w:rsidR="00192097" w:rsidRPr="00846769">
        <w:fldChar w:fldCharType="begin"/>
      </w:r>
      <w:r w:rsidR="00192097" w:rsidRPr="00846769">
        <w:instrText xml:space="preserve"> REF _Ref171944544 \h </w:instrText>
      </w:r>
      <w:r w:rsidR="00192097" w:rsidRPr="00846769">
        <w:fldChar w:fldCharType="separate"/>
      </w:r>
      <w:r w:rsidR="00192097" w:rsidRPr="00846769">
        <w:t>Photo 13</w:t>
      </w:r>
      <w:r w:rsidR="00192097" w:rsidRPr="00846769">
        <w:fldChar w:fldCharType="end"/>
      </w:r>
      <w:r w:rsidR="00E06D72" w:rsidRPr="00846769">
        <w:t xml:space="preserve"> and </w:t>
      </w:r>
      <w:r w:rsidR="00192097" w:rsidRPr="00846769">
        <w:fldChar w:fldCharType="begin"/>
      </w:r>
      <w:r w:rsidR="00192097" w:rsidRPr="00846769">
        <w:instrText xml:space="preserve"> REF _Ref171944549 \h </w:instrText>
      </w:r>
      <w:r w:rsidR="00192097" w:rsidRPr="00846769">
        <w:fldChar w:fldCharType="separate"/>
      </w:r>
      <w:r w:rsidR="00192097" w:rsidRPr="00846769">
        <w:t>Photo 14</w:t>
      </w:r>
      <w:r w:rsidR="00192097" w:rsidRPr="00846769">
        <w:fldChar w:fldCharType="end"/>
      </w:r>
      <w:r w:rsidR="00E06D72" w:rsidRPr="00846769">
        <w:t>)</w:t>
      </w:r>
      <w:r w:rsidRPr="00846769">
        <w:t>. Periostracum colour is brown. Shell sculpture has 6</w:t>
      </w:r>
      <w:r w:rsidR="003637A4">
        <w:rPr>
          <w:rFonts w:cstheme="minorHAnsi"/>
        </w:rPr>
        <w:t>‒</w:t>
      </w:r>
      <w:r w:rsidRPr="00846769">
        <w:t>10 broad radial ridges anteriorly, while the rest of the shell has fine close concentric striae and growth pauses. Anterior to the ligament (below the umbo) there are 8</w:t>
      </w:r>
      <w:r w:rsidR="003637A4">
        <w:rPr>
          <w:rFonts w:cstheme="minorHAnsi"/>
        </w:rPr>
        <w:t>‒</w:t>
      </w:r>
      <w:r w:rsidRPr="00846769">
        <w:t xml:space="preserve">15 knob-like teeth. </w:t>
      </w:r>
    </w:p>
    <w:p w14:paraId="5463287B" w14:textId="19263B6F" w:rsidR="00E06D72" w:rsidRPr="00846769" w:rsidRDefault="00F0555A" w:rsidP="00066BFC">
      <w:r w:rsidRPr="00846769">
        <w:t xml:space="preserve">When this mussel settles on soft surfaces, it can create “bags” from byssal threads which enclose the mussel and whole colonies, creating thick mats of mussels and byssus. </w:t>
      </w:r>
    </w:p>
    <w:p w14:paraId="764C4FCD" w14:textId="442B83AC" w:rsidR="00611CCC" w:rsidRPr="00846769" w:rsidRDefault="00611CCC" w:rsidP="00611CCC">
      <w:pPr>
        <w:pStyle w:val="Caption"/>
      </w:pPr>
      <w:bookmarkStart w:id="637" w:name="_Ref171944544"/>
      <w:bookmarkStart w:id="638" w:name="_Toc191999537"/>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13</w:t>
      </w:r>
      <w:r w:rsidRPr="00846769">
        <w:fldChar w:fldCharType="end"/>
      </w:r>
      <w:bookmarkEnd w:id="637"/>
      <w:r w:rsidRPr="00846769">
        <w:t xml:space="preserve"> Adult </w:t>
      </w:r>
      <w:r w:rsidRPr="00846769">
        <w:rPr>
          <w:rStyle w:val="Emphasis"/>
        </w:rPr>
        <w:t xml:space="preserve">Arcuatula senhousia </w:t>
      </w:r>
      <w:r w:rsidRPr="00846769">
        <w:rPr>
          <w:rStyle w:val="Emphasis"/>
          <w:i w:val="0"/>
          <w:iCs w:val="0"/>
        </w:rPr>
        <w:t>showing the species’ iridescent radiating bands</w:t>
      </w:r>
      <w:bookmarkEnd w:id="638"/>
    </w:p>
    <w:p w14:paraId="6927C86C" w14:textId="468181B4" w:rsidR="00E06D72" w:rsidRPr="00846769" w:rsidRDefault="00E06D72" w:rsidP="00E06D72">
      <w:r w:rsidRPr="00846769">
        <w:rPr>
          <w:noProof/>
        </w:rPr>
        <w:drawing>
          <wp:inline distT="0" distB="0" distL="0" distR="0" wp14:anchorId="7AFBD6AC" wp14:editId="4FF93F47">
            <wp:extent cx="4526280" cy="3234066"/>
            <wp:effectExtent l="0" t="0" r="7620" b="4445"/>
            <wp:docPr id="563294946" name="Picture 4" descr="Coloured photograph showing the outside shell of Arcuatula senhousia laying on the sediment. The shell has iridescent banding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4946" name="Picture 4" descr="Coloured photograph showing the outside shell of Arcuatula senhousia laying on the sediment. The shell has iridescent banding pattern. "/>
                    <pic:cNvPicPr/>
                  </pic:nvPicPr>
                  <pic:blipFill rotWithShape="1">
                    <a:blip r:embed="rId231" cstate="email">
                      <a:extLst>
                        <a:ext uri="{28A0092B-C50C-407E-A947-70E740481C1C}">
                          <a14:useLocalDpi xmlns:a14="http://schemas.microsoft.com/office/drawing/2010/main" val="0"/>
                        </a:ext>
                      </a:extLst>
                    </a:blip>
                    <a:srcRect/>
                    <a:stretch/>
                  </pic:blipFill>
                  <pic:spPr bwMode="auto">
                    <a:xfrm>
                      <a:off x="0" y="0"/>
                      <a:ext cx="4537474" cy="3242064"/>
                    </a:xfrm>
                    <a:prstGeom prst="rect">
                      <a:avLst/>
                    </a:prstGeom>
                    <a:ln>
                      <a:noFill/>
                    </a:ln>
                    <a:extLst>
                      <a:ext uri="{53640926-AAD7-44D8-BBD7-CCE9431645EC}">
                        <a14:shadowObscured xmlns:a14="http://schemas.microsoft.com/office/drawing/2010/main"/>
                      </a:ext>
                    </a:extLst>
                  </pic:spPr>
                </pic:pic>
              </a:graphicData>
            </a:graphic>
          </wp:inline>
        </w:drawing>
      </w:r>
    </w:p>
    <w:p w14:paraId="280E9367" w14:textId="592BD89D" w:rsidR="00E06D72" w:rsidRPr="00846769" w:rsidRDefault="00E06D72" w:rsidP="00E06D72">
      <w:pPr>
        <w:pStyle w:val="FigureTableNoteSource"/>
        <w:spacing w:before="0"/>
      </w:pPr>
      <w:r w:rsidRPr="00846769">
        <w:rPr>
          <w:rStyle w:val="Emphasis"/>
          <w:i w:val="0"/>
          <w:iCs w:val="0"/>
        </w:rPr>
        <w:t>Source:</w:t>
      </w:r>
      <w:r w:rsidRPr="00846769">
        <w:rPr>
          <w:rStyle w:val="Emphasis"/>
        </w:rPr>
        <w:t xml:space="preserve"> </w:t>
      </w:r>
      <w:r w:rsidRPr="00846769">
        <w:t>Simon Grove, Tasmanian Museum and Art Gallery (TMAG)</w:t>
      </w:r>
    </w:p>
    <w:p w14:paraId="51C4CC8D" w14:textId="0FA1E76A" w:rsidR="00611CCC" w:rsidRPr="00846769" w:rsidRDefault="00611CCC" w:rsidP="00611CCC">
      <w:pPr>
        <w:pStyle w:val="Caption"/>
      </w:pPr>
      <w:bookmarkStart w:id="639" w:name="_Ref171944549"/>
      <w:bookmarkStart w:id="640" w:name="_Toc191999538"/>
      <w:r w:rsidRPr="00846769">
        <w:t xml:space="preserve">Photo </w:t>
      </w:r>
      <w:r w:rsidRPr="00846769">
        <w:fldChar w:fldCharType="begin"/>
      </w:r>
      <w:r w:rsidRPr="00846769">
        <w:instrText xml:space="preserve"> SEQ Photo \* ARABIC </w:instrText>
      </w:r>
      <w:r w:rsidRPr="00846769">
        <w:fldChar w:fldCharType="separate"/>
      </w:r>
      <w:r w:rsidR="00300312" w:rsidRPr="00846769">
        <w:t>14</w:t>
      </w:r>
      <w:r w:rsidRPr="00846769">
        <w:fldChar w:fldCharType="end"/>
      </w:r>
      <w:bookmarkEnd w:id="639"/>
      <w:r w:rsidRPr="00846769">
        <w:t xml:space="preserve"> Several </w:t>
      </w:r>
      <w:r w:rsidRPr="00846769">
        <w:rPr>
          <w:i/>
          <w:iCs/>
        </w:rPr>
        <w:t xml:space="preserve">Arcuatula senhousia </w:t>
      </w:r>
      <w:r w:rsidRPr="00846769">
        <w:t>in hand displaying variation in size and patterning</w:t>
      </w:r>
      <w:bookmarkEnd w:id="640"/>
    </w:p>
    <w:p w14:paraId="01AF7FFB" w14:textId="160778EC" w:rsidR="00E06D72" w:rsidRPr="00846769" w:rsidRDefault="00E06D72" w:rsidP="00066BFC">
      <w:r w:rsidRPr="00846769">
        <w:rPr>
          <w:noProof/>
        </w:rPr>
        <w:drawing>
          <wp:inline distT="0" distB="0" distL="0" distR="0" wp14:anchorId="37B6B919" wp14:editId="1EB63AC4">
            <wp:extent cx="4526280" cy="3412980"/>
            <wp:effectExtent l="0" t="0" r="7620" b="0"/>
            <wp:docPr id="740583536" name="Picture 5" descr="Colour photograph of shells of Arcuatula senhousia in a person's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3536" name="Picture 5" descr="Colour photograph of shells of Arcuatula senhousia in a person's hand. "/>
                    <pic:cNvPicPr/>
                  </pic:nvPicPr>
                  <pic:blipFill rotWithShape="1">
                    <a:blip r:embed="rId232" cstate="email">
                      <a:extLst>
                        <a:ext uri="{28A0092B-C50C-407E-A947-70E740481C1C}">
                          <a14:useLocalDpi xmlns:a14="http://schemas.microsoft.com/office/drawing/2010/main" val="0"/>
                        </a:ext>
                      </a:extLst>
                    </a:blip>
                    <a:srcRect/>
                    <a:stretch/>
                  </pic:blipFill>
                  <pic:spPr bwMode="auto">
                    <a:xfrm rot="10800000">
                      <a:off x="0" y="0"/>
                      <a:ext cx="4534140" cy="3418907"/>
                    </a:xfrm>
                    <a:prstGeom prst="rect">
                      <a:avLst/>
                    </a:prstGeom>
                    <a:ln>
                      <a:noFill/>
                    </a:ln>
                    <a:extLst>
                      <a:ext uri="{53640926-AAD7-44D8-BBD7-CCE9431645EC}">
                        <a14:shadowObscured xmlns:a14="http://schemas.microsoft.com/office/drawing/2010/main"/>
                      </a:ext>
                    </a:extLst>
                  </pic:spPr>
                </pic:pic>
              </a:graphicData>
            </a:graphic>
          </wp:inline>
        </w:drawing>
      </w:r>
    </w:p>
    <w:p w14:paraId="668D26B9" w14:textId="77777777" w:rsidR="00E06D72" w:rsidRPr="00846769" w:rsidRDefault="00E06D72" w:rsidP="00E06D72">
      <w:pPr>
        <w:pStyle w:val="FigureTableNoteSource"/>
        <w:spacing w:before="0"/>
      </w:pPr>
      <w:r w:rsidRPr="00846769">
        <w:rPr>
          <w:rStyle w:val="Emphasis"/>
          <w:i w:val="0"/>
          <w:iCs w:val="0"/>
        </w:rPr>
        <w:t>Source:</w:t>
      </w:r>
      <w:r w:rsidRPr="00846769">
        <w:rPr>
          <w:rStyle w:val="Emphasis"/>
        </w:rPr>
        <w:t xml:space="preserve"> </w:t>
      </w:r>
      <w:r w:rsidRPr="00846769">
        <w:t>Simon Grove, Tasmanian Museum and Art Gallery (TMAG)</w:t>
      </w:r>
    </w:p>
    <w:p w14:paraId="1DC86111" w14:textId="77777777" w:rsidR="00E06D72" w:rsidRPr="00846769" w:rsidRDefault="00E06D72" w:rsidP="00E06D72"/>
    <w:p w14:paraId="69BACDED" w14:textId="77777777" w:rsidR="00F2787C" w:rsidRPr="00846769" w:rsidRDefault="00F2787C" w:rsidP="00F2787C">
      <w:pPr>
        <w:pStyle w:val="Heading6"/>
        <w:spacing w:after="40"/>
        <w:rPr>
          <w:color w:val="262626" w:themeColor="text1" w:themeTint="D9"/>
        </w:rPr>
      </w:pPr>
      <w:r w:rsidRPr="00846769">
        <w:rPr>
          <w:color w:val="262626" w:themeColor="text1" w:themeTint="D9"/>
        </w:rPr>
        <w:lastRenderedPageBreak/>
        <w:t>Similar native species</w:t>
      </w:r>
    </w:p>
    <w:p w14:paraId="41BD8AE1" w14:textId="38B3EB6A" w:rsidR="0031256C" w:rsidRPr="00846769" w:rsidRDefault="0031256C" w:rsidP="0031256C">
      <w:pPr>
        <w:rPr>
          <w:rStyle w:val="Emphasis"/>
        </w:rPr>
      </w:pPr>
      <w:r w:rsidRPr="00846769">
        <w:t xml:space="preserve">Adult </w:t>
      </w:r>
      <w:r w:rsidRPr="00846769">
        <w:rPr>
          <w:i/>
          <w:iCs/>
        </w:rPr>
        <w:t xml:space="preserve">A. senhousia </w:t>
      </w:r>
      <w:r w:rsidRPr="00846769">
        <w:t xml:space="preserve">can be confused or misidentified with some native Australian mussels, notably </w:t>
      </w:r>
      <w:proofErr w:type="spellStart"/>
      <w:r w:rsidRPr="00846769">
        <w:rPr>
          <w:rStyle w:val="Emphasis"/>
        </w:rPr>
        <w:t>Amygdalum</w:t>
      </w:r>
      <w:proofErr w:type="spellEnd"/>
      <w:r w:rsidRPr="00846769">
        <w:rPr>
          <w:rStyle w:val="Emphasis"/>
        </w:rPr>
        <w:t xml:space="preserve"> </w:t>
      </w:r>
      <w:r w:rsidRPr="00846769">
        <w:rPr>
          <w:rStyle w:val="Emphasis"/>
          <w:i w:val="0"/>
          <w:iCs w:val="0"/>
        </w:rPr>
        <w:t xml:space="preserve">spp., native </w:t>
      </w:r>
      <w:r w:rsidRPr="00846769">
        <w:rPr>
          <w:rStyle w:val="Emphasis"/>
        </w:rPr>
        <w:t xml:space="preserve">Arcuatula </w:t>
      </w:r>
      <w:proofErr w:type="spellStart"/>
      <w:r w:rsidRPr="00846769">
        <w:rPr>
          <w:rStyle w:val="Emphasis"/>
        </w:rPr>
        <w:t>glaberrima</w:t>
      </w:r>
      <w:proofErr w:type="spellEnd"/>
      <w:r w:rsidRPr="00846769">
        <w:rPr>
          <w:rStyle w:val="Emphasis"/>
        </w:rPr>
        <w:t xml:space="preserve">, Modiolus </w:t>
      </w:r>
      <w:r w:rsidRPr="00846769">
        <w:rPr>
          <w:rStyle w:val="Emphasis"/>
          <w:i w:val="0"/>
          <w:iCs w:val="0"/>
        </w:rPr>
        <w:t xml:space="preserve">spp., and </w:t>
      </w:r>
      <w:r w:rsidRPr="00846769">
        <w:rPr>
          <w:rStyle w:val="Emphasis"/>
        </w:rPr>
        <w:t xml:space="preserve">Musculus </w:t>
      </w:r>
      <w:r w:rsidRPr="00846769">
        <w:rPr>
          <w:rStyle w:val="Emphasis"/>
          <w:i w:val="0"/>
          <w:iCs w:val="0"/>
        </w:rPr>
        <w:t xml:space="preserve">spp. There are also similarities to young individuals of </w:t>
      </w:r>
      <w:r w:rsidRPr="00846769">
        <w:rPr>
          <w:rStyle w:val="Emphasis"/>
        </w:rPr>
        <w:t xml:space="preserve">Mytilus </w:t>
      </w:r>
      <w:proofErr w:type="spellStart"/>
      <w:r w:rsidRPr="00846769">
        <w:rPr>
          <w:rStyle w:val="Emphasis"/>
        </w:rPr>
        <w:t>galloprovincialis</w:t>
      </w:r>
      <w:proofErr w:type="spellEnd"/>
      <w:r w:rsidR="00535014" w:rsidRPr="00846769">
        <w:rPr>
          <w:rStyle w:val="Emphasis"/>
        </w:rPr>
        <w:t xml:space="preserve">, </w:t>
      </w:r>
      <w:proofErr w:type="spellStart"/>
      <w:r w:rsidR="00535014" w:rsidRPr="00846769">
        <w:rPr>
          <w:rStyle w:val="Emphasis"/>
        </w:rPr>
        <w:t>Xenostrobus</w:t>
      </w:r>
      <w:proofErr w:type="spellEnd"/>
      <w:r w:rsidR="00535014" w:rsidRPr="00846769">
        <w:rPr>
          <w:rStyle w:val="Emphasis"/>
        </w:rPr>
        <w:t xml:space="preserve"> </w:t>
      </w:r>
      <w:r w:rsidR="00535014" w:rsidRPr="00846769">
        <w:rPr>
          <w:rStyle w:val="Emphasis"/>
          <w:i w:val="0"/>
          <w:iCs w:val="0"/>
        </w:rPr>
        <w:t xml:space="preserve">spp., and </w:t>
      </w:r>
      <w:proofErr w:type="spellStart"/>
      <w:r w:rsidR="00535014" w:rsidRPr="00846769">
        <w:rPr>
          <w:rStyle w:val="Emphasis"/>
        </w:rPr>
        <w:t>Brachidontes</w:t>
      </w:r>
      <w:proofErr w:type="spellEnd"/>
      <w:r w:rsidR="00535014" w:rsidRPr="00846769">
        <w:rPr>
          <w:rStyle w:val="Emphasis"/>
        </w:rPr>
        <w:t xml:space="preserve"> </w:t>
      </w:r>
      <w:r w:rsidR="00535014" w:rsidRPr="00846769">
        <w:rPr>
          <w:rStyle w:val="Emphasis"/>
          <w:i w:val="0"/>
          <w:iCs w:val="0"/>
        </w:rPr>
        <w:t>spp</w:t>
      </w:r>
      <w:r w:rsidRPr="00846769">
        <w:rPr>
          <w:rStyle w:val="Emphasis"/>
        </w:rPr>
        <w:t xml:space="preserve">. </w:t>
      </w:r>
    </w:p>
    <w:p w14:paraId="0A8BE446" w14:textId="4275F9A1" w:rsidR="003A16C1" w:rsidRPr="00846769" w:rsidRDefault="003A16C1" w:rsidP="0031256C">
      <w:pPr>
        <w:rPr>
          <w:rStyle w:val="Emphasis"/>
          <w:i w:val="0"/>
          <w:iCs w:val="0"/>
        </w:rPr>
      </w:pPr>
      <w:r w:rsidRPr="00846769">
        <w:t xml:space="preserve">Photographs of some similar native bivalves to </w:t>
      </w:r>
      <w:r w:rsidR="006924BC" w:rsidRPr="00846769">
        <w:rPr>
          <w:i/>
          <w:iCs/>
        </w:rPr>
        <w:t>A. senhousia</w:t>
      </w:r>
      <w:r w:rsidRPr="00846769">
        <w:t xml:space="preserve"> can be found at the </w:t>
      </w:r>
      <w:hyperlink r:id="rId233" w:history="1">
        <w:r w:rsidRPr="00846769">
          <w:rPr>
            <w:rStyle w:val="Hyperlink"/>
          </w:rPr>
          <w:t>marine pests website.</w:t>
        </w:r>
      </w:hyperlink>
      <w:r w:rsidRPr="00846769">
        <w:t xml:space="preserve"> </w:t>
      </w:r>
    </w:p>
    <w:p w14:paraId="2DF3964E" w14:textId="23DD9532" w:rsidR="0031256C" w:rsidRPr="00846769" w:rsidRDefault="00F2787C" w:rsidP="0031256C">
      <w:pPr>
        <w:pStyle w:val="Heading6"/>
        <w:spacing w:after="40"/>
        <w:rPr>
          <w:color w:val="262626" w:themeColor="text1" w:themeTint="D9"/>
        </w:rPr>
      </w:pPr>
      <w:r w:rsidRPr="00846769">
        <w:rPr>
          <w:color w:val="262626" w:themeColor="text1" w:themeTint="D9"/>
        </w:rPr>
        <w:t>Laboratory and molecular identification</w:t>
      </w:r>
    </w:p>
    <w:p w14:paraId="13144614" w14:textId="0338FA8A" w:rsidR="005D5B54" w:rsidRPr="002A4808" w:rsidRDefault="005D5B54" w:rsidP="005D5B54">
      <w:pPr>
        <w:rPr>
          <w:lang w:eastAsia="en-AU"/>
        </w:rPr>
      </w:pPr>
      <w:r w:rsidRPr="00846769">
        <w:rPr>
          <w:lang w:eastAsia="en-AU"/>
        </w:rPr>
        <w:t xml:space="preserve">A qPCR assay </w:t>
      </w:r>
      <w:r>
        <w:rPr>
          <w:lang w:eastAsia="en-AU"/>
        </w:rPr>
        <w:t>was</w:t>
      </w:r>
      <w:r w:rsidRPr="00846769">
        <w:rPr>
          <w:lang w:eastAsia="en-AU"/>
        </w:rPr>
        <w:t xml:space="preserve"> for </w:t>
      </w:r>
      <w:r w:rsidRPr="00846769">
        <w:rPr>
          <w:i/>
          <w:iCs/>
          <w:lang w:eastAsia="en-AU"/>
        </w:rPr>
        <w:t>A. senhousia</w:t>
      </w:r>
      <w:r w:rsidRPr="00846769">
        <w:rPr>
          <w:lang w:eastAsia="en-AU"/>
        </w:rPr>
        <w:t xml:space="preserve"> targeting the 28S </w:t>
      </w:r>
      <w:r w:rsidRPr="00D72BF1">
        <w:rPr>
          <w:lang w:eastAsia="en-AU"/>
        </w:rPr>
        <w:t xml:space="preserve">rDNA </w:t>
      </w:r>
      <w:r w:rsidRPr="00933BC7">
        <w:rPr>
          <w:lang w:eastAsia="en-AU"/>
        </w:rPr>
        <w:t xml:space="preserve">gene (Bott &amp; </w:t>
      </w:r>
      <w:proofErr w:type="spellStart"/>
      <w:r w:rsidRPr="00933BC7">
        <w:rPr>
          <w:lang w:eastAsia="en-AU"/>
        </w:rPr>
        <w:t>Giblot-Ducray</w:t>
      </w:r>
      <w:proofErr w:type="spellEnd"/>
      <w:r w:rsidRPr="00933BC7">
        <w:rPr>
          <w:lang w:eastAsia="en-AU"/>
        </w:rPr>
        <w:t xml:space="preserve"> 2011),</w:t>
      </w:r>
      <w:r w:rsidRPr="00D72BF1">
        <w:rPr>
          <w:lang w:eastAsia="en-AU"/>
        </w:rPr>
        <w:t xml:space="preserve"> but</w:t>
      </w:r>
      <w:r>
        <w:rPr>
          <w:lang w:eastAsia="en-AU"/>
        </w:rPr>
        <w:t xml:space="preserve"> detections by this assay in Gladstone, Queensland, where the species is not recorded and was not found in concurrent traditional surveillance, suggested that the assay was non-specific (</w:t>
      </w:r>
      <w:r w:rsidRPr="00246AE3">
        <w:rPr>
          <w:lang w:eastAsia="en-AU"/>
        </w:rPr>
        <w:t>Wiltshire et al. 2019</w:t>
      </w:r>
      <w:r>
        <w:rPr>
          <w:lang w:eastAsia="en-AU"/>
        </w:rPr>
        <w:t>a</w:t>
      </w:r>
      <w:r w:rsidRPr="00246AE3">
        <w:rPr>
          <w:lang w:eastAsia="en-AU"/>
        </w:rPr>
        <w:t>)</w:t>
      </w:r>
      <w:r w:rsidRPr="00846769">
        <w:rPr>
          <w:lang w:eastAsia="en-AU"/>
        </w:rPr>
        <w:t>.</w:t>
      </w:r>
      <w:r>
        <w:rPr>
          <w:lang w:eastAsia="en-AU"/>
        </w:rPr>
        <w:t xml:space="preserve"> Further investigation by Wiltshire et al. (2023) demonstrated that the assay likely cross-reacts with DNA of other Mytilidae, probably native relatives of </w:t>
      </w:r>
      <w:r>
        <w:rPr>
          <w:i/>
          <w:iCs/>
          <w:lang w:eastAsia="en-AU"/>
        </w:rPr>
        <w:t xml:space="preserve">A. senhousia </w:t>
      </w:r>
      <w:r>
        <w:rPr>
          <w:lang w:eastAsia="en-AU"/>
        </w:rPr>
        <w:t>that have not been sequenced and hence are not represented in Gen</w:t>
      </w:r>
      <w:r w:rsidR="00183142">
        <w:rPr>
          <w:lang w:eastAsia="en-AU"/>
        </w:rPr>
        <w:t>B</w:t>
      </w:r>
      <w:r>
        <w:rPr>
          <w:lang w:eastAsia="en-AU"/>
        </w:rPr>
        <w:t>ank or other databases. A new assay</w:t>
      </w:r>
      <w:r w:rsidRPr="000C1C8D">
        <w:t xml:space="preserve"> </w:t>
      </w:r>
      <w:r>
        <w:t>for this species, targeting the COI gene region, has been developed and operationally validated (Wiltshire et al. in pr</w:t>
      </w:r>
      <w:r w:rsidR="00E31076">
        <w:t>ess</w:t>
      </w:r>
      <w:r>
        <w:t xml:space="preserve">). </w:t>
      </w:r>
      <w:r w:rsidRPr="00846769">
        <w:t xml:space="preserve"> </w:t>
      </w:r>
      <w:r>
        <w:t xml:space="preserve">The COI assay shows improved sensitivity for </w:t>
      </w:r>
      <w:r>
        <w:rPr>
          <w:i/>
          <w:iCs/>
        </w:rPr>
        <w:t xml:space="preserve">A. senhousia </w:t>
      </w:r>
      <w:r>
        <w:t>detection in comparison to the 28S assay, as well as being suitably specific for Australian application (</w:t>
      </w:r>
      <w:r w:rsidR="00DD03FC">
        <w:t>Wiltshire et al. in press</w:t>
      </w:r>
      <w:r>
        <w:t>).</w:t>
      </w:r>
    </w:p>
    <w:p w14:paraId="4D516A26" w14:textId="77777777" w:rsidR="0031256C" w:rsidRPr="00846769" w:rsidRDefault="0031256C" w:rsidP="0031256C">
      <w:pPr>
        <w:rPr>
          <w:rFonts w:cstheme="minorHAnsi"/>
        </w:rPr>
      </w:pPr>
      <w:r w:rsidRPr="00846769">
        <w:rPr>
          <w:rFonts w:cstheme="minorHAnsi"/>
        </w:rPr>
        <w:t>Refer to the guidelines for development and validation of assays for marine pests</w:t>
      </w:r>
      <w:r w:rsidRPr="00846769">
        <w:t xml:space="preserve"> for further information</w:t>
      </w:r>
      <w:r w:rsidRPr="00846769">
        <w:rPr>
          <w:rFonts w:cstheme="minorHAnsi"/>
        </w:rPr>
        <w:t xml:space="preserve"> and </w:t>
      </w:r>
      <w:hyperlink r:id="rId234" w:anchor=":~:text=Compendium%20of%20introduced%20marine%20pest%20molecular%20studies%20relevant%20to%20Australia,-Department%20of%20Agriculture&amp;text=This%20compendium%20provides%20a%20central,research%20and%20surveillance%20in%20Australia." w:history="1">
        <w:r w:rsidRPr="00846769">
          <w:rPr>
            <w:rStyle w:val="Hyperlink"/>
            <w:rFonts w:cstheme="minorHAnsi"/>
          </w:rPr>
          <w:t>compendium of introduced marine pest molecular studies relevant to Australia</w:t>
        </w:r>
      </w:hyperlink>
      <w:r w:rsidRPr="00846769">
        <w:rPr>
          <w:rFonts w:cstheme="minorHAnsi"/>
        </w:rPr>
        <w:t>.</w:t>
      </w:r>
    </w:p>
    <w:p w14:paraId="4530DE56" w14:textId="77777777" w:rsidR="000B2EA5" w:rsidRPr="00846769" w:rsidRDefault="000B2EA5" w:rsidP="000B2EA5">
      <w:pPr>
        <w:pStyle w:val="Heading5"/>
        <w:spacing w:after="120"/>
        <w:rPr>
          <w:color w:val="262626" w:themeColor="text1" w:themeTint="D9"/>
          <w:sz w:val="24"/>
          <w:szCs w:val="24"/>
        </w:rPr>
      </w:pPr>
      <w:r w:rsidRPr="00846769">
        <w:rPr>
          <w:color w:val="262626" w:themeColor="text1" w:themeTint="D9"/>
          <w:sz w:val="24"/>
          <w:szCs w:val="24"/>
        </w:rPr>
        <w:t>Life history and ecology</w:t>
      </w:r>
    </w:p>
    <w:p w14:paraId="7ECE6B78" w14:textId="77777777" w:rsidR="000B2EA5" w:rsidRPr="00846769" w:rsidRDefault="000B2EA5" w:rsidP="000B2EA5">
      <w:pPr>
        <w:pStyle w:val="Heading6"/>
        <w:spacing w:after="40"/>
        <w:rPr>
          <w:color w:val="262626" w:themeColor="text1" w:themeTint="D9"/>
        </w:rPr>
      </w:pPr>
      <w:r w:rsidRPr="00846769">
        <w:rPr>
          <w:color w:val="262626" w:themeColor="text1" w:themeTint="D9"/>
        </w:rPr>
        <w:t>Life habit</w:t>
      </w:r>
    </w:p>
    <w:p w14:paraId="51FAF5A5" w14:textId="56A6C311" w:rsidR="000B2EA5" w:rsidRPr="00846769" w:rsidRDefault="000B2EA5" w:rsidP="000B2EA5">
      <w:r w:rsidRPr="00846769">
        <w:rPr>
          <w:i/>
          <w:iCs/>
        </w:rPr>
        <w:t xml:space="preserve">Arcuatula senhousia </w:t>
      </w:r>
      <w:r w:rsidRPr="00846769">
        <w:t>is found in intertidal and subtidal habitats up to 20</w:t>
      </w:r>
      <w:r w:rsidR="003E0CB9">
        <w:rPr>
          <w:rFonts w:cstheme="minorHAnsi"/>
        </w:rPr>
        <w:t>‒</w:t>
      </w:r>
      <w:r w:rsidR="00F10E47" w:rsidRPr="00846769">
        <w:t>30</w:t>
      </w:r>
      <w:r w:rsidRPr="00846769">
        <w:t xml:space="preserve"> m depth</w:t>
      </w:r>
      <w:r w:rsidR="00F10E47" w:rsidRPr="00846769">
        <w:t>. It can settle</w:t>
      </w:r>
      <w:r w:rsidRPr="00846769">
        <w:t xml:space="preserve"> on both soft and hard substrata. Individuals usually settle in groups on soft substrates but can also foul hard substrates at lower densities. When settled on hard substrate, the mussel does not form a protective “bag” of byssus threads as it does on soft substrate. Like many mussels, it is a suspension feeder that consumes organic matter in the water column. </w:t>
      </w:r>
    </w:p>
    <w:p w14:paraId="42E1CFFF" w14:textId="585BF5C2" w:rsidR="00993C62" w:rsidRPr="00D72BF1" w:rsidRDefault="00993C62" w:rsidP="000B2EA5">
      <w:r w:rsidRPr="00846769">
        <w:t xml:space="preserve">Adults have a temperature tolerance range from </w:t>
      </w:r>
      <w:r w:rsidR="003E0CB9">
        <w:rPr>
          <w:rFonts w:cstheme="minorHAnsi"/>
        </w:rPr>
        <w:t>‒</w:t>
      </w:r>
      <w:r w:rsidRPr="00846769">
        <w:t>5 to 32</w:t>
      </w:r>
      <w:r w:rsidRPr="00846769">
        <w:rPr>
          <w:rFonts w:cstheme="minorHAnsi"/>
        </w:rPr>
        <w:t>°</w:t>
      </w:r>
      <w:r w:rsidRPr="00846769">
        <w:t>C. In the laboratory, mortality occurs at 36</w:t>
      </w:r>
      <w:r w:rsidRPr="00846769">
        <w:rPr>
          <w:rFonts w:cstheme="minorHAnsi"/>
        </w:rPr>
        <w:t>°</w:t>
      </w:r>
      <w:r w:rsidRPr="007F3FF4">
        <w:t>C (Guan et al. 1989). Optimal</w:t>
      </w:r>
      <w:r w:rsidRPr="00846769">
        <w:t xml:space="preserve"> temperature for larval development is 10</w:t>
      </w:r>
      <w:r w:rsidRPr="00846769">
        <w:rPr>
          <w:rFonts w:cstheme="minorHAnsi"/>
        </w:rPr>
        <w:t>°</w:t>
      </w:r>
      <w:r w:rsidRPr="00846769">
        <w:t xml:space="preserve">C, with experiments showing that larvae did not enter pediveliger stage or settle </w:t>
      </w:r>
      <w:r w:rsidRPr="00D72BF1">
        <w:t>at 15</w:t>
      </w:r>
      <w:r w:rsidRPr="00D72BF1">
        <w:rPr>
          <w:rFonts w:cstheme="minorHAnsi"/>
        </w:rPr>
        <w:t>°</w:t>
      </w:r>
      <w:r w:rsidRPr="00D72BF1">
        <w:t>C (</w:t>
      </w:r>
      <w:r w:rsidRPr="00634A79">
        <w:t>Kimura &amp; Sekiguchi 199</w:t>
      </w:r>
      <w:r w:rsidR="00D72BF1" w:rsidRPr="00D72BF1">
        <w:t>4</w:t>
      </w:r>
      <w:r w:rsidRPr="00D72BF1">
        <w:t>). Salinity tolerance in adults from North America ranges from 17</w:t>
      </w:r>
      <w:r w:rsidR="003E0CB9" w:rsidRPr="00D72BF1">
        <w:rPr>
          <w:rFonts w:cstheme="minorHAnsi"/>
        </w:rPr>
        <w:t>‒</w:t>
      </w:r>
      <w:r w:rsidRPr="00D72BF1">
        <w:t>37 ppt (</w:t>
      </w:r>
      <w:proofErr w:type="spellStart"/>
      <w:r w:rsidRPr="00634A79">
        <w:t>Zenetos</w:t>
      </w:r>
      <w:proofErr w:type="spellEnd"/>
      <w:r w:rsidRPr="00634A79">
        <w:t xml:space="preserve"> 2016</w:t>
      </w:r>
      <w:r w:rsidRPr="00D72BF1">
        <w:t xml:space="preserve">). </w:t>
      </w:r>
    </w:p>
    <w:p w14:paraId="10E22640" w14:textId="243CF2C6" w:rsidR="000B2EA5" w:rsidRPr="00D72BF1" w:rsidRDefault="000B2EA5" w:rsidP="000B2EA5">
      <w:r w:rsidRPr="00D72BF1">
        <w:t>It</w:t>
      </w:r>
      <w:r w:rsidR="00993C62" w:rsidRPr="00D72BF1">
        <w:t>s</w:t>
      </w:r>
      <w:r w:rsidRPr="00D72BF1">
        <w:t xml:space="preserve"> ability to settle in </w:t>
      </w:r>
      <w:r w:rsidR="00993C62" w:rsidRPr="00D72BF1">
        <w:t xml:space="preserve">high density </w:t>
      </w:r>
      <w:r w:rsidRPr="00D72BF1">
        <w:t xml:space="preserve">aggregations and form ‘byssal mats’ may </w:t>
      </w:r>
      <w:r w:rsidR="00993C62" w:rsidRPr="00D72BF1">
        <w:t xml:space="preserve">facilitate </w:t>
      </w:r>
      <w:r w:rsidRPr="00D72BF1">
        <w:t>compet</w:t>
      </w:r>
      <w:r w:rsidR="00993C62" w:rsidRPr="00D72BF1">
        <w:t>ition</w:t>
      </w:r>
      <w:r w:rsidRPr="00D72BF1">
        <w:t xml:space="preserve"> with, or restrict growth of, other benthic species. On the contrary, the byssal mats may increase infaunal density and species richness as it can provide habitat for many species. </w:t>
      </w:r>
    </w:p>
    <w:p w14:paraId="409FDAA3" w14:textId="1D6658C7" w:rsidR="000B2EA5" w:rsidRPr="00846769" w:rsidRDefault="000B2EA5" w:rsidP="000B2EA5">
      <w:r w:rsidRPr="00D72BF1">
        <w:t>This species does not have many predators because of its habit of living below the substratum surface encased within a byssal bag</w:t>
      </w:r>
      <w:r w:rsidR="00F10E47" w:rsidRPr="00D72BF1">
        <w:t>, and for its predator avoidance behaviours</w:t>
      </w:r>
      <w:r w:rsidRPr="00D72BF1">
        <w:t xml:space="preserve"> (</w:t>
      </w:r>
      <w:proofErr w:type="spellStart"/>
      <w:r w:rsidR="00F10E47" w:rsidRPr="00634A79">
        <w:t>Castorani</w:t>
      </w:r>
      <w:proofErr w:type="spellEnd"/>
      <w:r w:rsidR="00F10E47" w:rsidRPr="00634A79">
        <w:t xml:space="preserve"> &amp; Hovel 201</w:t>
      </w:r>
      <w:r w:rsidR="007F3FF4" w:rsidRPr="00634A79">
        <w:t>6</w:t>
      </w:r>
      <w:r w:rsidRPr="00D72BF1">
        <w:t>). Predators include numerous crab species, predatory snails, buccinid gastropods,</w:t>
      </w:r>
      <w:r w:rsidR="00F10E47" w:rsidRPr="00D72BF1">
        <w:t xml:space="preserve"> rays,</w:t>
      </w:r>
      <w:r w:rsidRPr="00D72BF1">
        <w:t xml:space="preserve"> and migratory ducks</w:t>
      </w:r>
      <w:r w:rsidR="00F10E47" w:rsidRPr="00D72BF1">
        <w:t>.</w:t>
      </w:r>
    </w:p>
    <w:p w14:paraId="4FFDDFD1" w14:textId="77777777" w:rsidR="000B2EA5" w:rsidRPr="00846769" w:rsidRDefault="000B2EA5" w:rsidP="000B2EA5">
      <w:pPr>
        <w:pStyle w:val="Heading6"/>
        <w:spacing w:after="40"/>
        <w:rPr>
          <w:color w:val="262626" w:themeColor="text1" w:themeTint="D9"/>
        </w:rPr>
      </w:pPr>
      <w:r w:rsidRPr="00846769">
        <w:rPr>
          <w:color w:val="262626" w:themeColor="text1" w:themeTint="D9"/>
        </w:rPr>
        <w:t>Reproduction and growth</w:t>
      </w:r>
    </w:p>
    <w:p w14:paraId="017F8DF9" w14:textId="412B1134" w:rsidR="00F10E47" w:rsidRPr="00D72BF1" w:rsidRDefault="00F10E47" w:rsidP="00F10E47">
      <w:r w:rsidRPr="00846769">
        <w:rPr>
          <w:i/>
          <w:iCs/>
        </w:rPr>
        <w:t xml:space="preserve">Arcuatula senhousia </w:t>
      </w:r>
      <w:r w:rsidRPr="00846769">
        <w:t>have separate sexes</w:t>
      </w:r>
      <w:r w:rsidR="00A74327" w:rsidRPr="00846769">
        <w:t xml:space="preserve"> and are broadcast spawners, </w:t>
      </w:r>
      <w:r w:rsidRPr="00846769">
        <w:t>with males and females spawning at t</w:t>
      </w:r>
      <w:r w:rsidRPr="007F3FF4">
        <w:t>he same time. Th</w:t>
      </w:r>
      <w:r w:rsidR="00A74327" w:rsidRPr="007F3FF4">
        <w:t>is</w:t>
      </w:r>
      <w:r w:rsidRPr="007F3FF4">
        <w:t xml:space="preserve"> species is known to have high fecundity</w:t>
      </w:r>
      <w:r w:rsidR="00A74327" w:rsidRPr="007F3FF4">
        <w:t xml:space="preserve"> </w:t>
      </w:r>
      <w:r w:rsidRPr="007F3FF4">
        <w:t xml:space="preserve">with females producing up </w:t>
      </w:r>
      <w:r w:rsidRPr="007F3FF4">
        <w:lastRenderedPageBreak/>
        <w:t xml:space="preserve">to 137,000 </w:t>
      </w:r>
      <w:r w:rsidRPr="00D72BF1">
        <w:t>eggs in a spawning event (</w:t>
      </w:r>
      <w:r w:rsidRPr="00634A79">
        <w:t>Sgro et al. 2002).</w:t>
      </w:r>
      <w:r w:rsidRPr="00D72BF1">
        <w:t xml:space="preserve"> </w:t>
      </w:r>
      <w:r w:rsidR="00A74327" w:rsidRPr="00D72BF1">
        <w:t xml:space="preserve">Reproduction of </w:t>
      </w:r>
      <w:r w:rsidR="00A74327" w:rsidRPr="00D72BF1">
        <w:rPr>
          <w:i/>
          <w:iCs/>
        </w:rPr>
        <w:t xml:space="preserve">A. senhousia </w:t>
      </w:r>
      <w:r w:rsidR="00A74327" w:rsidRPr="00D72BF1">
        <w:t xml:space="preserve">coincides with maximum water temperatures. </w:t>
      </w:r>
      <w:r w:rsidRPr="00D72BF1">
        <w:t>In its native range in Japan, spawning usually occurs when water temperatures are between 22.5</w:t>
      </w:r>
      <w:r w:rsidR="003637A4" w:rsidRPr="00D72BF1">
        <w:rPr>
          <w:rFonts w:cstheme="minorHAnsi"/>
        </w:rPr>
        <w:t>‒</w:t>
      </w:r>
      <w:r w:rsidRPr="00D72BF1">
        <w:t>25.5</w:t>
      </w:r>
      <w:r w:rsidRPr="00D72BF1">
        <w:rPr>
          <w:rFonts w:cstheme="minorHAnsi"/>
        </w:rPr>
        <w:t>°</w:t>
      </w:r>
      <w:r w:rsidRPr="00D72BF1">
        <w:t>C and salinity is &lt;30 ppt (</w:t>
      </w:r>
      <w:r w:rsidRPr="00634A79">
        <w:t xml:space="preserve">Inoue &amp; </w:t>
      </w:r>
      <w:proofErr w:type="spellStart"/>
      <w:r w:rsidRPr="00634A79">
        <w:t>Yamamuro</w:t>
      </w:r>
      <w:proofErr w:type="spellEnd"/>
      <w:r w:rsidRPr="00634A79">
        <w:t xml:space="preserve"> 2000</w:t>
      </w:r>
      <w:r w:rsidRPr="00D72BF1">
        <w:t>). In its invasive range in Italy, spawning usually occurs between 25</w:t>
      </w:r>
      <w:r w:rsidR="003637A4" w:rsidRPr="00D72BF1">
        <w:rPr>
          <w:rFonts w:cstheme="minorHAnsi"/>
        </w:rPr>
        <w:t>‒</w:t>
      </w:r>
      <w:r w:rsidRPr="00D72BF1">
        <w:t>28</w:t>
      </w:r>
      <w:r w:rsidRPr="00D72BF1">
        <w:rPr>
          <w:rFonts w:cstheme="minorHAnsi"/>
        </w:rPr>
        <w:t>°</w:t>
      </w:r>
      <w:r w:rsidRPr="00D72BF1">
        <w:t xml:space="preserve">C (Sgro et al. 2002). </w:t>
      </w:r>
    </w:p>
    <w:p w14:paraId="560546EE" w14:textId="323C73F9" w:rsidR="00F10E47" w:rsidRPr="00D72BF1" w:rsidRDefault="00F10E47" w:rsidP="00F10E47">
      <w:r w:rsidRPr="00D72BF1">
        <w:t xml:space="preserve">The larvae are planktonic and can remain in the plankton for up to 55 days. </w:t>
      </w:r>
      <w:r w:rsidR="00A74327" w:rsidRPr="00D72BF1">
        <w:t>In the laboratory, larvae can reach pediveliger stage in 16 days under rearing temperatures of 25</w:t>
      </w:r>
      <w:r w:rsidR="003E0CB9" w:rsidRPr="00D72BF1">
        <w:rPr>
          <w:rFonts w:cstheme="minorHAnsi"/>
        </w:rPr>
        <w:t>‒</w:t>
      </w:r>
      <w:r w:rsidR="00A74327" w:rsidRPr="00D72BF1">
        <w:t>30</w:t>
      </w:r>
      <w:r w:rsidR="00A74327" w:rsidRPr="00D72BF1">
        <w:rPr>
          <w:rFonts w:cstheme="minorHAnsi"/>
        </w:rPr>
        <w:t>°</w:t>
      </w:r>
      <w:r w:rsidR="00A74327" w:rsidRPr="00D72BF1">
        <w:t>C (</w:t>
      </w:r>
      <w:r w:rsidR="00A74327" w:rsidRPr="00634A79">
        <w:t>Kimura &amp; Sekiguchi 199</w:t>
      </w:r>
      <w:r w:rsidR="00D72BF1" w:rsidRPr="00D72BF1">
        <w:t>4</w:t>
      </w:r>
      <w:r w:rsidR="00A74327" w:rsidRPr="00634A79">
        <w:t>).</w:t>
      </w:r>
      <w:r w:rsidR="00A74327" w:rsidRPr="00D72BF1">
        <w:t xml:space="preserve"> The annual growth rate of larvae from recruitment is 15</w:t>
      </w:r>
      <w:r w:rsidR="003637A4" w:rsidRPr="00D72BF1">
        <w:rPr>
          <w:rFonts w:cstheme="minorHAnsi"/>
        </w:rPr>
        <w:t>‒</w:t>
      </w:r>
      <w:r w:rsidR="00A74327" w:rsidRPr="00D72BF1">
        <w:t>20 mm (</w:t>
      </w:r>
      <w:r w:rsidR="00A74327" w:rsidRPr="00634A79">
        <w:t>Creese et al. 1997</w:t>
      </w:r>
      <w:r w:rsidR="00A74327" w:rsidRPr="00D72BF1">
        <w:t>), and a</w:t>
      </w:r>
      <w:r w:rsidRPr="00D72BF1">
        <w:t>dult size is reached in approximately nine months</w:t>
      </w:r>
      <w:r w:rsidR="00A74327" w:rsidRPr="00D72BF1">
        <w:t>.</w:t>
      </w:r>
      <w:r w:rsidRPr="00D72BF1">
        <w:t xml:space="preserve"> </w:t>
      </w:r>
      <w:r w:rsidR="00A74327" w:rsidRPr="00D72BF1">
        <w:t>The</w:t>
      </w:r>
      <w:r w:rsidRPr="00D72BF1">
        <w:t xml:space="preserve"> lifespan</w:t>
      </w:r>
      <w:r w:rsidR="00A74327" w:rsidRPr="00D72BF1">
        <w:t xml:space="preserve"> of </w:t>
      </w:r>
      <w:r w:rsidR="00A74327" w:rsidRPr="00D72BF1">
        <w:rPr>
          <w:i/>
          <w:iCs/>
        </w:rPr>
        <w:t>A. senhousia</w:t>
      </w:r>
      <w:r w:rsidRPr="00D72BF1">
        <w:t xml:space="preserve"> is typically no longer than two years (</w:t>
      </w:r>
      <w:r w:rsidR="00A74327" w:rsidRPr="00634A79">
        <w:t>Crooks 1996</w:t>
      </w:r>
      <w:r w:rsidRPr="00634A79">
        <w:t>).</w:t>
      </w:r>
      <w:r w:rsidRPr="00D72BF1">
        <w:t xml:space="preserve"> </w:t>
      </w:r>
      <w:r w:rsidR="00A74327" w:rsidRPr="00D72BF1">
        <w:t>Individuals at sizes &gt;20 mm are capable of spawning (</w:t>
      </w:r>
      <w:r w:rsidR="00A74327" w:rsidRPr="00634A79">
        <w:t>Kikuchi &amp; Tanaka 1978).</w:t>
      </w:r>
      <w:r w:rsidR="00A74327" w:rsidRPr="00D72BF1">
        <w:t xml:space="preserve"> </w:t>
      </w:r>
    </w:p>
    <w:p w14:paraId="59802D44" w14:textId="77777777" w:rsidR="000B2EA5" w:rsidRPr="00D72BF1" w:rsidRDefault="000B2EA5" w:rsidP="000B2EA5">
      <w:pPr>
        <w:pStyle w:val="Heading6"/>
        <w:spacing w:after="40"/>
        <w:rPr>
          <w:color w:val="262626" w:themeColor="text1" w:themeTint="D9"/>
        </w:rPr>
      </w:pPr>
      <w:r w:rsidRPr="00D72BF1">
        <w:rPr>
          <w:color w:val="262626" w:themeColor="text1" w:themeTint="D9"/>
        </w:rPr>
        <w:t>Pathways and vectors</w:t>
      </w:r>
    </w:p>
    <w:p w14:paraId="70E20B85" w14:textId="3BF0248C" w:rsidR="00A74327" w:rsidRPr="00D72BF1" w:rsidRDefault="00167927" w:rsidP="00A74327">
      <w:r w:rsidRPr="00D72BF1">
        <w:t xml:space="preserve">The main vectors for </w:t>
      </w:r>
      <w:r w:rsidR="001B4139" w:rsidRPr="00D72BF1">
        <w:t xml:space="preserve">transferring </w:t>
      </w:r>
      <w:r w:rsidRPr="00D72BF1">
        <w:rPr>
          <w:i/>
          <w:iCs/>
        </w:rPr>
        <w:t xml:space="preserve">A. senhousia </w:t>
      </w:r>
      <w:r w:rsidRPr="00D72BF1">
        <w:t xml:space="preserve">are via biofouling on </w:t>
      </w:r>
      <w:r w:rsidR="00160093" w:rsidRPr="00D72BF1">
        <w:t>vessel</w:t>
      </w:r>
      <w:r w:rsidRPr="00D72BF1">
        <w:t xml:space="preserve"> hulls and ballast water</w:t>
      </w:r>
      <w:r w:rsidR="001B4139" w:rsidRPr="00D72BF1">
        <w:t>, which were the likely vectors of introduction of this species into Australia</w:t>
      </w:r>
      <w:r w:rsidRPr="00D72BF1">
        <w:t>.</w:t>
      </w:r>
      <w:r w:rsidR="001B4139" w:rsidRPr="00D72BF1">
        <w:t xml:space="preserve"> It is possible that the </w:t>
      </w:r>
      <w:r w:rsidR="001B4139" w:rsidRPr="00D72BF1">
        <w:rPr>
          <w:i/>
          <w:iCs/>
        </w:rPr>
        <w:t>A.</w:t>
      </w:r>
      <w:r w:rsidR="00070E64">
        <w:rPr>
          <w:i/>
          <w:iCs/>
        </w:rPr>
        <w:t> </w:t>
      </w:r>
      <w:r w:rsidR="001B4139" w:rsidRPr="00D72BF1">
        <w:rPr>
          <w:i/>
          <w:iCs/>
        </w:rPr>
        <w:t xml:space="preserve">senhousia </w:t>
      </w:r>
      <w:r w:rsidR="001B4139" w:rsidRPr="00D72BF1">
        <w:t xml:space="preserve">founder population </w:t>
      </w:r>
      <w:proofErr w:type="gramStart"/>
      <w:r w:rsidR="001B4139" w:rsidRPr="00D72BF1">
        <w:t>was located in</w:t>
      </w:r>
      <w:proofErr w:type="gramEnd"/>
      <w:r w:rsidR="001B4139" w:rsidRPr="00D72BF1">
        <w:t xml:space="preserve"> Port Phillip Bay in the 1970s, despite first records of the species occurring in Western Australia in the 1980s (MPSC 2018). </w:t>
      </w:r>
    </w:p>
    <w:p w14:paraId="58368860" w14:textId="33A23157" w:rsidR="001B4139" w:rsidRPr="00D72BF1" w:rsidRDefault="001B4139" w:rsidP="00A74327">
      <w:r w:rsidRPr="00D72BF1">
        <w:t xml:space="preserve">According to the </w:t>
      </w:r>
      <w:hyperlink r:id="rId235" w:history="1">
        <w:r w:rsidRPr="00D72BF1">
          <w:rPr>
            <w:rStyle w:val="Hyperlink"/>
          </w:rPr>
          <w:t>NCP (2008)</w:t>
        </w:r>
      </w:hyperlink>
      <w:r w:rsidRPr="00D72BF1">
        <w:t xml:space="preserve"> for </w:t>
      </w:r>
      <w:r w:rsidRPr="00D72BF1">
        <w:rPr>
          <w:i/>
          <w:iCs/>
        </w:rPr>
        <w:t xml:space="preserve">A. senhousia, </w:t>
      </w:r>
      <w:r w:rsidRPr="00D72BF1">
        <w:t xml:space="preserve">transfer with aquaculture equipment and seedstock is also considered a high-risk vector for this species. Oyster farming activities may entrain </w:t>
      </w:r>
      <w:r w:rsidRPr="00D72BF1">
        <w:rPr>
          <w:i/>
          <w:iCs/>
        </w:rPr>
        <w:t xml:space="preserve">A. </w:t>
      </w:r>
      <w:r w:rsidR="00B26169" w:rsidRPr="00D72BF1">
        <w:rPr>
          <w:i/>
          <w:iCs/>
        </w:rPr>
        <w:t xml:space="preserve">senhousia </w:t>
      </w:r>
      <w:r w:rsidR="00B26169" w:rsidRPr="00A04E26">
        <w:t>and</w:t>
      </w:r>
      <w:r w:rsidRPr="00D72BF1">
        <w:t xml:space="preserve"> should be considered as a potential secondary pathway of introduction</w:t>
      </w:r>
      <w:r w:rsidR="00A405DF" w:rsidRPr="00D72BF1">
        <w:t>.</w:t>
      </w:r>
      <w:r w:rsidRPr="00D72BF1">
        <w:t xml:space="preserve"> </w:t>
      </w:r>
      <w:r w:rsidR="00B26169" w:rsidRPr="00D72BF1">
        <w:t xml:space="preserve">At localised scales, natural dispersal of larvae via ocean currents and tidal movements is also a likely secondary pathway. Dispersal by wading birds is also a possibility (MPSC 2018). </w:t>
      </w:r>
    </w:p>
    <w:p w14:paraId="25556977" w14:textId="77777777" w:rsidR="000B2EA5" w:rsidRPr="00D72BF1" w:rsidRDefault="000B2EA5" w:rsidP="000B2EA5">
      <w:pPr>
        <w:pStyle w:val="Heading6"/>
        <w:spacing w:after="40"/>
        <w:rPr>
          <w:color w:val="262626" w:themeColor="text1" w:themeTint="D9"/>
        </w:rPr>
      </w:pPr>
      <w:r w:rsidRPr="00D72BF1">
        <w:rPr>
          <w:color w:val="262626" w:themeColor="text1" w:themeTint="D9"/>
        </w:rPr>
        <w:t>Potential impacts</w:t>
      </w:r>
    </w:p>
    <w:p w14:paraId="3CE1EC75" w14:textId="087F8AB0" w:rsidR="00B43163" w:rsidRPr="00D72BF1" w:rsidRDefault="00B26169" w:rsidP="00B43163">
      <w:r w:rsidRPr="00D72BF1">
        <w:rPr>
          <w:i/>
          <w:iCs/>
        </w:rPr>
        <w:t xml:space="preserve">Arcuatula senhousia </w:t>
      </w:r>
      <w:r w:rsidRPr="00D72BF1">
        <w:t>can settle in high density aggregations and form thick byssal mates that may outcompete with or restrict growth of native benthic species and seagrass (</w:t>
      </w:r>
      <w:r w:rsidR="00286468" w:rsidRPr="00D72BF1">
        <w:t>Crooks 1998</w:t>
      </w:r>
      <w:r w:rsidRPr="00D72BF1">
        <w:t xml:space="preserve">). </w:t>
      </w:r>
      <w:r w:rsidR="004451A5" w:rsidRPr="00D72BF1">
        <w:t xml:space="preserve">It can also trap sediment and potentially alter sediment characteristics </w:t>
      </w:r>
      <w:r w:rsidR="004451A5" w:rsidRPr="00634A79">
        <w:t>(</w:t>
      </w:r>
      <w:r w:rsidR="00286468" w:rsidRPr="00634A79">
        <w:t>Takenaka et al. 2018</w:t>
      </w:r>
      <w:r w:rsidR="004451A5" w:rsidRPr="00634A79">
        <w:t>).</w:t>
      </w:r>
      <w:r w:rsidR="004451A5" w:rsidRPr="00D72BF1">
        <w:t xml:space="preserve"> </w:t>
      </w:r>
    </w:p>
    <w:p w14:paraId="04170FF3" w14:textId="601D4DEC" w:rsidR="00B26169" w:rsidRPr="00846769" w:rsidRDefault="004451A5" w:rsidP="00B43163">
      <w:r w:rsidRPr="00D72BF1">
        <w:t xml:space="preserve">A review by </w:t>
      </w:r>
      <w:r w:rsidRPr="00634A79">
        <w:t>Watson et al. (2021)</w:t>
      </w:r>
      <w:r w:rsidRPr="00D72BF1">
        <w:t xml:space="preserve"> found evidence that introduced </w:t>
      </w:r>
      <w:r w:rsidRPr="00D72BF1">
        <w:rPr>
          <w:i/>
          <w:iCs/>
        </w:rPr>
        <w:t xml:space="preserve">A. senhousia </w:t>
      </w:r>
      <w:r w:rsidRPr="00D72BF1">
        <w:t>in the UK attach to concrete tiles and empty bivalve shells. This could have</w:t>
      </w:r>
      <w:r w:rsidRPr="00846769">
        <w:t xml:space="preserve"> implications when considering costs associated with cleaning biofouling, or transfer of mussels via aquaculture stock. </w:t>
      </w:r>
    </w:p>
    <w:p w14:paraId="6CC83CBA" w14:textId="65CD21E4" w:rsidR="00F2787C" w:rsidRPr="00846769" w:rsidRDefault="00B26169" w:rsidP="00F2787C">
      <w:r w:rsidRPr="00846769">
        <w:t xml:space="preserve">In </w:t>
      </w:r>
      <w:r w:rsidRPr="00DD01E4">
        <w:t>Australia, there ha</w:t>
      </w:r>
      <w:r w:rsidR="004451A5" w:rsidRPr="00DD01E4">
        <w:t>ve</w:t>
      </w:r>
      <w:r w:rsidRPr="00DD01E4">
        <w:t xml:space="preserve"> been </w:t>
      </w:r>
      <w:r w:rsidR="004451A5" w:rsidRPr="00DD01E4">
        <w:t xml:space="preserve">few </w:t>
      </w:r>
      <w:r w:rsidRPr="00DD01E4">
        <w:t>observation</w:t>
      </w:r>
      <w:r w:rsidR="004451A5" w:rsidRPr="00DD01E4">
        <w:t>s</w:t>
      </w:r>
      <w:r w:rsidRPr="00DD01E4">
        <w:t xml:space="preserve"> of </w:t>
      </w:r>
      <w:r w:rsidRPr="00DD01E4">
        <w:rPr>
          <w:i/>
          <w:iCs/>
        </w:rPr>
        <w:t xml:space="preserve">A. senhousia </w:t>
      </w:r>
      <w:r w:rsidRPr="00DD01E4">
        <w:t xml:space="preserve">impacts in locations where it has established (MPSC 2018), and no evidence that it has formed ‘smothering anaerobic </w:t>
      </w:r>
      <w:proofErr w:type="gramStart"/>
      <w:r w:rsidRPr="00DD01E4">
        <w:t>mats’</w:t>
      </w:r>
      <w:proofErr w:type="gramEnd"/>
      <w:r w:rsidRPr="00DD01E4">
        <w:t xml:space="preserve">. </w:t>
      </w:r>
    </w:p>
    <w:p w14:paraId="1247B191" w14:textId="77777777" w:rsidR="00F2787C" w:rsidRPr="00846769" w:rsidRDefault="00F2787C" w:rsidP="00F2787C">
      <w:pPr>
        <w:pStyle w:val="Heading5"/>
        <w:spacing w:after="40"/>
        <w:rPr>
          <w:color w:val="262626" w:themeColor="text1" w:themeTint="D9"/>
          <w:sz w:val="24"/>
          <w:szCs w:val="24"/>
        </w:rPr>
      </w:pPr>
      <w:r w:rsidRPr="00846769">
        <w:rPr>
          <w:color w:val="262626" w:themeColor="text1" w:themeTint="D9"/>
          <w:sz w:val="24"/>
          <w:szCs w:val="24"/>
        </w:rPr>
        <w:t>Global and Australian distribution</w:t>
      </w:r>
    </w:p>
    <w:p w14:paraId="08F5E9DD" w14:textId="704B9D2F" w:rsidR="00412E81" w:rsidRPr="00846769" w:rsidRDefault="00412E81" w:rsidP="00167927">
      <w:r w:rsidRPr="00846769">
        <w:rPr>
          <w:i/>
          <w:iCs/>
        </w:rPr>
        <w:t xml:space="preserve">Arcuatula senhousia </w:t>
      </w:r>
      <w:r w:rsidRPr="00846769">
        <w:t xml:space="preserve">is native to the western Pacific Ocean, extending from the far eastern coasts of Russia southward to Singapore. It is common in lagoons of Sakhalin Island, Japan, Korea, and China </w:t>
      </w:r>
      <w:r w:rsidRPr="00634A79">
        <w:t>(Kovalev et al. 2017</w:t>
      </w:r>
      <w:r w:rsidRPr="00D72BF1">
        <w:t>). It has been</w:t>
      </w:r>
      <w:r w:rsidRPr="00846769">
        <w:t xml:space="preserve"> extensively introduced to numerous locations globally</w:t>
      </w:r>
      <w:r w:rsidR="002A34A4" w:rsidRPr="00846769">
        <w:t xml:space="preserve"> (</w:t>
      </w:r>
      <w:r w:rsidR="008D0A24">
        <w:fldChar w:fldCharType="begin"/>
      </w:r>
      <w:r w:rsidR="008D0A24">
        <w:instrText xml:space="preserve"> REF _Ref189508669 \h </w:instrText>
      </w:r>
      <w:r w:rsidR="008D0A24">
        <w:fldChar w:fldCharType="separate"/>
      </w:r>
      <w:r w:rsidR="008D0A24">
        <w:t xml:space="preserve">Map </w:t>
      </w:r>
      <w:r w:rsidR="008D0A24">
        <w:rPr>
          <w:noProof/>
        </w:rPr>
        <w:t>9</w:t>
      </w:r>
      <w:r w:rsidR="008D0A24">
        <w:fldChar w:fldCharType="end"/>
      </w:r>
      <w:r w:rsidR="00611CCC" w:rsidRPr="00846769">
        <w:rPr>
          <w:highlight w:val="yellow"/>
        </w:rPr>
        <w:fldChar w:fldCharType="begin"/>
      </w:r>
      <w:r w:rsidR="00611CCC" w:rsidRPr="00846769">
        <w:instrText xml:space="preserve"> REF _Ref171944591 \h </w:instrText>
      </w:r>
      <w:r w:rsidR="00611CCC" w:rsidRPr="00846769">
        <w:rPr>
          <w:highlight w:val="yellow"/>
        </w:rPr>
      </w:r>
      <w:r w:rsidR="00611CCC" w:rsidRPr="00846769">
        <w:rPr>
          <w:highlight w:val="yellow"/>
        </w:rPr>
        <w:fldChar w:fldCharType="separate"/>
      </w:r>
      <w:r w:rsidR="00611CCC" w:rsidRPr="00846769">
        <w:rPr>
          <w:highlight w:val="yellow"/>
        </w:rPr>
        <w:fldChar w:fldCharType="end"/>
      </w:r>
      <w:r w:rsidR="002A34A4" w:rsidRPr="00846769">
        <w:t xml:space="preserve">). </w:t>
      </w:r>
      <w:r w:rsidR="00167927" w:rsidRPr="00846769">
        <w:t>It has been introduced to the USA, the Mediterranean, New Zealand, and Australia. In Australia, it is found in Victoria, South Australia, Tasmania and Western Australia.</w:t>
      </w:r>
      <w:r w:rsidR="00362649">
        <w:t xml:space="preserve"> </w:t>
      </w:r>
      <w:r w:rsidR="00167927" w:rsidRPr="00846769">
        <w:t xml:space="preserve"> There have also been detections in India and West Africa. </w:t>
      </w:r>
      <w:r w:rsidR="00362649" w:rsidRPr="00DD01E4">
        <w:t xml:space="preserve">In some locations, populations of </w:t>
      </w:r>
      <w:r w:rsidR="00362649" w:rsidRPr="00DD01E4">
        <w:rPr>
          <w:i/>
          <w:iCs/>
        </w:rPr>
        <w:t xml:space="preserve">A. senhousia </w:t>
      </w:r>
      <w:r w:rsidR="00362649" w:rsidRPr="00DD01E4">
        <w:t>have died out (such as in</w:t>
      </w:r>
      <w:r w:rsidR="00362649">
        <w:t xml:space="preserve"> South Australia, </w:t>
      </w:r>
      <w:r w:rsidR="00362649" w:rsidRPr="00DD01E4">
        <w:t>Western Australia or Auckland) or dwindled (such as in Tasmania; MPSC 2018).</w:t>
      </w:r>
      <w:r w:rsidR="00362649" w:rsidRPr="00846769">
        <w:t xml:space="preserve"> </w:t>
      </w:r>
      <w:r w:rsidR="008D0A24" w:rsidRPr="008D0A24">
        <w:t xml:space="preserve"> </w:t>
      </w:r>
      <w:r w:rsidR="008D0A24">
        <w:t xml:space="preserve">Species range mapping from ABARES shows that the whole of Australia is potentially suitable for </w:t>
      </w:r>
      <w:r w:rsidR="008D0A24">
        <w:rPr>
          <w:i/>
          <w:iCs/>
        </w:rPr>
        <w:t>A.</w:t>
      </w:r>
      <w:r w:rsidR="00070E64">
        <w:rPr>
          <w:i/>
          <w:iCs/>
        </w:rPr>
        <w:t> </w:t>
      </w:r>
      <w:r w:rsidR="008D0A24">
        <w:rPr>
          <w:i/>
          <w:iCs/>
        </w:rPr>
        <w:t xml:space="preserve">senhousia </w:t>
      </w:r>
      <w:r w:rsidR="008D0A24">
        <w:t>establishment (</w:t>
      </w:r>
      <w:r w:rsidR="008D0A24">
        <w:fldChar w:fldCharType="begin"/>
      </w:r>
      <w:r w:rsidR="008D0A24">
        <w:instrText xml:space="preserve"> REF _Ref189508935 \h </w:instrText>
      </w:r>
      <w:r w:rsidR="008D0A24">
        <w:fldChar w:fldCharType="separate"/>
      </w:r>
      <w:r w:rsidR="008D0A24">
        <w:t xml:space="preserve">Map </w:t>
      </w:r>
      <w:r w:rsidR="008D0A24">
        <w:rPr>
          <w:noProof/>
        </w:rPr>
        <w:t>10</w:t>
      </w:r>
      <w:r w:rsidR="008D0A24">
        <w:fldChar w:fldCharType="end"/>
      </w:r>
      <w:r w:rsidR="008D0A24">
        <w:t>).</w:t>
      </w:r>
    </w:p>
    <w:p w14:paraId="1AE8DCCB" w14:textId="506CF340" w:rsidR="008D0A24" w:rsidRDefault="008D0A24" w:rsidP="008D0A24">
      <w:pPr>
        <w:pStyle w:val="Caption"/>
      </w:pPr>
      <w:bookmarkStart w:id="641" w:name="_Ref189508669"/>
      <w:bookmarkStart w:id="642" w:name="_Toc191999563"/>
      <w:r>
        <w:lastRenderedPageBreak/>
        <w:t xml:space="preserve">Map </w:t>
      </w:r>
      <w:r>
        <w:fldChar w:fldCharType="begin"/>
      </w:r>
      <w:r>
        <w:instrText xml:space="preserve"> SEQ Map \* ARABIC </w:instrText>
      </w:r>
      <w:r>
        <w:fldChar w:fldCharType="separate"/>
      </w:r>
      <w:r>
        <w:rPr>
          <w:noProof/>
        </w:rPr>
        <w:t>9</w:t>
      </w:r>
      <w:r>
        <w:fldChar w:fldCharType="end"/>
      </w:r>
      <w:bookmarkEnd w:id="641"/>
      <w:r>
        <w:t xml:space="preserve"> </w:t>
      </w:r>
      <w:r w:rsidRPr="00846769">
        <w:t xml:space="preserve">Known global distribution of </w:t>
      </w:r>
      <w:r w:rsidRPr="00846769">
        <w:rPr>
          <w:i/>
          <w:iCs/>
        </w:rPr>
        <w:t>Arcuatula senhousia</w:t>
      </w:r>
      <w:bookmarkEnd w:id="642"/>
    </w:p>
    <w:p w14:paraId="277E7E44" w14:textId="77777777" w:rsidR="000B2EA5" w:rsidRPr="00846769" w:rsidRDefault="000B2EA5" w:rsidP="000B2EA5">
      <w:r w:rsidRPr="00846769">
        <w:rPr>
          <w:noProof/>
        </w:rPr>
        <w:drawing>
          <wp:inline distT="0" distB="0" distL="0" distR="0" wp14:anchorId="45087988" wp14:editId="29362F02">
            <wp:extent cx="5721369" cy="2834005"/>
            <wp:effectExtent l="0" t="0" r="0" b="4445"/>
            <wp:docPr id="849272389" name="Picture 4" descr="Greyscale world map for the known global distribution of Arcuatula senhousia. Distribution is shown in blue circles, yellow diamonds and red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72389" name="Picture 4" descr="Greyscale world map for the known global distribution of Arcuatula senhousia. Distribution is shown in blue circles, yellow diamonds and red triangles. "/>
                    <pic:cNvPicPr/>
                  </pic:nvPicPr>
                  <pic:blipFill>
                    <a:blip r:embed="rId236" cstate="email">
                      <a:extLst>
                        <a:ext uri="{28A0092B-C50C-407E-A947-70E740481C1C}">
                          <a14:useLocalDpi xmlns:a14="http://schemas.microsoft.com/office/drawing/2010/main" val="0"/>
                        </a:ext>
                      </a:extLst>
                    </a:blip>
                    <a:stretch>
                      <a:fillRect/>
                    </a:stretch>
                  </pic:blipFill>
                  <pic:spPr>
                    <a:xfrm>
                      <a:off x="0" y="0"/>
                      <a:ext cx="5721369" cy="2834005"/>
                    </a:xfrm>
                    <a:prstGeom prst="rect">
                      <a:avLst/>
                    </a:prstGeom>
                  </pic:spPr>
                </pic:pic>
              </a:graphicData>
            </a:graphic>
          </wp:inline>
        </w:drawing>
      </w:r>
    </w:p>
    <w:p w14:paraId="3FD50DCB" w14:textId="265630DD" w:rsidR="000B2EA5" w:rsidRDefault="000B2EA5" w:rsidP="00167927">
      <w:pPr>
        <w:pStyle w:val="FigureTableNoteSource"/>
      </w:pPr>
      <w:r w:rsidRPr="00846769">
        <w:rPr>
          <w:rStyle w:val="Emphasis"/>
          <w:b/>
          <w:bCs/>
          <w:i w:val="0"/>
          <w:iCs w:val="0"/>
        </w:rPr>
        <w:t>Data source:</w:t>
      </w:r>
      <w:r w:rsidRPr="00846769">
        <w:rPr>
          <w:rFonts w:ascii="Helvetica" w:hAnsi="Helvetica" w:cs="Times New Roman"/>
          <w:color w:val="4E565F"/>
          <w:sz w:val="21"/>
          <w:szCs w:val="21"/>
        </w:rPr>
        <w:t xml:space="preserve"> </w:t>
      </w:r>
      <w:r w:rsidRPr="00846769">
        <w:t>GBIF.org (</w:t>
      </w:r>
      <w:r w:rsidR="00491BF2" w:rsidRPr="00846769">
        <w:t>22</w:t>
      </w:r>
      <w:r w:rsidRPr="00846769">
        <w:t xml:space="preserve"> May 2024)</w:t>
      </w:r>
      <w:r w:rsidR="00491BF2" w:rsidRPr="00846769">
        <w:t>.</w:t>
      </w:r>
      <w:r w:rsidRPr="00846769">
        <w:t xml:space="preserve"> GBIF Occurrence Download: </w:t>
      </w:r>
      <w:hyperlink r:id="rId237" w:history="1">
        <w:r w:rsidR="008D0A24" w:rsidRPr="00E642E2">
          <w:rPr>
            <w:rStyle w:val="Hyperlink"/>
            <w:sz w:val="18"/>
          </w:rPr>
          <w:t>https://doi.org/10.15468/dl.dd9hjd</w:t>
        </w:r>
      </w:hyperlink>
    </w:p>
    <w:p w14:paraId="6E6DB9F7" w14:textId="35527FA0" w:rsidR="008D0A24" w:rsidRDefault="008D0A24" w:rsidP="008D0A24">
      <w:pPr>
        <w:pStyle w:val="Caption"/>
      </w:pPr>
      <w:bookmarkStart w:id="643" w:name="_Ref189508935"/>
      <w:bookmarkStart w:id="644" w:name="_Toc191999564"/>
      <w:r>
        <w:t xml:space="preserve">Map </w:t>
      </w:r>
      <w:r>
        <w:fldChar w:fldCharType="begin"/>
      </w:r>
      <w:r>
        <w:instrText xml:space="preserve"> SEQ Map \* ARABIC </w:instrText>
      </w:r>
      <w:r>
        <w:fldChar w:fldCharType="separate"/>
      </w:r>
      <w:r>
        <w:rPr>
          <w:noProof/>
        </w:rPr>
        <w:t>10</w:t>
      </w:r>
      <w:r>
        <w:fldChar w:fldCharType="end"/>
      </w:r>
      <w:bookmarkEnd w:id="643"/>
      <w:r>
        <w:t xml:space="preserve"> Maximum potential range of </w:t>
      </w:r>
      <w:r>
        <w:rPr>
          <w:i/>
          <w:iCs/>
        </w:rPr>
        <w:t xml:space="preserve">Arcuatula senhousia </w:t>
      </w:r>
      <w:r>
        <w:t>in Australian waters, indicating areas of potential suitability in red</w:t>
      </w:r>
      <w:bookmarkEnd w:id="644"/>
    </w:p>
    <w:p w14:paraId="7E4F8851" w14:textId="6FF4AA8F" w:rsidR="008D0A24" w:rsidRDefault="008D0A24" w:rsidP="008D0A24">
      <w:r>
        <w:rPr>
          <w:noProof/>
        </w:rPr>
        <w:drawing>
          <wp:inline distT="0" distB="0" distL="0" distR="0" wp14:anchorId="0966B8C4" wp14:editId="335A45D8">
            <wp:extent cx="5600700" cy="3914775"/>
            <wp:effectExtent l="0" t="0" r="0" b="9525"/>
            <wp:docPr id="1156169637" name="Picture 6" descr="Red map of Australia showing the potential range for Arcuatula senho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69637" name="Picture 6" descr="Red map of Australia showing the potential range for Arcuatula senhousia."/>
                    <pic:cNvPicPr>
                      <a:picLocks noChangeAspect="1" noChangeArrowheads="1"/>
                    </pic:cNvPicPr>
                  </pic:nvPicPr>
                  <pic:blipFill rotWithShape="1">
                    <a:blip r:embed="rId238" cstate="email">
                      <a:extLst>
                        <a:ext uri="{28A0092B-C50C-407E-A947-70E740481C1C}">
                          <a14:useLocalDpi xmlns:a14="http://schemas.microsoft.com/office/drawing/2010/main" val="0"/>
                        </a:ext>
                      </a:extLst>
                    </a:blip>
                    <a:srcRect/>
                    <a:stretch/>
                  </pic:blipFill>
                  <pic:spPr bwMode="auto">
                    <a:xfrm>
                      <a:off x="0" y="0"/>
                      <a:ext cx="5600700"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26158958" w14:textId="77777777" w:rsidR="008D0A24" w:rsidRPr="00F4447C" w:rsidRDefault="008D0A24" w:rsidP="008D0A24">
      <w:pPr>
        <w:pStyle w:val="FigureTableNoteSource"/>
      </w:pPr>
      <w:r w:rsidRPr="00846769">
        <w:rPr>
          <w:rStyle w:val="Emphasis"/>
          <w:b/>
          <w:bCs/>
          <w:i w:val="0"/>
          <w:iCs w:val="0"/>
        </w:rPr>
        <w:t>Data source</w:t>
      </w:r>
      <w:r w:rsidRPr="00846769">
        <w:rPr>
          <w:rStyle w:val="Emphasis"/>
          <w:i w:val="0"/>
          <w:iCs w:val="0"/>
        </w:rPr>
        <w:t>:</w:t>
      </w:r>
      <w:r w:rsidRPr="00846769">
        <w:rPr>
          <w:rStyle w:val="Emphasis"/>
        </w:rPr>
        <w:t xml:space="preserve"> </w:t>
      </w:r>
      <w:r>
        <w:rPr>
          <w:rStyle w:val="Emphasis"/>
          <w:i w:val="0"/>
          <w:iCs w:val="0"/>
        </w:rPr>
        <w:t>Australian Bureau of Agricultural and Resource Economics and Sciences (</w:t>
      </w:r>
      <w:r>
        <w:t>ABARES) 2021</w:t>
      </w:r>
    </w:p>
    <w:p w14:paraId="6373D347" w14:textId="77777777" w:rsidR="00F2787C" w:rsidRPr="00846769" w:rsidRDefault="00F2787C" w:rsidP="00F2787C">
      <w:pPr>
        <w:pStyle w:val="Heading5"/>
        <w:spacing w:before="40" w:after="40"/>
        <w:ind w:left="851" w:hanging="851"/>
        <w:rPr>
          <w:rFonts w:cstheme="minorHAnsi"/>
        </w:rPr>
      </w:pPr>
      <w:r w:rsidRPr="00846769">
        <w:rPr>
          <w:rFonts w:cstheme="minorHAnsi"/>
        </w:rPr>
        <w:lastRenderedPageBreak/>
        <w:t>Invasion history</w:t>
      </w:r>
    </w:p>
    <w:p w14:paraId="577B240D" w14:textId="1FDA1853" w:rsidR="00167927" w:rsidRPr="004E6582" w:rsidRDefault="00DD03FC" w:rsidP="00167927">
      <w:r>
        <w:t>The</w:t>
      </w:r>
      <w:r w:rsidRPr="00846769">
        <w:t xml:space="preserve"> </w:t>
      </w:r>
      <w:r w:rsidR="00167927" w:rsidRPr="00846769">
        <w:t xml:space="preserve">first </w:t>
      </w:r>
      <w:r w:rsidR="00167927" w:rsidRPr="004E6582">
        <w:t xml:space="preserve">recorded invasion </w:t>
      </w:r>
      <w:r>
        <w:t xml:space="preserve">of </w:t>
      </w:r>
      <w:r>
        <w:rPr>
          <w:i/>
          <w:iCs/>
        </w:rPr>
        <w:t xml:space="preserve">A. senhousia </w:t>
      </w:r>
      <w:r w:rsidR="00167927" w:rsidRPr="004E6582">
        <w:t>was in the Pacific coast of North America in 1920s (</w:t>
      </w:r>
      <w:r w:rsidR="00C44569" w:rsidRPr="004E6582">
        <w:t>Carlton 1979</w:t>
      </w:r>
      <w:r w:rsidR="00167927" w:rsidRPr="004E6582">
        <w:t>). In the 1970s, it was first recorded in the southern hemisphere in New Zealand (</w:t>
      </w:r>
      <w:r w:rsidR="00167927" w:rsidRPr="00634A79">
        <w:t>Willan 1985</w:t>
      </w:r>
      <w:r w:rsidR="00167927" w:rsidRPr="004E6582">
        <w:t>). Since 1989, it has been reported throughout European coastlines including the Mediterranean Sea, the Black Sea, in the Atlantic Ocean, in the UK, and in the Netherlands (</w:t>
      </w:r>
      <w:r w:rsidR="00167927" w:rsidRPr="00634A79">
        <w:t>Massé et al. 2022</w:t>
      </w:r>
      <w:r w:rsidR="00167927" w:rsidRPr="004E6582">
        <w:t xml:space="preserve">). </w:t>
      </w:r>
    </w:p>
    <w:p w14:paraId="2A22EBA7" w14:textId="77777777" w:rsidR="00167927" w:rsidRPr="004E6582" w:rsidRDefault="00167927" w:rsidP="00167927">
      <w:r w:rsidRPr="004E6582">
        <w:t>In 2016, it was recorded in the southeast coast of India in Palk Bay and is possibly established there (</w:t>
      </w:r>
      <w:r w:rsidRPr="00634A79">
        <w:t>Behera et al. 2019</w:t>
      </w:r>
      <w:r w:rsidRPr="004E6582">
        <w:t xml:space="preserve">). In 2018, a single specimen of </w:t>
      </w:r>
      <w:r w:rsidRPr="004E6582">
        <w:rPr>
          <w:i/>
          <w:iCs/>
        </w:rPr>
        <w:t xml:space="preserve">A. senhousia </w:t>
      </w:r>
      <w:r w:rsidRPr="004E6582">
        <w:t>was recorded in Guinea-Bissau, West Africa, but it seems unlikely that it has established at this location (</w:t>
      </w:r>
      <w:r w:rsidRPr="00634A79">
        <w:t>Louren</w:t>
      </w:r>
      <w:r w:rsidRPr="00634A79">
        <w:rPr>
          <w:rFonts w:cstheme="minorHAnsi"/>
        </w:rPr>
        <w:t>ç</w:t>
      </w:r>
      <w:r w:rsidRPr="00634A79">
        <w:t>o et al. 2018</w:t>
      </w:r>
      <w:r w:rsidRPr="004E6582">
        <w:t xml:space="preserve">). </w:t>
      </w:r>
    </w:p>
    <w:p w14:paraId="422BD6D7" w14:textId="0CE3F28F" w:rsidR="00183142" w:rsidRPr="00846769" w:rsidRDefault="00167927" w:rsidP="00167927">
      <w:r w:rsidRPr="004E6582">
        <w:t xml:space="preserve">In Australia, </w:t>
      </w:r>
      <w:r w:rsidRPr="004E6582">
        <w:rPr>
          <w:i/>
          <w:iCs/>
        </w:rPr>
        <w:t xml:space="preserve">A. senhousia </w:t>
      </w:r>
      <w:r w:rsidRPr="004E6582">
        <w:t>was first recorded in the Swan Estuary, Western Australia, in the 1980s (</w:t>
      </w:r>
      <w:r w:rsidRPr="00634A79">
        <w:t>Slack-Smith &amp; Brearly 1987</w:t>
      </w:r>
      <w:r w:rsidRPr="004E6582">
        <w:t xml:space="preserve">). The population in Western Australia </w:t>
      </w:r>
      <w:r w:rsidR="00183142" w:rsidRPr="004E6582">
        <w:t xml:space="preserve">was believed </w:t>
      </w:r>
      <w:r w:rsidRPr="004E6582">
        <w:t>extinct after a rainfall event and toxic cyanobacterial algal bloom in 2000 (</w:t>
      </w:r>
      <w:r w:rsidRPr="00634A79">
        <w:t>McDonald &amp; Wells 2010</w:t>
      </w:r>
      <w:proofErr w:type="gramStart"/>
      <w:r w:rsidRPr="004E6582">
        <w:t>)</w:t>
      </w:r>
      <w:r w:rsidR="00183142" w:rsidRPr="004E6582">
        <w:t>, but</w:t>
      </w:r>
      <w:proofErr w:type="gramEnd"/>
      <w:r w:rsidR="00183142" w:rsidRPr="004E6582">
        <w:t xml:space="preserve"> has since re-emerged </w:t>
      </w:r>
      <w:r w:rsidR="00362E59" w:rsidRPr="004E6582">
        <w:t xml:space="preserve">in the Swan River and Port of Fremantle </w:t>
      </w:r>
      <w:r w:rsidR="00183142" w:rsidRPr="004E6582">
        <w:t>(</w:t>
      </w:r>
      <w:r w:rsidR="00183142" w:rsidRPr="00634A79">
        <w:t>Wiltshire et al. 2020</w:t>
      </w:r>
      <w:r w:rsidR="00183142" w:rsidRPr="004E6582">
        <w:t xml:space="preserve">). </w:t>
      </w:r>
      <w:r w:rsidRPr="004E6582">
        <w:t>It was also recorded in Victoria in the 1980s in Port Phillip Bay, Western Port Bay, and Portland Harbour (</w:t>
      </w:r>
      <w:r w:rsidR="00246AE3" w:rsidRPr="00634A79">
        <w:t>Parry et al.</w:t>
      </w:r>
      <w:r w:rsidRPr="00634A79">
        <w:t xml:space="preserve"> 1996).</w:t>
      </w:r>
      <w:r w:rsidRPr="004E6582">
        <w:t xml:space="preserve"> In 1995, it was reported in the Tamar River in northern Tasmania (</w:t>
      </w:r>
      <w:r w:rsidRPr="00634A79">
        <w:t>Smith 1995</w:t>
      </w:r>
      <w:r w:rsidRPr="004E6582">
        <w:t>)</w:t>
      </w:r>
      <w:r w:rsidR="00183142" w:rsidRPr="004E6582">
        <w:t xml:space="preserve"> and is now present at several locations in north-east Tasmania and in the vicinity of Kettering (</w:t>
      </w:r>
      <w:r w:rsidR="00183142" w:rsidRPr="00634A79">
        <w:t>Grove 2018</w:t>
      </w:r>
      <w:r w:rsidR="00183142" w:rsidRPr="004E6582">
        <w:t>). In 1996, it was recorded in Port Adelaide in South Australia, but despite being widespread in 2001, the species was undetected in 2007</w:t>
      </w:r>
      <w:r w:rsidR="003E0CB9" w:rsidRPr="004E6582">
        <w:rPr>
          <w:rFonts w:cstheme="minorHAnsi"/>
        </w:rPr>
        <w:t>‒0</w:t>
      </w:r>
      <w:r w:rsidR="00183142" w:rsidRPr="004E6582">
        <w:t>8 surveys (</w:t>
      </w:r>
      <w:r w:rsidR="008D0A24" w:rsidRPr="00634A79">
        <w:t xml:space="preserve">Rowling 2009; </w:t>
      </w:r>
      <w:r w:rsidR="00183142" w:rsidRPr="00634A79">
        <w:t xml:space="preserve">Wiltshire et al. 2010). </w:t>
      </w:r>
      <w:r w:rsidR="00183142" w:rsidRPr="004E6582">
        <w:t>The species has not been detected in Port Adelaide by subsequent traditional (</w:t>
      </w:r>
      <w:r w:rsidR="00183142" w:rsidRPr="00634A79">
        <w:t xml:space="preserve">Wiltshire </w:t>
      </w:r>
      <w:r w:rsidR="004778EE" w:rsidRPr="00634A79">
        <w:t>&amp;</w:t>
      </w:r>
      <w:r w:rsidR="00183142" w:rsidRPr="00634A79">
        <w:t xml:space="preserve"> Deveney 2011</w:t>
      </w:r>
      <w:r w:rsidR="00183142" w:rsidRPr="004E6582">
        <w:t xml:space="preserve">) or molecular </w:t>
      </w:r>
      <w:r w:rsidR="00183142" w:rsidRPr="00634A79">
        <w:t>surveillance (Wiltshire et al. 2022</w:t>
      </w:r>
      <w:r w:rsidR="00183142" w:rsidRPr="004E6582">
        <w:t xml:space="preserve">), including during testing using the </w:t>
      </w:r>
      <w:proofErr w:type="gramStart"/>
      <w:r w:rsidR="00183142" w:rsidRPr="004E6582">
        <w:t>newly-designed</w:t>
      </w:r>
      <w:proofErr w:type="gramEnd"/>
      <w:r w:rsidR="00183142" w:rsidRPr="004E6582">
        <w:t xml:space="preserve"> COI assay (</w:t>
      </w:r>
      <w:r w:rsidR="00DD03FC">
        <w:t>Wiltshire et al. in press</w:t>
      </w:r>
      <w:r w:rsidR="00183142" w:rsidRPr="004E6582">
        <w:t>).</w:t>
      </w:r>
    </w:p>
    <w:p w14:paraId="6D7D2F32" w14:textId="77777777" w:rsidR="00F2787C" w:rsidRPr="00846769" w:rsidRDefault="00F2787C" w:rsidP="00F2787C">
      <w:pPr>
        <w:pStyle w:val="Heading5"/>
        <w:spacing w:before="40" w:after="40"/>
        <w:ind w:left="851" w:hanging="851"/>
        <w:rPr>
          <w:color w:val="262626" w:themeColor="text1" w:themeTint="D9"/>
        </w:rPr>
      </w:pPr>
      <w:r w:rsidRPr="00846769">
        <w:rPr>
          <w:color w:val="262626" w:themeColor="text1" w:themeTint="D9"/>
        </w:rPr>
        <w:t>Diseases</w:t>
      </w:r>
    </w:p>
    <w:p w14:paraId="3AED05FB" w14:textId="1DD0FE79" w:rsidR="004778EE" w:rsidRDefault="00535014">
      <w:r w:rsidRPr="00846769">
        <w:t xml:space="preserve">There are few studies on parasites, pathogens, and diseases for </w:t>
      </w:r>
      <w:r w:rsidRPr="00846769">
        <w:rPr>
          <w:i/>
          <w:iCs/>
        </w:rPr>
        <w:t xml:space="preserve">A. </w:t>
      </w:r>
      <w:r w:rsidRPr="00C44569">
        <w:rPr>
          <w:i/>
          <w:iCs/>
        </w:rPr>
        <w:t>senhousia.</w:t>
      </w:r>
      <w:r w:rsidRPr="00C44569">
        <w:t xml:space="preserve"> </w:t>
      </w:r>
      <w:r w:rsidR="00D07843" w:rsidRPr="00C44569">
        <w:t xml:space="preserve">Research </w:t>
      </w:r>
      <w:r w:rsidR="00D07843" w:rsidRPr="004E6582">
        <w:t>by M</w:t>
      </w:r>
      <w:r w:rsidR="00D07843" w:rsidRPr="00634A79">
        <w:t>iller</w:t>
      </w:r>
      <w:r w:rsidR="00C44569" w:rsidRPr="00634A79">
        <w:t xml:space="preserve">, Inglis and Poulin </w:t>
      </w:r>
      <w:r w:rsidR="00D07843" w:rsidRPr="00634A79">
        <w:t>(2008)</w:t>
      </w:r>
      <w:r w:rsidR="00D07843" w:rsidRPr="004E6582">
        <w:t xml:space="preserve"> found that introduced </w:t>
      </w:r>
      <w:r w:rsidR="00D07843" w:rsidRPr="004E6582">
        <w:rPr>
          <w:i/>
          <w:iCs/>
        </w:rPr>
        <w:t xml:space="preserve">A. senhousia </w:t>
      </w:r>
      <w:r w:rsidR="00D07843" w:rsidRPr="004E6582">
        <w:t>in New Zealand had lower prevalence</w:t>
      </w:r>
      <w:r w:rsidR="00D07843" w:rsidRPr="00846769">
        <w:t xml:space="preserve"> of infection from native parasites (a copepod and a pea crab) compared to native New Zealand bivalves, </w:t>
      </w:r>
      <w:r w:rsidR="00D07843" w:rsidRPr="00846769">
        <w:rPr>
          <w:i/>
          <w:iCs/>
        </w:rPr>
        <w:t xml:space="preserve">Perna canaliculus </w:t>
      </w:r>
      <w:r w:rsidR="00D07843" w:rsidRPr="00846769">
        <w:t xml:space="preserve">and </w:t>
      </w:r>
      <w:proofErr w:type="spellStart"/>
      <w:r w:rsidR="00D07843" w:rsidRPr="00846769">
        <w:rPr>
          <w:i/>
          <w:iCs/>
        </w:rPr>
        <w:t>Xenostrobus</w:t>
      </w:r>
      <w:proofErr w:type="spellEnd"/>
      <w:r w:rsidR="00D07843" w:rsidRPr="00846769">
        <w:rPr>
          <w:i/>
          <w:iCs/>
        </w:rPr>
        <w:t xml:space="preserve"> </w:t>
      </w:r>
      <w:proofErr w:type="spellStart"/>
      <w:r w:rsidR="00D07843" w:rsidRPr="00846769">
        <w:rPr>
          <w:i/>
          <w:iCs/>
        </w:rPr>
        <w:t>pulex</w:t>
      </w:r>
      <w:proofErr w:type="spellEnd"/>
      <w:r w:rsidR="00D07843" w:rsidRPr="00846769">
        <w:rPr>
          <w:i/>
          <w:iCs/>
        </w:rPr>
        <w:t xml:space="preserve">. </w:t>
      </w:r>
      <w:r w:rsidR="00D07843" w:rsidRPr="00846769">
        <w:t xml:space="preserve"> </w:t>
      </w:r>
    </w:p>
    <w:p w14:paraId="6F19701B" w14:textId="63B426E7" w:rsidR="006939E1" w:rsidRPr="00846769" w:rsidRDefault="004778EE" w:rsidP="00F2787C">
      <w:pPr>
        <w:pStyle w:val="Heading4"/>
        <w:spacing w:after="120"/>
        <w:ind w:left="851" w:hanging="851"/>
        <w:rPr>
          <w:rStyle w:val="Emphasis"/>
          <w:color w:val="262626" w:themeColor="text1" w:themeTint="D9"/>
        </w:rPr>
      </w:pPr>
      <w:r>
        <w:br w:type="page"/>
      </w:r>
      <w:r w:rsidR="00B5740F" w:rsidRPr="00846769">
        <w:rPr>
          <w:rStyle w:val="Emphasis"/>
          <w:color w:val="262626" w:themeColor="text1" w:themeTint="D9"/>
        </w:rPr>
        <w:lastRenderedPageBreak/>
        <w:t>Mytella strigata</w:t>
      </w:r>
    </w:p>
    <w:p w14:paraId="75C88717" w14:textId="1FDD1997" w:rsidR="000A5286" w:rsidRPr="004E6582" w:rsidRDefault="2D45FC2C" w:rsidP="00BF317B">
      <w:r w:rsidRPr="00846769">
        <w:rPr>
          <w:i/>
          <w:iCs/>
        </w:rPr>
        <w:t xml:space="preserve">Mytella strigata </w:t>
      </w:r>
      <w:r w:rsidRPr="00846769">
        <w:t>is known as the Charru mussel</w:t>
      </w:r>
      <w:r w:rsidR="00B92153" w:rsidRPr="00846769">
        <w:t xml:space="preserve">. It </w:t>
      </w:r>
      <w:r w:rsidRPr="00846769">
        <w:t>is</w:t>
      </w:r>
      <w:r w:rsidR="00491BF2" w:rsidRPr="00846769">
        <w:t xml:space="preserve"> a moderately large mussel</w:t>
      </w:r>
      <w:r w:rsidRPr="00846769">
        <w:t xml:space="preserve"> native to the </w:t>
      </w:r>
      <w:r w:rsidR="00B92153" w:rsidRPr="00846769">
        <w:t xml:space="preserve">tropical western Atlantic coasts of America, ranging from </w:t>
      </w:r>
      <w:r w:rsidR="00B92153" w:rsidRPr="004E6582">
        <w:t>Panama to Argentina</w:t>
      </w:r>
      <w:r w:rsidRPr="004E6582">
        <w:t xml:space="preserve"> (</w:t>
      </w:r>
      <w:r w:rsidR="00BB4C9C" w:rsidRPr="00634A79">
        <w:t>Gillis et al. 2009</w:t>
      </w:r>
      <w:r w:rsidR="00BB4C9C" w:rsidRPr="004E6582">
        <w:t xml:space="preserve">). It is also present in tropical east Pacific coasts of </w:t>
      </w:r>
      <w:r w:rsidR="00FC7703" w:rsidRPr="004E6582">
        <w:t>America,</w:t>
      </w:r>
      <w:r w:rsidR="00BB4C9C" w:rsidRPr="004E6582">
        <w:t xml:space="preserve"> where it is considered cryptogenic (Gillis et al. 2009). </w:t>
      </w:r>
      <w:r w:rsidRPr="004E6582">
        <w:rPr>
          <w:i/>
          <w:iCs/>
        </w:rPr>
        <w:t xml:space="preserve">Mytella strigata </w:t>
      </w:r>
      <w:r w:rsidRPr="004E6582">
        <w:t xml:space="preserve">has not been reported </w:t>
      </w:r>
      <w:r w:rsidR="457296E1" w:rsidRPr="004E6582">
        <w:t xml:space="preserve">in </w:t>
      </w:r>
      <w:r w:rsidRPr="004E6582">
        <w:t>Australia</w:t>
      </w:r>
      <w:r w:rsidR="000A5286" w:rsidRPr="004E6582">
        <w:t xml:space="preserve"> to-date but was previously detected </w:t>
      </w:r>
      <w:r w:rsidR="006939AE" w:rsidRPr="004E6582">
        <w:t>and removed from a vessel arriving in northern Australia</w:t>
      </w:r>
      <w:r w:rsidRPr="004E6582">
        <w:t xml:space="preserve">. </w:t>
      </w:r>
      <w:r w:rsidRPr="004E6582">
        <w:rPr>
          <w:i/>
          <w:iCs/>
        </w:rPr>
        <w:t>M</w:t>
      </w:r>
      <w:r w:rsidR="5F80EE41" w:rsidRPr="004E6582">
        <w:rPr>
          <w:i/>
          <w:iCs/>
        </w:rPr>
        <w:t>ytella</w:t>
      </w:r>
      <w:r w:rsidRPr="004E6582">
        <w:rPr>
          <w:i/>
          <w:iCs/>
        </w:rPr>
        <w:t xml:space="preserve"> strigata </w:t>
      </w:r>
      <w:r w:rsidRPr="004E6582">
        <w:t xml:space="preserve">has been introduced into Taiwan, the Philippines, Singapore, the Gulf of Thailand, </w:t>
      </w:r>
      <w:r w:rsidR="000A5286" w:rsidRPr="004E6582">
        <w:t xml:space="preserve">the </w:t>
      </w:r>
      <w:r w:rsidR="006939AE" w:rsidRPr="004E6582">
        <w:t>south</w:t>
      </w:r>
      <w:r w:rsidRPr="004E6582">
        <w:t>west coast India</w:t>
      </w:r>
      <w:r w:rsidR="00FC7703" w:rsidRPr="004E6582">
        <w:t>, and the southeastern United States (states of Georgia and Florida)</w:t>
      </w:r>
      <w:r w:rsidR="00BB4C9C" w:rsidRPr="004E6582">
        <w:t>.</w:t>
      </w:r>
    </w:p>
    <w:p w14:paraId="3DEEA0D0" w14:textId="1783C365" w:rsidR="006939E1" w:rsidRPr="00846769" w:rsidRDefault="2D45FC2C" w:rsidP="00BF317B">
      <w:r w:rsidRPr="004E6582">
        <w:t>In its introduced range</w:t>
      </w:r>
      <w:r w:rsidR="000A5286" w:rsidRPr="004E6582">
        <w:t>,</w:t>
      </w:r>
      <w:r w:rsidRPr="004E6582">
        <w:t xml:space="preserve"> it </w:t>
      </w:r>
      <w:r w:rsidR="000A5286" w:rsidRPr="004E6582">
        <w:t>mostly fouls</w:t>
      </w:r>
      <w:r w:rsidRPr="004E6582">
        <w:t xml:space="preserve"> man-made structures, such as docks and powerplants</w:t>
      </w:r>
      <w:r w:rsidR="000A5286" w:rsidRPr="004E6582">
        <w:t xml:space="preserve"> (</w:t>
      </w:r>
      <w:r w:rsidR="005878DF" w:rsidRPr="00634A79">
        <w:t>Huang et al. 2021</w:t>
      </w:r>
      <w:r w:rsidR="000A5286" w:rsidRPr="00634A79">
        <w:t>).</w:t>
      </w:r>
      <w:r w:rsidR="000A5286" w:rsidRPr="004E6582">
        <w:t xml:space="preserve"> However, </w:t>
      </w:r>
      <w:r w:rsidRPr="004E6582">
        <w:t xml:space="preserve">it can also be found on oyster beds, shells, wood, and roots. This mussel has a wide salinity range, capable of withstanding salinity from 0 </w:t>
      </w:r>
      <w:r w:rsidR="005878DF" w:rsidRPr="004E6582">
        <w:t>to</w:t>
      </w:r>
      <w:r w:rsidRPr="004E6582">
        <w:t xml:space="preserve"> 35 ppt. A Species Range Map model of </w:t>
      </w:r>
      <w:r w:rsidRPr="004E6582">
        <w:rPr>
          <w:i/>
          <w:iCs/>
        </w:rPr>
        <w:t xml:space="preserve">M. strigata </w:t>
      </w:r>
      <w:r w:rsidRPr="004E6582">
        <w:t xml:space="preserve">based on environmental tolerances suggests all of Australia is within the environmental range of </w:t>
      </w:r>
      <w:r w:rsidRPr="004E6582">
        <w:rPr>
          <w:i/>
          <w:iCs/>
        </w:rPr>
        <w:t xml:space="preserve">M. strigata </w:t>
      </w:r>
      <w:r w:rsidRPr="004E6582">
        <w:t>(</w:t>
      </w:r>
      <w:r w:rsidRPr="00634A79">
        <w:t>Bloomfield et al. 2021</w:t>
      </w:r>
      <w:r w:rsidRPr="004E6582">
        <w:t>).</w:t>
      </w:r>
      <w:r w:rsidRPr="00846769">
        <w:t xml:space="preserve"> </w:t>
      </w:r>
    </w:p>
    <w:p w14:paraId="6F2D84E4" w14:textId="49638933" w:rsidR="001933EE" w:rsidRPr="00846769" w:rsidRDefault="00B5740F" w:rsidP="0090794A">
      <w:r w:rsidRPr="00846769">
        <w:rPr>
          <w:i/>
          <w:iCs/>
        </w:rPr>
        <w:t>Mytella strigata</w:t>
      </w:r>
      <w:r w:rsidRPr="00846769">
        <w:t xml:space="preserve"> is</w:t>
      </w:r>
      <w:r w:rsidR="000A5286" w:rsidRPr="00846769">
        <w:t xml:space="preserve"> nationally</w:t>
      </w:r>
      <w:r w:rsidRPr="00846769">
        <w:t xml:space="preserve"> listed on </w:t>
      </w:r>
      <w:r w:rsidR="000A5286" w:rsidRPr="00846769">
        <w:t xml:space="preserve">both </w:t>
      </w:r>
      <w:r w:rsidRPr="00846769">
        <w:t xml:space="preserve">the </w:t>
      </w:r>
      <w:hyperlink r:id="rId239" w:history="1">
        <w:r w:rsidR="004B4277" w:rsidRPr="00846769">
          <w:rPr>
            <w:rStyle w:val="Hyperlink"/>
          </w:rPr>
          <w:t>Australian Priority Marine Pest List (APMPL)</w:t>
        </w:r>
      </w:hyperlink>
      <w:r w:rsidR="004B4277" w:rsidRPr="00846769">
        <w:rPr>
          <w:u w:color="0070C0"/>
        </w:rPr>
        <w:t xml:space="preserve"> and on the </w:t>
      </w:r>
      <w:hyperlink r:id="rId240" w:anchor="marine-pests" w:history="1">
        <w:r w:rsidR="004B4277" w:rsidRPr="00846769">
          <w:rPr>
            <w:rStyle w:val="Hyperlink"/>
          </w:rPr>
          <w:t>Exotic Environmental Pest List (EEPL).</w:t>
        </w:r>
      </w:hyperlink>
      <w:r w:rsidRPr="00846769">
        <w:t xml:space="preserve"> </w:t>
      </w:r>
    </w:p>
    <w:p w14:paraId="466A9C91" w14:textId="630734C4" w:rsidR="0090794A" w:rsidRPr="00846769" w:rsidRDefault="0090794A" w:rsidP="0090794A">
      <w:pPr>
        <w:pStyle w:val="Caption"/>
      </w:pPr>
      <w:bookmarkStart w:id="645" w:name="_Toc191999506"/>
      <w:r w:rsidRPr="00846769">
        <w:t xml:space="preserve">Table </w:t>
      </w:r>
      <w:r w:rsidRPr="00846769">
        <w:fldChar w:fldCharType="begin"/>
      </w:r>
      <w:r w:rsidRPr="00846769">
        <w:instrText xml:space="preserve"> SEQ Table \* ARABIC </w:instrText>
      </w:r>
      <w:r w:rsidRPr="00846769">
        <w:fldChar w:fldCharType="separate"/>
      </w:r>
      <w:r w:rsidR="005E4F41">
        <w:rPr>
          <w:noProof/>
        </w:rPr>
        <w:t>11</w:t>
      </w:r>
      <w:r w:rsidRPr="00846769">
        <w:fldChar w:fldCharType="end"/>
      </w:r>
      <w:r w:rsidRPr="00846769">
        <w:t xml:space="preserve"> </w:t>
      </w:r>
      <w:r w:rsidRPr="00846769">
        <w:rPr>
          <w:lang w:eastAsia="ja-JP"/>
        </w:rPr>
        <w:t xml:space="preserve">Taxonomic classification of </w:t>
      </w:r>
      <w:r w:rsidRPr="00846769">
        <w:rPr>
          <w:rStyle w:val="Emphasis"/>
        </w:rPr>
        <w:t>Mytella strigata</w:t>
      </w:r>
      <w:bookmarkEnd w:id="64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6"/>
        <w:gridCol w:w="2585"/>
      </w:tblGrid>
      <w:tr w:rsidR="00B439AA" w:rsidRPr="00846769" w14:paraId="697B58BE" w14:textId="77777777" w:rsidTr="00A04E26">
        <w:trPr>
          <w:cantSplit/>
          <w:tblHeader/>
        </w:trPr>
        <w:tc>
          <w:tcPr>
            <w:tcW w:w="1526" w:type="dxa"/>
            <w:shd w:val="clear" w:color="auto" w:fill="FFFFFF" w:themeFill="background1"/>
          </w:tcPr>
          <w:p w14:paraId="7BFC860D" w14:textId="77777777" w:rsidR="006939E1" w:rsidRPr="00846769" w:rsidRDefault="00B5740F" w:rsidP="00BF317B">
            <w:pPr>
              <w:pStyle w:val="TableText"/>
              <w:rPr>
                <w:rFonts w:cstheme="minorHAnsi"/>
                <w:b/>
                <w:bCs/>
              </w:rPr>
            </w:pPr>
            <w:bookmarkStart w:id="646" w:name="Table_11"/>
            <w:bookmarkEnd w:id="646"/>
            <w:r w:rsidRPr="00846769">
              <w:rPr>
                <w:rFonts w:cstheme="minorHAnsi"/>
                <w:b/>
                <w:bCs/>
              </w:rPr>
              <w:t>Classification</w:t>
            </w:r>
          </w:p>
        </w:tc>
        <w:tc>
          <w:tcPr>
            <w:tcW w:w="2585" w:type="dxa"/>
            <w:shd w:val="clear" w:color="auto" w:fill="FFFFFF" w:themeFill="background1"/>
          </w:tcPr>
          <w:p w14:paraId="21AF9F34" w14:textId="62FD45C3" w:rsidR="006939E1" w:rsidRPr="00846769" w:rsidRDefault="00B5740F" w:rsidP="00BF317B">
            <w:pPr>
              <w:pStyle w:val="TableText"/>
              <w:rPr>
                <w:rStyle w:val="Emphasis"/>
                <w:rFonts w:cstheme="minorHAnsi"/>
                <w:b/>
                <w:bCs/>
              </w:rPr>
            </w:pPr>
            <w:r w:rsidRPr="00846769">
              <w:rPr>
                <w:rStyle w:val="Emphasis"/>
                <w:rFonts w:cstheme="minorHAnsi"/>
                <w:b/>
                <w:bCs/>
              </w:rPr>
              <w:t>Mytella strig</w:t>
            </w:r>
            <w:r w:rsidR="000A5286" w:rsidRPr="00846769">
              <w:rPr>
                <w:rStyle w:val="Emphasis"/>
                <w:rFonts w:cstheme="minorHAnsi"/>
                <w:b/>
                <w:bCs/>
              </w:rPr>
              <w:t>a</w:t>
            </w:r>
            <w:r w:rsidRPr="00846769">
              <w:rPr>
                <w:rStyle w:val="Emphasis"/>
                <w:rFonts w:cstheme="minorHAnsi"/>
                <w:b/>
                <w:bCs/>
              </w:rPr>
              <w:t>ta</w:t>
            </w:r>
          </w:p>
        </w:tc>
      </w:tr>
      <w:tr w:rsidR="00B439AA" w:rsidRPr="00846769" w14:paraId="7E22B1B2" w14:textId="77777777" w:rsidTr="00A04E26">
        <w:trPr>
          <w:cantSplit/>
          <w:tblHeader/>
        </w:trPr>
        <w:tc>
          <w:tcPr>
            <w:tcW w:w="1526" w:type="dxa"/>
            <w:shd w:val="clear" w:color="auto" w:fill="FFFFFF" w:themeFill="background1"/>
          </w:tcPr>
          <w:p w14:paraId="3C085C79" w14:textId="77777777" w:rsidR="006939E1" w:rsidRPr="00846769" w:rsidRDefault="00B5740F" w:rsidP="00BF317B">
            <w:pPr>
              <w:pStyle w:val="TableText"/>
              <w:rPr>
                <w:rFonts w:cstheme="minorHAnsi"/>
              </w:rPr>
            </w:pPr>
            <w:r w:rsidRPr="00846769">
              <w:rPr>
                <w:rFonts w:cstheme="minorHAnsi"/>
              </w:rPr>
              <w:t>Phylum</w:t>
            </w:r>
          </w:p>
        </w:tc>
        <w:tc>
          <w:tcPr>
            <w:tcW w:w="2585" w:type="dxa"/>
            <w:shd w:val="clear" w:color="auto" w:fill="FFFFFF" w:themeFill="background1"/>
          </w:tcPr>
          <w:p w14:paraId="27D05391" w14:textId="77777777" w:rsidR="006939E1" w:rsidRPr="00846769" w:rsidRDefault="00B5740F" w:rsidP="00BF317B">
            <w:pPr>
              <w:pStyle w:val="TableText"/>
              <w:rPr>
                <w:rFonts w:cstheme="minorHAnsi"/>
              </w:rPr>
            </w:pPr>
            <w:r w:rsidRPr="00846769">
              <w:rPr>
                <w:rFonts w:cstheme="minorHAnsi"/>
              </w:rPr>
              <w:t>Mollusca</w:t>
            </w:r>
          </w:p>
        </w:tc>
      </w:tr>
      <w:tr w:rsidR="00B439AA" w:rsidRPr="00846769" w14:paraId="7D1BDA7C" w14:textId="77777777" w:rsidTr="00A04E26">
        <w:trPr>
          <w:cantSplit/>
          <w:tblHeader/>
        </w:trPr>
        <w:tc>
          <w:tcPr>
            <w:tcW w:w="1526" w:type="dxa"/>
            <w:shd w:val="clear" w:color="auto" w:fill="FFFFFF" w:themeFill="background1"/>
          </w:tcPr>
          <w:p w14:paraId="1407F992" w14:textId="77777777" w:rsidR="006939E1" w:rsidRPr="00846769" w:rsidRDefault="00B5740F" w:rsidP="00BF317B">
            <w:pPr>
              <w:pStyle w:val="TableText"/>
              <w:rPr>
                <w:rFonts w:cstheme="minorHAnsi"/>
              </w:rPr>
            </w:pPr>
            <w:r w:rsidRPr="00846769">
              <w:rPr>
                <w:rFonts w:cstheme="minorHAnsi"/>
              </w:rPr>
              <w:t>Class</w:t>
            </w:r>
          </w:p>
        </w:tc>
        <w:tc>
          <w:tcPr>
            <w:tcW w:w="2585" w:type="dxa"/>
            <w:shd w:val="clear" w:color="auto" w:fill="FFFFFF" w:themeFill="background1"/>
          </w:tcPr>
          <w:p w14:paraId="10FE0BEA" w14:textId="77777777" w:rsidR="006939E1" w:rsidRPr="00846769" w:rsidRDefault="00B5740F" w:rsidP="00BF317B">
            <w:pPr>
              <w:pStyle w:val="TableText"/>
              <w:rPr>
                <w:rFonts w:cstheme="minorHAnsi"/>
              </w:rPr>
            </w:pPr>
            <w:r w:rsidRPr="00846769">
              <w:rPr>
                <w:rFonts w:cstheme="minorHAnsi"/>
              </w:rPr>
              <w:t>Bivalvia</w:t>
            </w:r>
          </w:p>
        </w:tc>
      </w:tr>
      <w:tr w:rsidR="00B439AA" w:rsidRPr="00846769" w14:paraId="5C2BFB24" w14:textId="77777777" w:rsidTr="00A04E26">
        <w:trPr>
          <w:cantSplit/>
          <w:tblHeader/>
        </w:trPr>
        <w:tc>
          <w:tcPr>
            <w:tcW w:w="1526" w:type="dxa"/>
            <w:shd w:val="clear" w:color="auto" w:fill="FFFFFF" w:themeFill="background1"/>
          </w:tcPr>
          <w:p w14:paraId="3099B604" w14:textId="77777777" w:rsidR="006939E1" w:rsidRPr="00846769" w:rsidRDefault="00B5740F" w:rsidP="00BF317B">
            <w:pPr>
              <w:pStyle w:val="TableText"/>
              <w:rPr>
                <w:rFonts w:cstheme="minorHAnsi"/>
              </w:rPr>
            </w:pPr>
            <w:r w:rsidRPr="00846769">
              <w:rPr>
                <w:rFonts w:cstheme="minorHAnsi"/>
              </w:rPr>
              <w:t>Order</w:t>
            </w:r>
          </w:p>
        </w:tc>
        <w:tc>
          <w:tcPr>
            <w:tcW w:w="2585" w:type="dxa"/>
            <w:shd w:val="clear" w:color="auto" w:fill="FFFFFF" w:themeFill="background1"/>
          </w:tcPr>
          <w:p w14:paraId="13E891BF" w14:textId="77777777" w:rsidR="006939E1" w:rsidRPr="00846769" w:rsidRDefault="00B5740F" w:rsidP="00BF317B">
            <w:pPr>
              <w:pStyle w:val="TableText"/>
              <w:rPr>
                <w:rFonts w:cstheme="minorHAnsi"/>
              </w:rPr>
            </w:pPr>
            <w:proofErr w:type="spellStart"/>
            <w:r w:rsidRPr="00846769">
              <w:rPr>
                <w:rFonts w:cstheme="minorHAnsi"/>
              </w:rPr>
              <w:t>Mytilida</w:t>
            </w:r>
            <w:proofErr w:type="spellEnd"/>
          </w:p>
        </w:tc>
      </w:tr>
      <w:tr w:rsidR="00B439AA" w:rsidRPr="00846769" w14:paraId="724D2624" w14:textId="77777777" w:rsidTr="00A04E26">
        <w:trPr>
          <w:cantSplit/>
          <w:tblHeader/>
        </w:trPr>
        <w:tc>
          <w:tcPr>
            <w:tcW w:w="1526" w:type="dxa"/>
            <w:shd w:val="clear" w:color="auto" w:fill="FFFFFF" w:themeFill="background1"/>
          </w:tcPr>
          <w:p w14:paraId="1E4E7B1B" w14:textId="77777777" w:rsidR="006939E1" w:rsidRPr="00846769" w:rsidRDefault="00B5740F" w:rsidP="00BF317B">
            <w:pPr>
              <w:pStyle w:val="TableText"/>
              <w:rPr>
                <w:rFonts w:cstheme="minorHAnsi"/>
              </w:rPr>
            </w:pPr>
            <w:r w:rsidRPr="00846769">
              <w:rPr>
                <w:rFonts w:cstheme="minorHAnsi"/>
              </w:rPr>
              <w:t>Family</w:t>
            </w:r>
          </w:p>
        </w:tc>
        <w:tc>
          <w:tcPr>
            <w:tcW w:w="2585" w:type="dxa"/>
            <w:shd w:val="clear" w:color="auto" w:fill="FFFFFF" w:themeFill="background1"/>
          </w:tcPr>
          <w:p w14:paraId="43D58B48" w14:textId="77777777" w:rsidR="006939E1" w:rsidRPr="00846769" w:rsidRDefault="00B5740F" w:rsidP="00BF317B">
            <w:pPr>
              <w:pStyle w:val="TableText"/>
              <w:rPr>
                <w:rFonts w:cstheme="minorHAnsi"/>
              </w:rPr>
            </w:pPr>
            <w:r w:rsidRPr="00846769">
              <w:rPr>
                <w:rFonts w:cstheme="minorHAnsi"/>
              </w:rPr>
              <w:t>Mytilidae</w:t>
            </w:r>
          </w:p>
        </w:tc>
      </w:tr>
      <w:tr w:rsidR="00B439AA" w:rsidRPr="00846769" w14:paraId="2BB84B19" w14:textId="77777777" w:rsidTr="00A04E26">
        <w:trPr>
          <w:cantSplit/>
          <w:tblHeader/>
        </w:trPr>
        <w:tc>
          <w:tcPr>
            <w:tcW w:w="1526" w:type="dxa"/>
            <w:shd w:val="clear" w:color="auto" w:fill="FFFFFF" w:themeFill="background1"/>
          </w:tcPr>
          <w:p w14:paraId="14BD1CE1" w14:textId="77777777" w:rsidR="006939E1" w:rsidRPr="00846769" w:rsidRDefault="00B5740F" w:rsidP="00BF317B">
            <w:pPr>
              <w:pStyle w:val="TableText"/>
              <w:rPr>
                <w:rFonts w:cstheme="minorHAnsi"/>
              </w:rPr>
            </w:pPr>
            <w:r w:rsidRPr="00846769">
              <w:rPr>
                <w:rFonts w:cstheme="minorHAnsi"/>
              </w:rPr>
              <w:t>Genus</w:t>
            </w:r>
          </w:p>
        </w:tc>
        <w:tc>
          <w:tcPr>
            <w:tcW w:w="2585" w:type="dxa"/>
            <w:shd w:val="clear" w:color="auto" w:fill="FFFFFF" w:themeFill="background1"/>
          </w:tcPr>
          <w:p w14:paraId="3609A97F" w14:textId="77777777" w:rsidR="006939E1" w:rsidRPr="00846769" w:rsidRDefault="00B5740F" w:rsidP="00BF317B">
            <w:pPr>
              <w:pStyle w:val="TableText"/>
              <w:rPr>
                <w:rStyle w:val="Emphasis"/>
                <w:rFonts w:cstheme="minorHAnsi"/>
              </w:rPr>
            </w:pPr>
            <w:r w:rsidRPr="00846769">
              <w:rPr>
                <w:rStyle w:val="Emphasis"/>
                <w:rFonts w:cstheme="minorHAnsi"/>
              </w:rPr>
              <w:t>Mytella</w:t>
            </w:r>
          </w:p>
        </w:tc>
      </w:tr>
    </w:tbl>
    <w:p w14:paraId="07DD6242" w14:textId="77777777" w:rsidR="00491BF2" w:rsidRPr="00846769" w:rsidRDefault="00491BF2" w:rsidP="00491BF2">
      <w:pPr>
        <w:pStyle w:val="Heading5"/>
        <w:spacing w:before="120" w:after="120"/>
        <w:rPr>
          <w:color w:val="262626" w:themeColor="text1" w:themeTint="D9"/>
          <w:sz w:val="24"/>
          <w:szCs w:val="24"/>
        </w:rPr>
      </w:pPr>
      <w:r w:rsidRPr="00846769">
        <w:rPr>
          <w:color w:val="262626" w:themeColor="text1" w:themeTint="D9"/>
          <w:sz w:val="24"/>
          <w:szCs w:val="24"/>
        </w:rPr>
        <w:t>Diagnostic features for identification</w:t>
      </w:r>
    </w:p>
    <w:p w14:paraId="530F3BA4" w14:textId="77777777" w:rsidR="00491BF2" w:rsidRPr="00846769" w:rsidRDefault="00491BF2" w:rsidP="00491BF2">
      <w:pPr>
        <w:pStyle w:val="Heading6"/>
        <w:spacing w:after="40"/>
        <w:rPr>
          <w:color w:val="262626" w:themeColor="text1" w:themeTint="D9"/>
        </w:rPr>
      </w:pPr>
      <w:r w:rsidRPr="00846769">
        <w:rPr>
          <w:color w:val="262626" w:themeColor="text1" w:themeTint="D9"/>
        </w:rPr>
        <w:t>Field identification</w:t>
      </w:r>
    </w:p>
    <w:p w14:paraId="15AD29A3" w14:textId="48D60641" w:rsidR="006939E1" w:rsidRPr="004E6582" w:rsidRDefault="00B5740F" w:rsidP="00BF317B">
      <w:r w:rsidRPr="00DD01E4">
        <w:rPr>
          <w:i/>
          <w:iCs/>
        </w:rPr>
        <w:t xml:space="preserve">Mytella strigata </w:t>
      </w:r>
      <w:r w:rsidRPr="00DD01E4">
        <w:t xml:space="preserve">can be difficult to identify in the field and can closely resemble </w:t>
      </w:r>
      <w:r w:rsidR="00FB4DEF" w:rsidRPr="00DD01E4">
        <w:t xml:space="preserve">native </w:t>
      </w:r>
      <w:proofErr w:type="spellStart"/>
      <w:r w:rsidR="00FB4DEF" w:rsidRPr="00DD01E4">
        <w:t>Mytilid</w:t>
      </w:r>
      <w:proofErr w:type="spellEnd"/>
      <w:r w:rsidRPr="00DD01E4">
        <w:rPr>
          <w:i/>
          <w:iCs/>
        </w:rPr>
        <w:t xml:space="preserve"> </w:t>
      </w:r>
      <w:r w:rsidRPr="00DD01E4">
        <w:t>species</w:t>
      </w:r>
      <w:r w:rsidR="00491BF2" w:rsidRPr="00DD01E4">
        <w:t xml:space="preserve"> (MPSC 2018)</w:t>
      </w:r>
      <w:r w:rsidRPr="00DD01E4">
        <w:t xml:space="preserve">. </w:t>
      </w:r>
      <w:r w:rsidRPr="00DD01E4">
        <w:rPr>
          <w:i/>
          <w:iCs/>
        </w:rPr>
        <w:t>Mytella</w:t>
      </w:r>
      <w:r w:rsidRPr="00846769">
        <w:rPr>
          <w:i/>
          <w:iCs/>
        </w:rPr>
        <w:t xml:space="preserve"> strigata </w:t>
      </w:r>
      <w:r w:rsidRPr="00846769">
        <w:t xml:space="preserve">has been referred to by its taxonomic synonym </w:t>
      </w:r>
      <w:r w:rsidRPr="00846769">
        <w:rPr>
          <w:i/>
          <w:iCs/>
        </w:rPr>
        <w:t xml:space="preserve">M. </w:t>
      </w:r>
      <w:proofErr w:type="spellStart"/>
      <w:r w:rsidRPr="00846769">
        <w:rPr>
          <w:i/>
          <w:iCs/>
        </w:rPr>
        <w:t>charruana</w:t>
      </w:r>
      <w:proofErr w:type="spellEnd"/>
      <w:r w:rsidRPr="00846769">
        <w:rPr>
          <w:i/>
          <w:iCs/>
        </w:rPr>
        <w:t xml:space="preserve"> </w:t>
      </w:r>
      <w:r w:rsidR="7098EF4C" w:rsidRPr="00846769">
        <w:t xml:space="preserve">until </w:t>
      </w:r>
      <w:r w:rsidRPr="00846769">
        <w:t xml:space="preserve">recently </w:t>
      </w:r>
      <w:r w:rsidR="6CEFBEE3" w:rsidRPr="00846769">
        <w:t xml:space="preserve">when </w:t>
      </w:r>
      <w:r w:rsidR="004B4277" w:rsidRPr="00846769">
        <w:t xml:space="preserve">the taxonomy of this genus was </w:t>
      </w:r>
      <w:r w:rsidR="004B4277" w:rsidRPr="005F7F32">
        <w:t xml:space="preserve">resolved </w:t>
      </w:r>
      <w:r w:rsidR="004B4277" w:rsidRPr="004E6582">
        <w:t>(</w:t>
      </w:r>
      <w:r w:rsidRPr="00634A79">
        <w:t>Lim et al. 2018</w:t>
      </w:r>
      <w:r w:rsidRPr="004E6582">
        <w:t xml:space="preserve">). </w:t>
      </w:r>
    </w:p>
    <w:p w14:paraId="6404042B" w14:textId="002B6DD5" w:rsidR="00491BF2" w:rsidRPr="004E6582" w:rsidRDefault="2D45FC2C" w:rsidP="00BF317B">
      <w:r w:rsidRPr="004E6582">
        <w:rPr>
          <w:i/>
          <w:iCs/>
        </w:rPr>
        <w:t xml:space="preserve">Mytella strigata </w:t>
      </w:r>
      <w:r w:rsidR="00FB4DEF" w:rsidRPr="004E6582">
        <w:t>has</w:t>
      </w:r>
      <w:r w:rsidR="00491BF2" w:rsidRPr="004E6582">
        <w:t xml:space="preserve"> </w:t>
      </w:r>
      <w:r w:rsidRPr="004E6582">
        <w:t xml:space="preserve">an average </w:t>
      </w:r>
      <w:r w:rsidR="00491BF2" w:rsidRPr="004E6582">
        <w:t>shell length</w:t>
      </w:r>
      <w:r w:rsidRPr="004E6582">
        <w:t xml:space="preserve"> of 22</w:t>
      </w:r>
      <w:r w:rsidR="003E0CB9" w:rsidRPr="004E6582">
        <w:rPr>
          <w:rFonts w:cstheme="minorHAnsi"/>
        </w:rPr>
        <w:t>‒</w:t>
      </w:r>
      <w:r w:rsidR="00EB4D6E" w:rsidRPr="004E6582">
        <w:t>50</w:t>
      </w:r>
      <w:r w:rsidRPr="004E6582">
        <w:t xml:space="preserve"> mm</w:t>
      </w:r>
      <w:r w:rsidR="00611CCC" w:rsidRPr="004E6582">
        <w:t xml:space="preserve">. </w:t>
      </w:r>
      <w:r w:rsidR="008C521D" w:rsidRPr="004E6582">
        <w:t xml:space="preserve">The shell is symmetrical on both sides. </w:t>
      </w:r>
      <w:r w:rsidRPr="004E6582">
        <w:t xml:space="preserve">Some distinguishing features of </w:t>
      </w:r>
      <w:r w:rsidRPr="004E6582">
        <w:rPr>
          <w:i/>
          <w:iCs/>
        </w:rPr>
        <w:t xml:space="preserve">M. strigata </w:t>
      </w:r>
      <w:r w:rsidRPr="004E6582">
        <w:t xml:space="preserve">include the inside of the shell </w:t>
      </w:r>
      <w:r w:rsidR="008C521D" w:rsidRPr="004E6582">
        <w:t xml:space="preserve">which </w:t>
      </w:r>
      <w:r w:rsidRPr="004E6582">
        <w:t>is blueish to purplish in colour (</w:t>
      </w:r>
      <w:r w:rsidR="00192097" w:rsidRPr="004E6582">
        <w:fldChar w:fldCharType="begin"/>
      </w:r>
      <w:r w:rsidR="00192097" w:rsidRPr="004E6582">
        <w:instrText xml:space="preserve"> REF _Ref171944706 \h </w:instrText>
      </w:r>
      <w:r w:rsidR="004E6582">
        <w:instrText xml:space="preserve"> \* MERGEFORMAT </w:instrText>
      </w:r>
      <w:r w:rsidR="00192097" w:rsidRPr="004E6582">
        <w:fldChar w:fldCharType="separate"/>
      </w:r>
      <w:r w:rsidR="00192097" w:rsidRPr="004E6582">
        <w:t>Photo 15</w:t>
      </w:r>
      <w:r w:rsidR="00192097" w:rsidRPr="004E6582">
        <w:fldChar w:fldCharType="end"/>
      </w:r>
      <w:r w:rsidRPr="004E6582">
        <w:t>)</w:t>
      </w:r>
      <w:r w:rsidR="00611CCC" w:rsidRPr="004E6582">
        <w:t>. The sculpture on the outside of the shell valves has weak concentric striations with fine radial ribs ventrally (</w:t>
      </w:r>
      <w:r w:rsidR="00192097" w:rsidRPr="004E6582">
        <w:fldChar w:fldCharType="begin"/>
      </w:r>
      <w:r w:rsidR="00192097" w:rsidRPr="004E6582">
        <w:instrText xml:space="preserve"> REF _Ref171944755 \h </w:instrText>
      </w:r>
      <w:r w:rsidR="004E6582">
        <w:instrText xml:space="preserve"> \* MERGEFORMAT </w:instrText>
      </w:r>
      <w:r w:rsidR="00192097" w:rsidRPr="004E6582">
        <w:fldChar w:fldCharType="separate"/>
      </w:r>
      <w:r w:rsidR="00192097" w:rsidRPr="004E6582">
        <w:t>Photo 16</w:t>
      </w:r>
      <w:r w:rsidR="00192097" w:rsidRPr="004E6582">
        <w:fldChar w:fldCharType="end"/>
      </w:r>
      <w:r w:rsidR="00611CCC" w:rsidRPr="004E6582">
        <w:t>). The</w:t>
      </w:r>
      <w:r w:rsidRPr="004E6582">
        <w:t xml:space="preserve"> shell is quite angular</w:t>
      </w:r>
      <w:r w:rsidR="008C521D" w:rsidRPr="004E6582">
        <w:t>,</w:t>
      </w:r>
      <w:r w:rsidRPr="004E6582">
        <w:t xml:space="preserve"> the beak is rounded</w:t>
      </w:r>
      <w:r w:rsidR="008C521D" w:rsidRPr="004E6582">
        <w:t xml:space="preserve"> with a prominent dorsal angle</w:t>
      </w:r>
      <w:r w:rsidR="00B92153" w:rsidRPr="004E6582">
        <w:t xml:space="preserve">, </w:t>
      </w:r>
      <w:r w:rsidR="00343F02" w:rsidRPr="004E6582">
        <w:t>and the posterior byssal retractor muscle scar is connected to the posterior adductor muscle (</w:t>
      </w:r>
      <w:r w:rsidR="00192097" w:rsidRPr="004E6582">
        <w:fldChar w:fldCharType="begin"/>
      </w:r>
      <w:r w:rsidR="00192097" w:rsidRPr="004E6582">
        <w:instrText xml:space="preserve"> REF _Ref171944897 \h </w:instrText>
      </w:r>
      <w:r w:rsidR="00FA1E54" w:rsidRPr="004E6582">
        <w:instrText xml:space="preserve"> \* MERGEFORMAT </w:instrText>
      </w:r>
      <w:r w:rsidR="00192097" w:rsidRPr="004E6582">
        <w:fldChar w:fldCharType="separate"/>
      </w:r>
      <w:r w:rsidR="00192097" w:rsidRPr="004E6582">
        <w:t>Photo 17</w:t>
      </w:r>
      <w:r w:rsidR="00192097" w:rsidRPr="004E6582">
        <w:fldChar w:fldCharType="end"/>
      </w:r>
      <w:r w:rsidR="00343F02" w:rsidRPr="004E6582">
        <w:t>)</w:t>
      </w:r>
      <w:r w:rsidRPr="004E6582">
        <w:t xml:space="preserve">. </w:t>
      </w:r>
      <w:r w:rsidR="00611CCC" w:rsidRPr="004E6582">
        <w:t xml:space="preserve">Two </w:t>
      </w:r>
      <w:r w:rsidR="008C521D" w:rsidRPr="004E6582">
        <w:t xml:space="preserve">small, obscure teeth are present internally at the beak (Coan &amp; </w:t>
      </w:r>
      <w:proofErr w:type="spellStart"/>
      <w:r w:rsidR="008C521D" w:rsidRPr="004E6582">
        <w:t>Valentisch</w:t>
      </w:r>
      <w:proofErr w:type="spellEnd"/>
      <w:r w:rsidR="008C521D" w:rsidRPr="004E6582">
        <w:t xml:space="preserve">-Scott 2012). </w:t>
      </w:r>
    </w:p>
    <w:p w14:paraId="33D45F28" w14:textId="6213B040" w:rsidR="006939E1" w:rsidRPr="00846769" w:rsidRDefault="00B5740F" w:rsidP="00BF317B">
      <w:r w:rsidRPr="004E6582">
        <w:t xml:space="preserve">The </w:t>
      </w:r>
      <w:r w:rsidR="008C521D" w:rsidRPr="004E6582">
        <w:t>external shell can have many different colours ranging from black, grey, brown, orange, and (rarely) green, occasionally patterned with zig zags, spots, or concentric bands (</w:t>
      </w:r>
      <w:r w:rsidR="004E35CC" w:rsidRPr="004E6582">
        <w:t>see</w:t>
      </w:r>
      <w:r w:rsidR="008C521D" w:rsidRPr="004E6582">
        <w:t xml:space="preserve"> </w:t>
      </w:r>
      <w:r w:rsidR="008C521D" w:rsidRPr="00634A79">
        <w:t>Lim et al. 2018</w:t>
      </w:r>
      <w:r w:rsidR="008C521D" w:rsidRPr="004E6582">
        <w:t xml:space="preserve">). </w:t>
      </w:r>
      <w:r w:rsidRPr="004E6582">
        <w:t>The shell is thin and lacks exterior ribs on its shell surface.</w:t>
      </w:r>
    </w:p>
    <w:p w14:paraId="17B45B0C" w14:textId="077857D4" w:rsidR="006939E1" w:rsidRPr="00846769" w:rsidRDefault="006939E1" w:rsidP="00BF317B"/>
    <w:p w14:paraId="5AC94393" w14:textId="68BBA085" w:rsidR="00611CCC" w:rsidRPr="00846769" w:rsidRDefault="00611CCC" w:rsidP="00611CCC">
      <w:pPr>
        <w:pStyle w:val="Caption"/>
      </w:pPr>
      <w:bookmarkStart w:id="647" w:name="_Ref171944706"/>
      <w:bookmarkStart w:id="648" w:name="_Toc191999539"/>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15</w:t>
      </w:r>
      <w:r w:rsidRPr="00846769">
        <w:fldChar w:fldCharType="end"/>
      </w:r>
      <w:bookmarkEnd w:id="647"/>
      <w:r w:rsidRPr="00846769">
        <w:t xml:space="preserve"> Adult </w:t>
      </w:r>
      <w:r w:rsidRPr="00846769">
        <w:rPr>
          <w:i/>
          <w:iCs/>
        </w:rPr>
        <w:t xml:space="preserve">Mytella strigata </w:t>
      </w:r>
      <w:r w:rsidRPr="00846769">
        <w:t>showing the outside and inside of the shells</w:t>
      </w:r>
      <w:bookmarkEnd w:id="648"/>
    </w:p>
    <w:p w14:paraId="0D06A864" w14:textId="121BCDF6" w:rsidR="009801CA" w:rsidRPr="00846769" w:rsidRDefault="00611CCC" w:rsidP="009801CA">
      <w:pPr>
        <w:pStyle w:val="Caption"/>
        <w:rPr>
          <w:rStyle w:val="Emphasis"/>
          <w:i w:val="0"/>
          <w:iCs w:val="0"/>
        </w:rPr>
      </w:pPr>
      <w:r w:rsidRPr="00846769">
        <w:rPr>
          <w:noProof/>
        </w:rPr>
        <w:drawing>
          <wp:inline distT="0" distB="0" distL="0" distR="0" wp14:anchorId="0225EE5C" wp14:editId="1A90780D">
            <wp:extent cx="5697044" cy="2294335"/>
            <wp:effectExtent l="0" t="0" r="0" b="0"/>
            <wp:docPr id="1906108845" name="Picture 7" descr="Coloured photographs of adult Mytella strigata showing the inside and outside of the empty sh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08845" name="Picture 7" descr="Coloured photographs of adult Mytella strigata showing the inside and outside of the empty shell. "/>
                    <pic:cNvPicPr/>
                  </pic:nvPicPr>
                  <pic:blipFill>
                    <a:blip r:embed="rId241" cstate="email">
                      <a:extLst>
                        <a:ext uri="{28A0092B-C50C-407E-A947-70E740481C1C}">
                          <a14:useLocalDpi xmlns:a14="http://schemas.microsoft.com/office/drawing/2010/main" val="0"/>
                        </a:ext>
                      </a:extLst>
                    </a:blip>
                    <a:stretch>
                      <a:fillRect/>
                    </a:stretch>
                  </pic:blipFill>
                  <pic:spPr>
                    <a:xfrm>
                      <a:off x="0" y="0"/>
                      <a:ext cx="5697044" cy="2294335"/>
                    </a:xfrm>
                    <a:prstGeom prst="rect">
                      <a:avLst/>
                    </a:prstGeom>
                  </pic:spPr>
                </pic:pic>
              </a:graphicData>
            </a:graphic>
          </wp:inline>
        </w:drawing>
      </w:r>
    </w:p>
    <w:p w14:paraId="4D23D9BB" w14:textId="0DF6C366" w:rsidR="00731DF4" w:rsidRPr="00846769" w:rsidRDefault="00731DF4" w:rsidP="00731DF4">
      <w:pPr>
        <w:pStyle w:val="FigureTableNoteSource"/>
        <w:spacing w:before="0"/>
      </w:pPr>
      <w:r w:rsidRPr="00846769">
        <w:rPr>
          <w:rStyle w:val="Emphasis"/>
          <w:i w:val="0"/>
          <w:iCs w:val="0"/>
        </w:rPr>
        <w:t>Source:</w:t>
      </w:r>
      <w:r w:rsidRPr="00846769">
        <w:rPr>
          <w:rStyle w:val="Emphasis"/>
        </w:rPr>
        <w:t xml:space="preserve"> </w:t>
      </w:r>
      <w:r w:rsidRPr="00846769">
        <w:t>Ashley Coutts/Biofouling Solutions, for the Marine Pest Photo Album</w:t>
      </w:r>
    </w:p>
    <w:p w14:paraId="110D0EA1" w14:textId="7E4B91B0" w:rsidR="00611CCC" w:rsidRPr="00846769" w:rsidRDefault="00611CCC" w:rsidP="00611CCC">
      <w:pPr>
        <w:pStyle w:val="Caption"/>
      </w:pPr>
      <w:bookmarkStart w:id="649" w:name="_Ref171944755"/>
      <w:bookmarkStart w:id="650" w:name="_Toc191999540"/>
      <w:r w:rsidRPr="00846769">
        <w:t xml:space="preserve">Photo </w:t>
      </w:r>
      <w:r w:rsidRPr="00846769">
        <w:fldChar w:fldCharType="begin"/>
      </w:r>
      <w:r w:rsidRPr="00846769">
        <w:instrText xml:space="preserve"> SEQ Photo \* ARABIC </w:instrText>
      </w:r>
      <w:r w:rsidRPr="00846769">
        <w:fldChar w:fldCharType="separate"/>
      </w:r>
      <w:r w:rsidR="00300312" w:rsidRPr="00846769">
        <w:t>16</w:t>
      </w:r>
      <w:r w:rsidRPr="00846769">
        <w:fldChar w:fldCharType="end"/>
      </w:r>
      <w:bookmarkEnd w:id="649"/>
      <w:r w:rsidRPr="00846769">
        <w:t xml:space="preserve"> Adult </w:t>
      </w:r>
      <w:r w:rsidRPr="00846769">
        <w:rPr>
          <w:i/>
          <w:iCs/>
        </w:rPr>
        <w:t xml:space="preserve">Mytella strigata </w:t>
      </w:r>
      <w:r w:rsidRPr="00846769">
        <w:t>shell detail</w:t>
      </w:r>
      <w:bookmarkEnd w:id="650"/>
    </w:p>
    <w:p w14:paraId="61BC39EA" w14:textId="31D14ABA" w:rsidR="009801CA" w:rsidRPr="00846769" w:rsidRDefault="00343F02" w:rsidP="00BF317B">
      <w:r w:rsidRPr="00846769">
        <w:rPr>
          <w:noProof/>
        </w:rPr>
        <w:drawing>
          <wp:inline distT="0" distB="0" distL="0" distR="0" wp14:anchorId="6D5B5D09" wp14:editId="5FB0BEB1">
            <wp:extent cx="5233752" cy="3398520"/>
            <wp:effectExtent l="0" t="0" r="5080" b="0"/>
            <wp:docPr id="686757663" name="Picture 4" descr="Coloured photograph of adult Mytella strigata showing the shell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57663" name="Picture 4" descr="Coloured photograph of adult Mytella strigata showing the shell detail."/>
                    <pic:cNvPicPr/>
                  </pic:nvPicPr>
                  <pic:blipFill rotWithShape="1">
                    <a:blip r:embed="rId242" cstate="email">
                      <a:extLst>
                        <a:ext uri="{28A0092B-C50C-407E-A947-70E740481C1C}">
                          <a14:useLocalDpi xmlns:a14="http://schemas.microsoft.com/office/drawing/2010/main" val="0"/>
                        </a:ext>
                      </a:extLst>
                    </a:blip>
                    <a:srcRect/>
                    <a:stretch/>
                  </pic:blipFill>
                  <pic:spPr bwMode="auto">
                    <a:xfrm>
                      <a:off x="0" y="0"/>
                      <a:ext cx="5239762" cy="3402423"/>
                    </a:xfrm>
                    <a:prstGeom prst="rect">
                      <a:avLst/>
                    </a:prstGeom>
                    <a:ln>
                      <a:noFill/>
                    </a:ln>
                    <a:extLst>
                      <a:ext uri="{53640926-AAD7-44D8-BBD7-CCE9431645EC}">
                        <a14:shadowObscured xmlns:a14="http://schemas.microsoft.com/office/drawing/2010/main"/>
                      </a:ext>
                    </a:extLst>
                  </pic:spPr>
                </pic:pic>
              </a:graphicData>
            </a:graphic>
          </wp:inline>
        </w:drawing>
      </w:r>
    </w:p>
    <w:p w14:paraId="433303EA" w14:textId="4092FF25" w:rsidR="00731DF4" w:rsidRPr="00846769" w:rsidRDefault="00343F02" w:rsidP="00731DF4">
      <w:pPr>
        <w:pStyle w:val="FigureTableNoteSource"/>
        <w:spacing w:before="0"/>
      </w:pPr>
      <w:r w:rsidRPr="00846769">
        <w:rPr>
          <w:rStyle w:val="Emphasis"/>
          <w:i w:val="0"/>
          <w:iCs w:val="0"/>
        </w:rPr>
        <w:t xml:space="preserve">Source: </w:t>
      </w:r>
      <w:r w:rsidR="00731DF4" w:rsidRPr="00846769">
        <w:t>Ashley Coutts/Biofouling Solutions, for the Marine Pest Photo Album</w:t>
      </w:r>
    </w:p>
    <w:p w14:paraId="5F5C1326" w14:textId="1729FB1B" w:rsidR="00343F02" w:rsidRPr="00846769" w:rsidRDefault="00343F02" w:rsidP="00343F02">
      <w:pPr>
        <w:pStyle w:val="FigureTableNoteSource"/>
        <w:rPr>
          <w:i/>
          <w:iCs/>
        </w:rPr>
      </w:pPr>
    </w:p>
    <w:p w14:paraId="1E58E710" w14:textId="3AD3CC29" w:rsidR="00CD0F77" w:rsidRPr="00846769" w:rsidRDefault="00CD0F77" w:rsidP="00343F02"/>
    <w:p w14:paraId="1E0386BE" w14:textId="55A155CD" w:rsidR="00343F02" w:rsidRPr="00846769" w:rsidRDefault="00343F02" w:rsidP="00343F02"/>
    <w:p w14:paraId="1180DA13" w14:textId="5A2AA5E6" w:rsidR="00611CCC" w:rsidRPr="00846769" w:rsidRDefault="00611CCC" w:rsidP="00611CCC">
      <w:pPr>
        <w:pStyle w:val="Caption"/>
      </w:pPr>
      <w:bookmarkStart w:id="651" w:name="_Ref171944897"/>
      <w:bookmarkStart w:id="652" w:name="_Toc191999541"/>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17</w:t>
      </w:r>
      <w:r w:rsidRPr="00846769">
        <w:fldChar w:fldCharType="end"/>
      </w:r>
      <w:bookmarkEnd w:id="651"/>
      <w:r w:rsidRPr="00846769">
        <w:t xml:space="preserve"> Internal view of live </w:t>
      </w:r>
      <w:r w:rsidRPr="00846769">
        <w:rPr>
          <w:i/>
          <w:iCs/>
        </w:rPr>
        <w:t xml:space="preserve">Mytella strigata </w:t>
      </w:r>
      <w:r w:rsidRPr="00846769">
        <w:t>specimen</w:t>
      </w:r>
      <w:bookmarkEnd w:id="652"/>
    </w:p>
    <w:p w14:paraId="3C2B83B2" w14:textId="4E577C04" w:rsidR="00343F02" w:rsidRPr="00846769" w:rsidRDefault="00611CCC">
      <w:pPr>
        <w:spacing w:before="100" w:beforeAutospacing="1" w:after="100" w:afterAutospacing="1" w:line="240" w:lineRule="auto"/>
        <w:rPr>
          <w:rStyle w:val="Emphasis"/>
          <w:rFonts w:ascii="Times New Roman" w:eastAsia="Times New Roman" w:hAnsi="Times New Roman" w:cs="Times New Roman"/>
          <w:b/>
          <w:bCs/>
          <w:i w:val="0"/>
          <w:iCs w:val="0"/>
          <w:sz w:val="24"/>
          <w:szCs w:val="24"/>
          <w:lang w:eastAsia="en-AU"/>
        </w:rPr>
      </w:pPr>
      <w:r w:rsidRPr="00846769">
        <w:rPr>
          <w:rFonts w:ascii="Times New Roman" w:eastAsia="Times New Roman" w:hAnsi="Times New Roman" w:cs="Times New Roman"/>
          <w:noProof/>
          <w:sz w:val="24"/>
          <w:szCs w:val="24"/>
          <w:lang w:eastAsia="en-AU"/>
        </w:rPr>
        <w:drawing>
          <wp:inline distT="0" distB="0" distL="0" distR="0" wp14:anchorId="2EF4B6D9" wp14:editId="4C07BB7E">
            <wp:extent cx="4613608" cy="3557882"/>
            <wp:effectExtent l="0" t="0" r="0" b="5080"/>
            <wp:docPr id="1177865540" name="Picture 8" descr="Coloured photograph of a live adult Mytella strigata in a petri dish and the shell open, showing the internal flesh and adductor mus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65540" name="Picture 8" descr="Coloured photograph of a live adult Mytella strigata in a petri dish and the shell open, showing the internal flesh and adductor muscle. "/>
                    <pic:cNvPicPr/>
                  </pic:nvPicPr>
                  <pic:blipFill>
                    <a:blip r:embed="rId243" cstate="email">
                      <a:extLst>
                        <a:ext uri="{28A0092B-C50C-407E-A947-70E740481C1C}">
                          <a14:useLocalDpi xmlns:a14="http://schemas.microsoft.com/office/drawing/2010/main" val="0"/>
                        </a:ext>
                      </a:extLst>
                    </a:blip>
                    <a:stretch>
                      <a:fillRect/>
                    </a:stretch>
                  </pic:blipFill>
                  <pic:spPr>
                    <a:xfrm>
                      <a:off x="0" y="0"/>
                      <a:ext cx="4613608" cy="3557882"/>
                    </a:xfrm>
                    <a:prstGeom prst="rect">
                      <a:avLst/>
                    </a:prstGeom>
                  </pic:spPr>
                </pic:pic>
              </a:graphicData>
            </a:graphic>
          </wp:inline>
        </w:drawing>
      </w:r>
    </w:p>
    <w:p w14:paraId="7F690182" w14:textId="76C356C6" w:rsidR="00BB24A8" w:rsidRPr="00846769" w:rsidRDefault="00BB24A8" w:rsidP="00BB24A8">
      <w:pPr>
        <w:pStyle w:val="FigureTableNoteSource"/>
        <w:rPr>
          <w:rStyle w:val="Emphasis"/>
          <w:i w:val="0"/>
          <w:iCs w:val="0"/>
        </w:rPr>
      </w:pPr>
      <w:r w:rsidRPr="00846769">
        <w:rPr>
          <w:rStyle w:val="Strong"/>
        </w:rPr>
        <w:t xml:space="preserve">A </w:t>
      </w:r>
      <w:r w:rsidRPr="00846769">
        <w:t xml:space="preserve">The posterior adductor muscle. </w:t>
      </w:r>
    </w:p>
    <w:p w14:paraId="1E0B553F" w14:textId="606B4FC2" w:rsidR="00150B17" w:rsidRPr="00846769" w:rsidRDefault="00343F02" w:rsidP="00B92153">
      <w:pPr>
        <w:pStyle w:val="FigureTableNoteSource"/>
        <w:rPr>
          <w:i/>
          <w:iCs/>
        </w:rPr>
      </w:pPr>
      <w:r w:rsidRPr="00846769">
        <w:rPr>
          <w:rStyle w:val="Emphasis"/>
          <w:i w:val="0"/>
          <w:iCs w:val="0"/>
        </w:rPr>
        <w:t xml:space="preserve">Source: </w:t>
      </w:r>
      <w:r w:rsidR="008E1565" w:rsidRPr="00846769">
        <w:rPr>
          <w:rStyle w:val="Emphasis"/>
          <w:i w:val="0"/>
          <w:iCs w:val="0"/>
        </w:rPr>
        <w:t>Jason Bayly-Stark</w:t>
      </w:r>
      <w:r w:rsidR="00242F17" w:rsidRPr="00846769">
        <w:rPr>
          <w:rStyle w:val="Emphasis"/>
          <w:i w:val="0"/>
          <w:iCs w:val="0"/>
        </w:rPr>
        <w:t>, D</w:t>
      </w:r>
      <w:r w:rsidR="008E1565" w:rsidRPr="00846769">
        <w:rPr>
          <w:rStyle w:val="Emphasis"/>
          <w:i w:val="0"/>
          <w:iCs w:val="0"/>
        </w:rPr>
        <w:t>epartment of Agriculture, Fisheries and Forestry (DAFF)</w:t>
      </w:r>
    </w:p>
    <w:p w14:paraId="2BB2B85C" w14:textId="77777777" w:rsidR="008C521D" w:rsidRPr="00846769" w:rsidRDefault="008C521D" w:rsidP="008C521D">
      <w:pPr>
        <w:pStyle w:val="Heading6"/>
        <w:spacing w:after="40"/>
        <w:rPr>
          <w:color w:val="262626" w:themeColor="text1" w:themeTint="D9"/>
        </w:rPr>
      </w:pPr>
      <w:r w:rsidRPr="00846769">
        <w:rPr>
          <w:color w:val="262626" w:themeColor="text1" w:themeTint="D9"/>
        </w:rPr>
        <w:t>Similar native species</w:t>
      </w:r>
    </w:p>
    <w:p w14:paraId="79F354F0" w14:textId="1AA21FAA" w:rsidR="00FC5C4B" w:rsidRPr="00846769" w:rsidRDefault="008C521D" w:rsidP="008C521D">
      <w:r w:rsidRPr="00846769">
        <w:rPr>
          <w:i/>
          <w:iCs/>
        </w:rPr>
        <w:t>Mytella strigata</w:t>
      </w:r>
      <w:r w:rsidRPr="00846769">
        <w:t xml:space="preserve"> can look </w:t>
      </w:r>
      <w:proofErr w:type="gramStart"/>
      <w:r w:rsidRPr="00846769">
        <w:t>similar to</w:t>
      </w:r>
      <w:proofErr w:type="gramEnd"/>
      <w:r w:rsidRPr="00846769">
        <w:t xml:space="preserve"> </w:t>
      </w:r>
      <w:r w:rsidR="00FC5C4B" w:rsidRPr="00846769">
        <w:t xml:space="preserve">native mussels (and </w:t>
      </w:r>
      <w:proofErr w:type="spellStart"/>
      <w:r w:rsidR="00FC5C4B" w:rsidRPr="00846769">
        <w:t>mytiliforms</w:t>
      </w:r>
      <w:proofErr w:type="spellEnd"/>
      <w:r w:rsidR="00FC5C4B" w:rsidRPr="00846769">
        <w:t xml:space="preserve">) in size and shape, such as the </w:t>
      </w:r>
      <w:r w:rsidRPr="00846769">
        <w:rPr>
          <w:i/>
          <w:iCs/>
        </w:rPr>
        <w:t>Mytilus edulis</w:t>
      </w:r>
      <w:r w:rsidR="00FC5C4B" w:rsidRPr="00846769">
        <w:t>/</w:t>
      </w:r>
      <w:proofErr w:type="spellStart"/>
      <w:r w:rsidR="00FC5C4B" w:rsidRPr="00846769">
        <w:rPr>
          <w:i/>
          <w:iCs/>
        </w:rPr>
        <w:t>galloprovincialis</w:t>
      </w:r>
      <w:proofErr w:type="spellEnd"/>
      <w:r w:rsidR="00FC5C4B" w:rsidRPr="00846769">
        <w:rPr>
          <w:i/>
          <w:iCs/>
        </w:rPr>
        <w:t xml:space="preserve"> </w:t>
      </w:r>
      <w:r w:rsidRPr="00846769">
        <w:t>complex</w:t>
      </w:r>
      <w:r w:rsidR="00FC5C4B" w:rsidRPr="00846769">
        <w:t xml:space="preserve">. There has been confusion with </w:t>
      </w:r>
      <w:r w:rsidR="00FC5C4B" w:rsidRPr="00846769">
        <w:rPr>
          <w:i/>
          <w:iCs/>
        </w:rPr>
        <w:t xml:space="preserve">M. strigata </w:t>
      </w:r>
      <w:r w:rsidR="00FC5C4B" w:rsidRPr="00846769">
        <w:t xml:space="preserve">and members of the </w:t>
      </w:r>
      <w:r w:rsidR="00FC5C4B" w:rsidRPr="00846769">
        <w:rPr>
          <w:i/>
          <w:iCs/>
        </w:rPr>
        <w:t>M. edulis/</w:t>
      </w:r>
      <w:proofErr w:type="spellStart"/>
      <w:r w:rsidR="00FC5C4B" w:rsidRPr="00846769">
        <w:rPr>
          <w:i/>
          <w:iCs/>
        </w:rPr>
        <w:t>gallprovincialis</w:t>
      </w:r>
      <w:proofErr w:type="spellEnd"/>
      <w:r w:rsidR="00FC5C4B" w:rsidRPr="00846769">
        <w:rPr>
          <w:i/>
          <w:iCs/>
        </w:rPr>
        <w:t xml:space="preserve"> </w:t>
      </w:r>
      <w:r w:rsidR="00FC5C4B" w:rsidRPr="00846769">
        <w:t xml:space="preserve">complex, which have an elongate anterior pedal retractor muscle scar </w:t>
      </w:r>
      <w:r w:rsidR="00FC5C4B" w:rsidRPr="00DD01E4">
        <w:t>(MPSC 2018). Other</w:t>
      </w:r>
      <w:r w:rsidR="00FC5C4B" w:rsidRPr="00846769">
        <w:t xml:space="preserve"> similar species include native </w:t>
      </w:r>
      <w:r w:rsidR="00FC5C4B" w:rsidRPr="00846769">
        <w:rPr>
          <w:i/>
          <w:iCs/>
        </w:rPr>
        <w:t xml:space="preserve">Mytella </w:t>
      </w:r>
      <w:r w:rsidR="00FC5C4B" w:rsidRPr="00846769">
        <w:t xml:space="preserve">spp., </w:t>
      </w:r>
      <w:proofErr w:type="spellStart"/>
      <w:r w:rsidR="00FC5C4B" w:rsidRPr="00846769">
        <w:rPr>
          <w:i/>
          <w:iCs/>
        </w:rPr>
        <w:t>Xenostrobus</w:t>
      </w:r>
      <w:proofErr w:type="spellEnd"/>
      <w:r w:rsidR="00FC5C4B" w:rsidRPr="00846769">
        <w:rPr>
          <w:i/>
          <w:iCs/>
        </w:rPr>
        <w:t xml:space="preserve"> </w:t>
      </w:r>
      <w:r w:rsidR="00FC5C4B" w:rsidRPr="00846769">
        <w:t xml:space="preserve">spp., </w:t>
      </w:r>
      <w:proofErr w:type="spellStart"/>
      <w:r w:rsidR="00FC5C4B" w:rsidRPr="00846769">
        <w:rPr>
          <w:i/>
          <w:iCs/>
        </w:rPr>
        <w:t>Brachidontes</w:t>
      </w:r>
      <w:proofErr w:type="spellEnd"/>
      <w:r w:rsidR="00FC5C4B" w:rsidRPr="00846769">
        <w:rPr>
          <w:i/>
          <w:iCs/>
        </w:rPr>
        <w:t xml:space="preserve"> </w:t>
      </w:r>
      <w:r w:rsidR="00FC5C4B" w:rsidRPr="00846769">
        <w:t xml:space="preserve">spp., and </w:t>
      </w:r>
      <w:r w:rsidR="00FC5C4B" w:rsidRPr="00846769">
        <w:rPr>
          <w:i/>
          <w:iCs/>
        </w:rPr>
        <w:t xml:space="preserve">Modiolus </w:t>
      </w:r>
      <w:r w:rsidR="00FC5C4B" w:rsidRPr="00846769">
        <w:t xml:space="preserve">spp. </w:t>
      </w:r>
    </w:p>
    <w:p w14:paraId="02577B0A" w14:textId="36409138" w:rsidR="008C521D" w:rsidRPr="00846769" w:rsidRDefault="008C521D" w:rsidP="008C521D">
      <w:r w:rsidRPr="00846769">
        <w:rPr>
          <w:i/>
          <w:iCs/>
        </w:rPr>
        <w:t>Mytella strigata</w:t>
      </w:r>
      <w:r w:rsidRPr="00846769">
        <w:t xml:space="preserve"> can be differentiated from </w:t>
      </w:r>
      <w:r w:rsidR="00FC5C4B" w:rsidRPr="00846769">
        <w:t xml:space="preserve">introduced </w:t>
      </w:r>
      <w:r w:rsidRPr="00846769">
        <w:t xml:space="preserve">species in the genus </w:t>
      </w:r>
      <w:r w:rsidRPr="00846769">
        <w:rPr>
          <w:i/>
          <w:iCs/>
        </w:rPr>
        <w:t>Perna</w:t>
      </w:r>
      <w:r w:rsidRPr="00846769">
        <w:t xml:space="preserve"> by its blueish to purplish nacreous interior and more angled </w:t>
      </w:r>
      <w:r w:rsidRPr="004E6582">
        <w:t>valve (</w:t>
      </w:r>
      <w:r w:rsidRPr="00634A79">
        <w:t>Jayachandran et al. 2019; Vallejo Jr et al. 2017).</w:t>
      </w:r>
    </w:p>
    <w:p w14:paraId="6119893C" w14:textId="6C55B2CC" w:rsidR="008C521D" w:rsidRPr="00846769" w:rsidRDefault="008C521D" w:rsidP="008C521D">
      <w:r w:rsidRPr="00846769">
        <w:t xml:space="preserve">Photographs of some similar native bivalves to </w:t>
      </w:r>
      <w:r w:rsidRPr="00846769">
        <w:rPr>
          <w:i/>
          <w:iCs/>
        </w:rPr>
        <w:t xml:space="preserve">M. strigata </w:t>
      </w:r>
      <w:r w:rsidRPr="00846769">
        <w:t xml:space="preserve">can be found at the </w:t>
      </w:r>
      <w:hyperlink r:id="rId244" w:history="1">
        <w:r w:rsidRPr="00846769">
          <w:rPr>
            <w:rStyle w:val="Hyperlink"/>
          </w:rPr>
          <w:t xml:space="preserve">marine </w:t>
        </w:r>
        <w:proofErr w:type="gramStart"/>
        <w:r w:rsidRPr="00846769">
          <w:rPr>
            <w:rStyle w:val="Hyperlink"/>
          </w:rPr>
          <w:t>pests</w:t>
        </w:r>
        <w:proofErr w:type="gramEnd"/>
        <w:r w:rsidRPr="00846769">
          <w:rPr>
            <w:rStyle w:val="Hyperlink"/>
          </w:rPr>
          <w:t xml:space="preserve"> website.</w:t>
        </w:r>
      </w:hyperlink>
      <w:r w:rsidRPr="00846769">
        <w:t xml:space="preserve"> </w:t>
      </w:r>
    </w:p>
    <w:p w14:paraId="1F850122" w14:textId="77777777" w:rsidR="00491BF2" w:rsidRPr="00846769" w:rsidRDefault="00491BF2" w:rsidP="00491BF2">
      <w:pPr>
        <w:pStyle w:val="Heading6"/>
        <w:spacing w:after="40"/>
        <w:rPr>
          <w:color w:val="262626" w:themeColor="text1" w:themeTint="D9"/>
        </w:rPr>
      </w:pPr>
      <w:r w:rsidRPr="00846769">
        <w:rPr>
          <w:color w:val="262626" w:themeColor="text1" w:themeTint="D9"/>
        </w:rPr>
        <w:t>Laboratory and molecular identification</w:t>
      </w:r>
    </w:p>
    <w:p w14:paraId="06711559" w14:textId="66EEE7A6" w:rsidR="00D57CEF" w:rsidRPr="00846769" w:rsidRDefault="00B5740F" w:rsidP="00BF317B">
      <w:r w:rsidRPr="00846769">
        <w:t xml:space="preserve">A species-specific </w:t>
      </w:r>
      <w:r w:rsidR="00A630C9" w:rsidRPr="00846769">
        <w:t>q</w:t>
      </w:r>
      <w:r w:rsidRPr="00846769">
        <w:t xml:space="preserve">PCR </w:t>
      </w:r>
      <w:r w:rsidRPr="00DD01E4">
        <w:t>targeting the mitochondrial CO</w:t>
      </w:r>
      <w:r w:rsidR="00A630C9" w:rsidRPr="00DD01E4">
        <w:t>I</w:t>
      </w:r>
      <w:r w:rsidRPr="00DD01E4">
        <w:t xml:space="preserve"> gene of </w:t>
      </w:r>
      <w:r w:rsidRPr="00DD01E4">
        <w:rPr>
          <w:i/>
          <w:iCs/>
        </w:rPr>
        <w:t>M</w:t>
      </w:r>
      <w:r w:rsidR="00A630C9" w:rsidRPr="00DD01E4">
        <w:rPr>
          <w:i/>
          <w:iCs/>
        </w:rPr>
        <w:t>.</w:t>
      </w:r>
      <w:r w:rsidRPr="00DD01E4">
        <w:rPr>
          <w:i/>
          <w:iCs/>
        </w:rPr>
        <w:t xml:space="preserve"> strigata </w:t>
      </w:r>
      <w:r w:rsidRPr="00DD01E4">
        <w:t xml:space="preserve">has been developed </w:t>
      </w:r>
      <w:r w:rsidR="00D57CEF" w:rsidRPr="00DD01E4">
        <w:t xml:space="preserve">and validated under Australian </w:t>
      </w:r>
      <w:r w:rsidR="00D57CEF" w:rsidRPr="004E6582">
        <w:t>conditions (</w:t>
      </w:r>
      <w:r w:rsidR="00D57CEF" w:rsidRPr="00634A79">
        <w:t>Wiltshire et al. 2021</w:t>
      </w:r>
      <w:r w:rsidR="00D57CEF" w:rsidRPr="004E6582">
        <w:t xml:space="preserve">). </w:t>
      </w:r>
      <w:r w:rsidR="00C9474E" w:rsidRPr="004E6582">
        <w:t>Performance of this assay was assessed in both plankton samples and in scrapes, with the latter data applicable</w:t>
      </w:r>
      <w:r w:rsidR="00C9474E">
        <w:t xml:space="preserve"> to settlement plates (Wiltshire et al. 2021). Application of this assay to DNA from archived plankton samples collected around Australia also demonstrated field specificity of this assay (Wiltshire et al. 2021).</w:t>
      </w:r>
    </w:p>
    <w:p w14:paraId="3AC6DB1A" w14:textId="02C242A4" w:rsidR="006939E1" w:rsidRPr="00846769" w:rsidRDefault="00B5740F" w:rsidP="00BF317B">
      <w:pPr>
        <w:rPr>
          <w:rFonts w:cstheme="minorHAnsi"/>
        </w:rPr>
      </w:pPr>
      <w:r w:rsidRPr="00846769">
        <w:rPr>
          <w:rFonts w:cstheme="minorHAnsi"/>
        </w:rPr>
        <w:t>Refer to the guidelines for development and validation of assays for marine pests</w:t>
      </w:r>
      <w:r w:rsidRPr="00846769">
        <w:t xml:space="preserve"> for further information</w:t>
      </w:r>
      <w:r w:rsidRPr="00846769">
        <w:rPr>
          <w:rFonts w:cstheme="minorHAnsi"/>
        </w:rPr>
        <w:t xml:space="preserve"> and </w:t>
      </w:r>
      <w:hyperlink r:id="rId245" w:anchor=":~:text=Compendium%20of%20introduced%20marine%20pest%20molecular%20studies%20relevant%20to%20Australia,-Department%20of%20Agriculture&amp;text=This%20compendium%20provides%20a%20central,research%20and%20surveillance%20in%20Australia." w:history="1">
        <w:r w:rsidR="00AD7B94" w:rsidRPr="00846769">
          <w:rPr>
            <w:rStyle w:val="Hyperlink"/>
            <w:rFonts w:cstheme="minorHAnsi"/>
          </w:rPr>
          <w:t>c</w:t>
        </w:r>
        <w:r w:rsidRPr="00846769">
          <w:rPr>
            <w:rStyle w:val="Hyperlink"/>
            <w:rFonts w:cstheme="minorHAnsi"/>
          </w:rPr>
          <w:t>ompendium of introduced marine pest molecular studies relevant to Australia</w:t>
        </w:r>
      </w:hyperlink>
      <w:r w:rsidRPr="00846769">
        <w:rPr>
          <w:rFonts w:cstheme="minorHAnsi"/>
        </w:rPr>
        <w:t>.</w:t>
      </w:r>
    </w:p>
    <w:p w14:paraId="63D09D25" w14:textId="77777777" w:rsidR="00A630C9" w:rsidRPr="00846769" w:rsidRDefault="00A630C9" w:rsidP="00A630C9">
      <w:pPr>
        <w:pStyle w:val="Heading5"/>
        <w:spacing w:after="120"/>
        <w:rPr>
          <w:color w:val="262626" w:themeColor="text1" w:themeTint="D9"/>
          <w:sz w:val="24"/>
          <w:szCs w:val="24"/>
        </w:rPr>
      </w:pPr>
      <w:r w:rsidRPr="00846769">
        <w:rPr>
          <w:color w:val="262626" w:themeColor="text1" w:themeTint="D9"/>
          <w:sz w:val="24"/>
          <w:szCs w:val="24"/>
        </w:rPr>
        <w:lastRenderedPageBreak/>
        <w:t>Life history and ecology</w:t>
      </w:r>
    </w:p>
    <w:p w14:paraId="55297D44" w14:textId="77777777" w:rsidR="00A630C9" w:rsidRPr="00846769" w:rsidRDefault="00A630C9" w:rsidP="00A630C9">
      <w:pPr>
        <w:pStyle w:val="Heading6"/>
        <w:spacing w:after="40"/>
        <w:rPr>
          <w:color w:val="262626" w:themeColor="text1" w:themeTint="D9"/>
        </w:rPr>
      </w:pPr>
      <w:r w:rsidRPr="00846769">
        <w:rPr>
          <w:color w:val="262626" w:themeColor="text1" w:themeTint="D9"/>
        </w:rPr>
        <w:t>Life habit</w:t>
      </w:r>
    </w:p>
    <w:p w14:paraId="7E87FC04" w14:textId="046658CA" w:rsidR="006939E1" w:rsidRPr="004E6582" w:rsidRDefault="2D45FC2C" w:rsidP="00BF317B">
      <w:r w:rsidRPr="00846769">
        <w:rPr>
          <w:i/>
          <w:iCs/>
        </w:rPr>
        <w:t xml:space="preserve">Mytella strigata </w:t>
      </w:r>
      <w:r w:rsidRPr="00846769">
        <w:t xml:space="preserve">is common in estuarine and lagoon environments. It mainly occupies the intertidal and subtidal. It can live </w:t>
      </w:r>
      <w:r w:rsidR="340BEF72" w:rsidRPr="00846769">
        <w:t>o</w:t>
      </w:r>
      <w:r w:rsidRPr="00846769">
        <w:t xml:space="preserve">n a variety of surfaces, including attached to hard substrate and soft sediments. Surfaces that </w:t>
      </w:r>
      <w:r w:rsidRPr="00846769">
        <w:rPr>
          <w:i/>
          <w:iCs/>
        </w:rPr>
        <w:t xml:space="preserve">M. </w:t>
      </w:r>
      <w:r w:rsidRPr="004E6582">
        <w:rPr>
          <w:i/>
          <w:iCs/>
        </w:rPr>
        <w:t xml:space="preserve">strigata </w:t>
      </w:r>
      <w:r w:rsidRPr="004E6582">
        <w:t xml:space="preserve">can be attached to include rock, oysters, wood, reefs, vessels, and wharf pylons. </w:t>
      </w:r>
      <w:r w:rsidRPr="004E6582">
        <w:rPr>
          <w:i/>
          <w:iCs/>
        </w:rPr>
        <w:t xml:space="preserve">Mytella strigata </w:t>
      </w:r>
      <w:r w:rsidRPr="004E6582">
        <w:t xml:space="preserve">is unusual for a mussel in that </w:t>
      </w:r>
      <w:r w:rsidR="1B3C6ADA" w:rsidRPr="004E6582">
        <w:t>can form</w:t>
      </w:r>
      <w:r w:rsidRPr="004E6582">
        <w:t xml:space="preserve"> dense beds either on top of, or buried into, the sediment (</w:t>
      </w:r>
      <w:r w:rsidRPr="00634A79">
        <w:t>Carranza et al. 2009</w:t>
      </w:r>
      <w:r w:rsidRPr="004E6582">
        <w:t>). In its introduced range in Florida, it is found on oyster beds, shells, wood, and tree roots, but is more common on man-made substrates, such as docks and</w:t>
      </w:r>
      <w:r w:rsidR="5C41D5E8" w:rsidRPr="004E6582">
        <w:t xml:space="preserve"> intake pipes of </w:t>
      </w:r>
      <w:r w:rsidRPr="004E6582">
        <w:t>power plants (</w:t>
      </w:r>
      <w:r w:rsidRPr="00634A79">
        <w:t>Gilg et al. 2010).</w:t>
      </w:r>
      <w:r w:rsidRPr="004E6582">
        <w:t xml:space="preserve"> </w:t>
      </w:r>
    </w:p>
    <w:p w14:paraId="41DC194B" w14:textId="3A824027" w:rsidR="006939E1" w:rsidRPr="00846769" w:rsidRDefault="00B5740F" w:rsidP="00BF317B">
      <w:r w:rsidRPr="004E6582">
        <w:t xml:space="preserve">The optimal water temperature range for </w:t>
      </w:r>
      <w:r w:rsidRPr="004E6582">
        <w:rPr>
          <w:i/>
          <w:iCs/>
        </w:rPr>
        <w:t xml:space="preserve">M. strigata </w:t>
      </w:r>
      <w:r w:rsidRPr="004E6582">
        <w:t>is between 9 and 32</w:t>
      </w:r>
      <w:r w:rsidRPr="004E6582">
        <w:rPr>
          <w:rFonts w:cstheme="minorHAnsi"/>
        </w:rPr>
        <w:t>°</w:t>
      </w:r>
      <w:r w:rsidRPr="004E6582">
        <w:t>C. Byssus thread production is significantly reduced at water temperatures below 13</w:t>
      </w:r>
      <w:r w:rsidRPr="004E6582">
        <w:rPr>
          <w:rFonts w:cstheme="minorHAnsi"/>
        </w:rPr>
        <w:t>°</w:t>
      </w:r>
      <w:r w:rsidRPr="004E6582">
        <w:t xml:space="preserve">C, likely affecting survivability of </w:t>
      </w:r>
      <w:r w:rsidRPr="004E6582">
        <w:rPr>
          <w:i/>
          <w:iCs/>
        </w:rPr>
        <w:t xml:space="preserve">M. strigata </w:t>
      </w:r>
      <w:r w:rsidRPr="004E6582">
        <w:t xml:space="preserve">at these temperatures. </w:t>
      </w:r>
      <w:r w:rsidRPr="004E6582">
        <w:rPr>
          <w:i/>
          <w:iCs/>
        </w:rPr>
        <w:t xml:space="preserve">Mytella strigata </w:t>
      </w:r>
      <w:r w:rsidRPr="004E6582">
        <w:t>can tolera</w:t>
      </w:r>
      <w:r w:rsidR="00EC6B54" w:rsidRPr="004E6582">
        <w:t>te</w:t>
      </w:r>
      <w:r w:rsidRPr="004E6582">
        <w:t xml:space="preserve"> wide salinity ranges, however, the ability to tolerate salinity extremes decreases with increased or decreased temperatures. For instance, adult </w:t>
      </w:r>
      <w:r w:rsidRPr="004E6582">
        <w:rPr>
          <w:i/>
          <w:iCs/>
        </w:rPr>
        <w:t xml:space="preserve">M. strigata </w:t>
      </w:r>
      <w:r w:rsidRPr="004E6582">
        <w:t>can survive very high and low (around 2 ppt) salinities at 20</w:t>
      </w:r>
      <w:r w:rsidRPr="004E6582">
        <w:rPr>
          <w:rFonts w:cstheme="minorHAnsi"/>
        </w:rPr>
        <w:t>°</w:t>
      </w:r>
      <w:r w:rsidRPr="004E6582">
        <w:t xml:space="preserve">C, but their tolerance drops when the water temperature is increased or decreased. In its introduced range in Florida, populations of </w:t>
      </w:r>
      <w:r w:rsidRPr="004E6582">
        <w:rPr>
          <w:i/>
          <w:iCs/>
        </w:rPr>
        <w:t xml:space="preserve">M. strigata </w:t>
      </w:r>
      <w:r w:rsidRPr="004E6582">
        <w:t>decline or even disappear during years with cold winter water temperatures</w:t>
      </w:r>
      <w:r w:rsidR="005704F6" w:rsidRPr="004E6582">
        <w:t xml:space="preserve"> (Calazans et al. 2017)</w:t>
      </w:r>
      <w:r w:rsidRPr="004E6582">
        <w:t>.</w:t>
      </w:r>
      <w:r w:rsidRPr="00846769">
        <w:t xml:space="preserve">  </w:t>
      </w:r>
    </w:p>
    <w:p w14:paraId="2082058A" w14:textId="77777777" w:rsidR="00A630C9" w:rsidRPr="00846769" w:rsidRDefault="00A630C9" w:rsidP="00A630C9">
      <w:pPr>
        <w:pStyle w:val="Heading6"/>
        <w:spacing w:after="40"/>
        <w:rPr>
          <w:color w:val="262626" w:themeColor="text1" w:themeTint="D9"/>
        </w:rPr>
      </w:pPr>
      <w:r w:rsidRPr="00846769">
        <w:rPr>
          <w:color w:val="262626" w:themeColor="text1" w:themeTint="D9"/>
        </w:rPr>
        <w:t>Reproduction and growth</w:t>
      </w:r>
    </w:p>
    <w:p w14:paraId="6076A58F" w14:textId="2CF24A02" w:rsidR="006939E1" w:rsidRPr="004E6582" w:rsidRDefault="00B5740F" w:rsidP="00BF317B">
      <w:r w:rsidRPr="00846769">
        <w:rPr>
          <w:i/>
          <w:iCs/>
        </w:rPr>
        <w:t xml:space="preserve">Mytella strigata </w:t>
      </w:r>
      <w:r w:rsidRPr="00846769">
        <w:t xml:space="preserve">maintains separate sexes under conditions of steady food supply, but starvation can result in the change of </w:t>
      </w:r>
      <w:r w:rsidRPr="00DD01E4">
        <w:t xml:space="preserve">individuals from female to </w:t>
      </w:r>
      <w:r w:rsidRPr="004E6582">
        <w:t>male (</w:t>
      </w:r>
      <w:proofErr w:type="spellStart"/>
      <w:r w:rsidRPr="004E6582">
        <w:t>Stenyakina</w:t>
      </w:r>
      <w:proofErr w:type="spellEnd"/>
      <w:r w:rsidRPr="004E6582">
        <w:t xml:space="preserve"> et al. 2010). </w:t>
      </w:r>
      <w:r w:rsidRPr="004E6582">
        <w:rPr>
          <w:i/>
          <w:iCs/>
        </w:rPr>
        <w:t xml:space="preserve">Mytella strigata </w:t>
      </w:r>
      <w:r w:rsidRPr="004E6582">
        <w:t>is a broadcast spawner, reaching sexual maturity at a minimum size of 12.5 mm shell length (</w:t>
      </w:r>
      <w:proofErr w:type="spellStart"/>
      <w:r w:rsidRPr="004E6582">
        <w:t>Stenyakina</w:t>
      </w:r>
      <w:proofErr w:type="spellEnd"/>
      <w:r w:rsidRPr="004E6582">
        <w:t xml:space="preserve"> et al. 2010). Spawning typically occurs during warmer water times of the year, however, trickle spawning throughout the year can occur.</w:t>
      </w:r>
    </w:p>
    <w:p w14:paraId="42BA5A35" w14:textId="3CAE1FA7" w:rsidR="006939E1" w:rsidRPr="00846769" w:rsidRDefault="00B5740F" w:rsidP="00BF317B">
      <w:r w:rsidRPr="004E6582">
        <w:t xml:space="preserve">Fertilised eggs develop into planktotrophic larvae and veligers where they remain in the water column for between 10 to 15 days before settling. </w:t>
      </w:r>
      <w:r w:rsidRPr="004E6582">
        <w:rPr>
          <w:i/>
          <w:iCs/>
        </w:rPr>
        <w:t xml:space="preserve">Mytella strigata </w:t>
      </w:r>
      <w:r w:rsidRPr="004E6582">
        <w:t>produce thin byssus threads to attach themselves to the substrate when ready to settle (Tay et al. 2018).</w:t>
      </w:r>
      <w:r w:rsidRPr="00846769">
        <w:t xml:space="preserve"> </w:t>
      </w:r>
    </w:p>
    <w:p w14:paraId="2D2E9148" w14:textId="77777777" w:rsidR="00A630C9" w:rsidRPr="00846769" w:rsidRDefault="00A630C9" w:rsidP="00A630C9">
      <w:pPr>
        <w:pStyle w:val="Heading6"/>
        <w:spacing w:after="40"/>
        <w:rPr>
          <w:color w:val="262626" w:themeColor="text1" w:themeTint="D9"/>
        </w:rPr>
      </w:pPr>
      <w:r w:rsidRPr="00846769">
        <w:rPr>
          <w:color w:val="262626" w:themeColor="text1" w:themeTint="D9"/>
        </w:rPr>
        <w:t>Pathways and vectors</w:t>
      </w:r>
    </w:p>
    <w:p w14:paraId="54AEEAA2" w14:textId="1D212BCB" w:rsidR="005878DF" w:rsidRPr="004E6582" w:rsidRDefault="2D45FC2C" w:rsidP="00BF317B">
      <w:r w:rsidRPr="00846769">
        <w:rPr>
          <w:i/>
          <w:iCs/>
        </w:rPr>
        <w:t xml:space="preserve">Mytella strigata </w:t>
      </w:r>
      <w:r w:rsidRPr="00846769">
        <w:t xml:space="preserve">can spread via hull fouling and fouling of </w:t>
      </w:r>
      <w:r w:rsidR="005878DF" w:rsidRPr="00846769">
        <w:t xml:space="preserve">vessel </w:t>
      </w:r>
      <w:r w:rsidRPr="00846769">
        <w:t>niche area</w:t>
      </w:r>
      <w:r w:rsidR="0E9DC074" w:rsidRPr="00846769">
        <w:t>s</w:t>
      </w:r>
      <w:r w:rsidRPr="00846769">
        <w:t>.</w:t>
      </w:r>
      <w:r w:rsidR="005878DF" w:rsidRPr="00846769">
        <w:t xml:space="preserve"> Vessel biofouling is the main risk pathway for this species into Australia, where mussels were previously detected and removed from a vessel’s hull </w:t>
      </w:r>
      <w:r w:rsidR="007D11A1">
        <w:t>on arrival in</w:t>
      </w:r>
      <w:r w:rsidR="005878DF" w:rsidRPr="00846769">
        <w:t xml:space="preserve"> northern Australia</w:t>
      </w:r>
      <w:r w:rsidR="007D11A1">
        <w:t>; an adult mussel in the vessel’s internal seawater systems was killed by treatment</w:t>
      </w:r>
      <w:r w:rsidR="005878DF" w:rsidRPr="00846769">
        <w:t>.</w:t>
      </w:r>
      <w:r w:rsidRPr="00846769">
        <w:t xml:space="preserve"> The mussel is often found attached to floating logs and other debris in its introduced range suggesting dispersal of flotsam could be an important secondary pathway. The larval period of </w:t>
      </w:r>
      <w:r w:rsidRPr="00846769">
        <w:rPr>
          <w:i/>
          <w:iCs/>
        </w:rPr>
        <w:t xml:space="preserve">M. strigata </w:t>
      </w:r>
      <w:r w:rsidRPr="00846769">
        <w:t xml:space="preserve">can also support its ability to be spread via ballast water. </w:t>
      </w:r>
      <w:r w:rsidRPr="00846769">
        <w:rPr>
          <w:i/>
          <w:iCs/>
        </w:rPr>
        <w:t xml:space="preserve">Mytella strigata </w:t>
      </w:r>
      <w:r w:rsidRPr="00846769">
        <w:t xml:space="preserve">is thought to have been introduced to Florida via ballast water in an oil </w:t>
      </w:r>
      <w:r w:rsidRPr="004E6582">
        <w:t xml:space="preserve">tanker (Lee 1987). </w:t>
      </w:r>
    </w:p>
    <w:p w14:paraId="7A176C2A" w14:textId="77777777" w:rsidR="00A630C9" w:rsidRPr="004E6582" w:rsidRDefault="00A630C9" w:rsidP="00A630C9">
      <w:pPr>
        <w:pStyle w:val="Heading6"/>
        <w:spacing w:after="40"/>
        <w:rPr>
          <w:color w:val="262626" w:themeColor="text1" w:themeTint="D9"/>
        </w:rPr>
      </w:pPr>
      <w:r w:rsidRPr="004E6582">
        <w:rPr>
          <w:color w:val="262626" w:themeColor="text1" w:themeTint="D9"/>
        </w:rPr>
        <w:t>Potential impacts</w:t>
      </w:r>
    </w:p>
    <w:p w14:paraId="01AD3F31" w14:textId="7A943169" w:rsidR="006939E1" w:rsidRPr="00846769" w:rsidRDefault="2D45FC2C" w:rsidP="00BF317B">
      <w:r w:rsidRPr="004E6582">
        <w:rPr>
          <w:i/>
          <w:iCs/>
        </w:rPr>
        <w:t xml:space="preserve">Mytella strigata </w:t>
      </w:r>
      <w:r w:rsidRPr="004E6582">
        <w:t>have been observed competing with native sessile invertebrates in all countries that</w:t>
      </w:r>
      <w:r w:rsidR="7D739571" w:rsidRPr="004E6582">
        <w:t xml:space="preserve"> it</w:t>
      </w:r>
      <w:r w:rsidRPr="004E6582">
        <w:t xml:space="preserve"> has invaded (Huang et al. 2021; Lim et al. 2018). </w:t>
      </w:r>
      <w:r w:rsidRPr="004E6582">
        <w:rPr>
          <w:i/>
          <w:iCs/>
        </w:rPr>
        <w:t xml:space="preserve">Mytella strigata </w:t>
      </w:r>
      <w:r w:rsidRPr="004E6582">
        <w:t>can form high density populations, up to 49,600 m</w:t>
      </w:r>
      <w:r w:rsidRPr="004E6582">
        <w:rPr>
          <w:vertAlign w:val="superscript"/>
        </w:rPr>
        <w:t>2</w:t>
      </w:r>
      <w:r w:rsidRPr="004E6582">
        <w:t xml:space="preserve"> and close to 100% cover, smothering other benthic organisms and aquaculture stock and clogging intake pipes of power plants (Gilg et al. 2010). </w:t>
      </w:r>
      <w:r w:rsidRPr="004E6582">
        <w:rPr>
          <w:i/>
          <w:iCs/>
        </w:rPr>
        <w:t xml:space="preserve">Mytella strigata </w:t>
      </w:r>
      <w:r w:rsidRPr="004E6582">
        <w:t xml:space="preserve">has impacted native </w:t>
      </w:r>
      <w:r w:rsidRPr="004E6582">
        <w:rPr>
          <w:i/>
          <w:iCs/>
        </w:rPr>
        <w:t xml:space="preserve">Perna viridis </w:t>
      </w:r>
      <w:r w:rsidRPr="004E6582">
        <w:t xml:space="preserve">culture in the Philippines and Singapore through high density fouling </w:t>
      </w:r>
      <w:r w:rsidRPr="004E6582">
        <w:lastRenderedPageBreak/>
        <w:t>on aquaculture product (</w:t>
      </w:r>
      <w:proofErr w:type="spellStart"/>
      <w:r w:rsidRPr="004E6582">
        <w:t>Sanpanich</w:t>
      </w:r>
      <w:proofErr w:type="spellEnd"/>
      <w:r w:rsidRPr="004E6582">
        <w:t xml:space="preserve"> &amp; Wells 2019).</w:t>
      </w:r>
      <w:r w:rsidR="1B2FD5E7" w:rsidRPr="004E6582">
        <w:t xml:space="preserve"> In Taiwan,</w:t>
      </w:r>
      <w:r w:rsidR="1B2FD5E7" w:rsidRPr="00846769">
        <w:t xml:space="preserve"> </w:t>
      </w:r>
      <w:r w:rsidR="1B2FD5E7" w:rsidRPr="00846769">
        <w:rPr>
          <w:i/>
          <w:iCs/>
        </w:rPr>
        <w:t xml:space="preserve">M. strigata </w:t>
      </w:r>
      <w:r w:rsidR="1B2FD5E7" w:rsidRPr="00846769">
        <w:t>is reported to reduce growth rat</w:t>
      </w:r>
      <w:r w:rsidR="1B2FD5E7" w:rsidRPr="005F7F32">
        <w:t>es and surviva</w:t>
      </w:r>
      <w:r w:rsidR="1D7E7338" w:rsidRPr="005F7F32">
        <w:t xml:space="preserve">l of cultured </w:t>
      </w:r>
      <w:r w:rsidR="1D7E7338" w:rsidRPr="004E6582">
        <w:t>clams (Huang et al</w:t>
      </w:r>
      <w:r w:rsidR="00B9714D" w:rsidRPr="004E6582">
        <w:t>.</w:t>
      </w:r>
      <w:r w:rsidR="1D7E7338" w:rsidRPr="004E6582">
        <w:t xml:space="preserve"> 2021)</w:t>
      </w:r>
      <w:r w:rsidR="00EC6B54" w:rsidRPr="004E6582">
        <w:t>.</w:t>
      </w:r>
      <w:r w:rsidR="1B2FD5E7" w:rsidRPr="004E6582">
        <w:t xml:space="preserve"> </w:t>
      </w:r>
      <w:r w:rsidR="36E5021C" w:rsidRPr="004E6582">
        <w:t>It also has</w:t>
      </w:r>
      <w:r w:rsidR="36E5021C" w:rsidRPr="00846769">
        <w:t xml:space="preserve"> been observed </w:t>
      </w:r>
      <w:r w:rsidR="48076C34" w:rsidRPr="00846769">
        <w:t>overgrowing invasive and native mussels in the Straits</w:t>
      </w:r>
      <w:r w:rsidR="36E5021C" w:rsidRPr="00846769">
        <w:t xml:space="preserve"> </w:t>
      </w:r>
      <w:r w:rsidR="0B7191CF" w:rsidRPr="00846769">
        <w:t>of Johor</w:t>
      </w:r>
      <w:r w:rsidR="6BD782C2" w:rsidRPr="00846769">
        <w:t xml:space="preserve"> and some parts of India</w:t>
      </w:r>
      <w:r w:rsidR="36E5021C" w:rsidRPr="00846769">
        <w:t>.</w:t>
      </w:r>
      <w:r w:rsidR="6E9297D3" w:rsidRPr="00846769">
        <w:t xml:space="preserve"> </w:t>
      </w:r>
      <w:r w:rsidRPr="00846769">
        <w:t xml:space="preserve">When fouling mussels die, they can create oxygen deprivation zones impacting benthic and mobile species. </w:t>
      </w:r>
    </w:p>
    <w:p w14:paraId="09C44738" w14:textId="77777777" w:rsidR="00A630C9" w:rsidRPr="00846769" w:rsidRDefault="00A630C9" w:rsidP="00A630C9">
      <w:pPr>
        <w:pStyle w:val="Heading5"/>
        <w:spacing w:after="40"/>
        <w:rPr>
          <w:color w:val="262626" w:themeColor="text1" w:themeTint="D9"/>
          <w:sz w:val="24"/>
          <w:szCs w:val="24"/>
        </w:rPr>
      </w:pPr>
      <w:r w:rsidRPr="00846769">
        <w:rPr>
          <w:color w:val="262626" w:themeColor="text1" w:themeTint="D9"/>
          <w:sz w:val="24"/>
          <w:szCs w:val="24"/>
        </w:rPr>
        <w:t>Global and Australian distribution</w:t>
      </w:r>
    </w:p>
    <w:p w14:paraId="4390B502" w14:textId="7639CB34" w:rsidR="006939E1" w:rsidRPr="00846769" w:rsidRDefault="00B5740F" w:rsidP="00BF317B">
      <w:r w:rsidRPr="00846769">
        <w:rPr>
          <w:i/>
          <w:iCs/>
        </w:rPr>
        <w:t xml:space="preserve">Mytella strigata </w:t>
      </w:r>
      <w:r w:rsidRPr="00846769">
        <w:t>is native to the tropical Western Atlantic from Panama to Arg</w:t>
      </w:r>
      <w:r w:rsidRPr="00933093">
        <w:t xml:space="preserve">entina (Gillis et al. 2009). </w:t>
      </w:r>
      <w:r w:rsidR="006939AE" w:rsidRPr="00933093">
        <w:t>This species is also present along the tropical east Pacific, from California to Ecuador (Gillis et al. 2009). Genetic work by Gillis et al. (2009) suggests</w:t>
      </w:r>
      <w:r w:rsidR="006939AE" w:rsidRPr="00846769">
        <w:t xml:space="preserve"> that Pacific </w:t>
      </w:r>
      <w:r w:rsidR="006939AE" w:rsidRPr="00846769">
        <w:rPr>
          <w:i/>
          <w:iCs/>
        </w:rPr>
        <w:t xml:space="preserve">M. strigata </w:t>
      </w:r>
      <w:r w:rsidR="006939AE" w:rsidRPr="00846769">
        <w:t>may be a cryptic species from the Atlantic form</w:t>
      </w:r>
      <w:r w:rsidR="006939AE" w:rsidRPr="004E6582">
        <w:t>.</w:t>
      </w:r>
      <w:r w:rsidRPr="004E6582">
        <w:t xml:space="preserve"> </w:t>
      </w:r>
      <w:r w:rsidR="00436FC2" w:rsidRPr="004E6582">
        <w:rPr>
          <w:i/>
          <w:iCs/>
        </w:rPr>
        <w:t xml:space="preserve">Mytella strigata </w:t>
      </w:r>
      <w:r w:rsidR="00436FC2" w:rsidRPr="004E6582">
        <w:t xml:space="preserve">has been introduced to the southeast United States, first found in Florida in 1986 and then in Georgia (Lee 1987). </w:t>
      </w:r>
      <w:r w:rsidRPr="004E6582">
        <w:t>It has</w:t>
      </w:r>
      <w:r w:rsidRPr="00846769">
        <w:t xml:space="preserve"> also been introduced to the Philippines and Singapore</w:t>
      </w:r>
      <w:r w:rsidR="23608163" w:rsidRPr="00846769">
        <w:t>, Thailand, Taiwan</w:t>
      </w:r>
      <w:r w:rsidR="006939AE" w:rsidRPr="00846769">
        <w:t>,</w:t>
      </w:r>
      <w:r w:rsidRPr="00846769">
        <w:t xml:space="preserve"> and the south</w:t>
      </w:r>
      <w:r w:rsidR="006939AE" w:rsidRPr="00846769">
        <w:t>west</w:t>
      </w:r>
      <w:r w:rsidRPr="00846769">
        <w:t xml:space="preserve"> of India (</w:t>
      </w:r>
      <w:r w:rsidR="009A514B">
        <w:fldChar w:fldCharType="begin"/>
      </w:r>
      <w:r w:rsidR="009A514B">
        <w:instrText xml:space="preserve"> REF _Ref189512269 \h </w:instrText>
      </w:r>
      <w:r w:rsidR="009A514B">
        <w:fldChar w:fldCharType="separate"/>
      </w:r>
      <w:r w:rsidR="009A514B">
        <w:t xml:space="preserve">Map </w:t>
      </w:r>
      <w:r w:rsidR="009A514B">
        <w:rPr>
          <w:noProof/>
        </w:rPr>
        <w:t>11</w:t>
      </w:r>
      <w:r w:rsidR="009A514B">
        <w:fldChar w:fldCharType="end"/>
      </w:r>
      <w:r w:rsidRPr="00846769">
        <w:t>)</w:t>
      </w:r>
      <w:r w:rsidR="00F700C8" w:rsidRPr="00846769">
        <w:t>.</w:t>
      </w:r>
      <w:r w:rsidR="009A514B">
        <w:t xml:space="preserve"> Species range mapping from ABARES shows that the whole of Australia is potentially suitable for </w:t>
      </w:r>
      <w:r w:rsidR="009A514B">
        <w:rPr>
          <w:i/>
          <w:iCs/>
        </w:rPr>
        <w:t xml:space="preserve">M. strigata </w:t>
      </w:r>
      <w:r w:rsidR="009A514B">
        <w:t>establishment (</w:t>
      </w:r>
      <w:r w:rsidR="009A514B">
        <w:fldChar w:fldCharType="begin"/>
      </w:r>
      <w:r w:rsidR="009A514B">
        <w:instrText xml:space="preserve"> REF _Ref189512308 \h </w:instrText>
      </w:r>
      <w:r w:rsidR="009A514B">
        <w:fldChar w:fldCharType="separate"/>
      </w:r>
      <w:r w:rsidR="009A514B">
        <w:t xml:space="preserve">Map </w:t>
      </w:r>
      <w:r w:rsidR="009A514B">
        <w:rPr>
          <w:noProof/>
        </w:rPr>
        <w:t>12</w:t>
      </w:r>
      <w:r w:rsidR="009A514B">
        <w:fldChar w:fldCharType="end"/>
      </w:r>
      <w:r w:rsidR="009A514B">
        <w:t>).</w:t>
      </w:r>
    </w:p>
    <w:p w14:paraId="5A37CBD0" w14:textId="1C99D30E" w:rsidR="00611CCC" w:rsidRPr="00846769" w:rsidRDefault="00B92153" w:rsidP="00A04E26">
      <w:r w:rsidRPr="00846769">
        <w:rPr>
          <w:i/>
          <w:iCs/>
        </w:rPr>
        <w:t xml:space="preserve">Mytella strigata </w:t>
      </w:r>
      <w:r w:rsidRPr="00846769">
        <w:t xml:space="preserve">has not been recorded in Australia, however, it has been detected and removed from a vessel traveling to </w:t>
      </w:r>
      <w:r w:rsidR="006939AE" w:rsidRPr="00846769">
        <w:t xml:space="preserve">northern </w:t>
      </w:r>
      <w:r w:rsidRPr="00846769">
        <w:t xml:space="preserve">Australia. The mussel has been established in several warm water lagoons and estuaries around the world. Given its preference for warmer </w:t>
      </w:r>
      <w:r w:rsidR="00070E64" w:rsidRPr="00846769">
        <w:t>water,</w:t>
      </w:r>
      <w:r w:rsidRPr="00846769">
        <w:t xml:space="preserve"> it is likely a higher risk of introduction and establishment in tropical Australia than colder temperate estuaries along Australia’s southern coastline</w:t>
      </w:r>
      <w:r w:rsidR="006939AE" w:rsidRPr="00846769">
        <w:t xml:space="preserve">. </w:t>
      </w:r>
    </w:p>
    <w:p w14:paraId="17C1153D" w14:textId="625934D7" w:rsidR="009A514B" w:rsidRDefault="009A514B" w:rsidP="009A514B">
      <w:pPr>
        <w:pStyle w:val="Caption"/>
      </w:pPr>
      <w:bookmarkStart w:id="653" w:name="_Ref189512269"/>
      <w:bookmarkStart w:id="654" w:name="_Toc191999565"/>
      <w:r>
        <w:t xml:space="preserve">Map </w:t>
      </w:r>
      <w:r>
        <w:fldChar w:fldCharType="begin"/>
      </w:r>
      <w:r>
        <w:instrText xml:space="preserve"> SEQ Map \* ARABIC </w:instrText>
      </w:r>
      <w:r>
        <w:fldChar w:fldCharType="separate"/>
      </w:r>
      <w:r>
        <w:rPr>
          <w:noProof/>
        </w:rPr>
        <w:t>11</w:t>
      </w:r>
      <w:r>
        <w:fldChar w:fldCharType="end"/>
      </w:r>
      <w:bookmarkEnd w:id="653"/>
      <w:r>
        <w:t xml:space="preserve"> </w:t>
      </w:r>
      <w:r w:rsidRPr="00846769">
        <w:t xml:space="preserve">Known global distribution of </w:t>
      </w:r>
      <w:r w:rsidRPr="00846769">
        <w:rPr>
          <w:i/>
          <w:iCs/>
        </w:rPr>
        <w:t>Mytella strigata</w:t>
      </w:r>
      <w:bookmarkEnd w:id="654"/>
    </w:p>
    <w:p w14:paraId="09550329" w14:textId="6D386FCA" w:rsidR="00D57CEF" w:rsidRPr="00846769" w:rsidRDefault="004E5649" w:rsidP="00BF317B">
      <w:r w:rsidRPr="00846769">
        <w:rPr>
          <w:noProof/>
        </w:rPr>
        <w:drawing>
          <wp:inline distT="0" distB="0" distL="0" distR="0" wp14:anchorId="292593F1" wp14:editId="3671EFC2">
            <wp:extent cx="5731510" cy="2865755"/>
            <wp:effectExtent l="0" t="0" r="2540" b="0"/>
            <wp:docPr id="577539538" name="Picture 5" descr="Greyscale world map for the known global distribution of Mytella strigata. Distribution is shown in blue circles, green squares and red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39538" name="Picture 5" descr="Greyscale world map for the known global distribution of Mytella strigata. Distribution is shown in blue circles, green squares and red triangles. "/>
                    <pic:cNvPicPr/>
                  </pic:nvPicPr>
                  <pic:blipFill>
                    <a:blip r:embed="rId246" cstate="email">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A04524B" w14:textId="29D42CA2" w:rsidR="006939E1" w:rsidRDefault="00B5740F" w:rsidP="00BF317B">
      <w:pPr>
        <w:pStyle w:val="FigureTableNoteSource"/>
      </w:pPr>
      <w:r w:rsidRPr="00846769">
        <w:rPr>
          <w:rStyle w:val="Emphasis"/>
          <w:b/>
          <w:bCs/>
          <w:i w:val="0"/>
          <w:iCs w:val="0"/>
        </w:rPr>
        <w:t>Data source:</w:t>
      </w:r>
      <w:r w:rsidRPr="00846769">
        <w:t xml:space="preserve"> GBIF.org (25 May 202</w:t>
      </w:r>
      <w:r w:rsidR="006939AE" w:rsidRPr="00846769">
        <w:t>4</w:t>
      </w:r>
      <w:r w:rsidRPr="00846769">
        <w:t>)</w:t>
      </w:r>
      <w:r w:rsidR="006939AE" w:rsidRPr="00846769">
        <w:t>.</w:t>
      </w:r>
      <w:r w:rsidRPr="00846769">
        <w:t xml:space="preserve"> GBIF Occurrence Download</w:t>
      </w:r>
      <w:r w:rsidR="006939AE" w:rsidRPr="00846769">
        <w:t>:</w:t>
      </w:r>
      <w:r w:rsidRPr="00846769">
        <w:t> </w:t>
      </w:r>
      <w:hyperlink r:id="rId247" w:history="1">
        <w:r w:rsidR="009A514B" w:rsidRPr="00E642E2">
          <w:rPr>
            <w:rStyle w:val="Hyperlink"/>
            <w:sz w:val="18"/>
          </w:rPr>
          <w:t>https://doi.org/10.15468/dl.a8jw4u</w:t>
        </w:r>
      </w:hyperlink>
    </w:p>
    <w:p w14:paraId="47E30544" w14:textId="769EB7C4" w:rsidR="009A514B" w:rsidRDefault="009A514B" w:rsidP="009A514B">
      <w:pPr>
        <w:pStyle w:val="Caption"/>
      </w:pPr>
      <w:bookmarkStart w:id="655" w:name="_Ref189512308"/>
      <w:bookmarkStart w:id="656" w:name="_Toc191999566"/>
      <w:r>
        <w:lastRenderedPageBreak/>
        <w:t xml:space="preserve">Map </w:t>
      </w:r>
      <w:r>
        <w:fldChar w:fldCharType="begin"/>
      </w:r>
      <w:r>
        <w:instrText xml:space="preserve"> SEQ Map \* ARABIC </w:instrText>
      </w:r>
      <w:r>
        <w:fldChar w:fldCharType="separate"/>
      </w:r>
      <w:r>
        <w:rPr>
          <w:noProof/>
        </w:rPr>
        <w:t>12</w:t>
      </w:r>
      <w:r>
        <w:fldChar w:fldCharType="end"/>
      </w:r>
      <w:bookmarkEnd w:id="655"/>
      <w:r>
        <w:t xml:space="preserve"> Maximum potential range of </w:t>
      </w:r>
      <w:r>
        <w:rPr>
          <w:i/>
          <w:iCs/>
        </w:rPr>
        <w:t xml:space="preserve">Mytella strigata </w:t>
      </w:r>
      <w:r>
        <w:t>in Australian waters, indicating areas of potential suitability in red</w:t>
      </w:r>
      <w:bookmarkEnd w:id="656"/>
    </w:p>
    <w:p w14:paraId="76F89B84" w14:textId="3B1E70B3" w:rsidR="009A514B" w:rsidRDefault="009A514B" w:rsidP="009A514B">
      <w:r>
        <w:rPr>
          <w:noProof/>
        </w:rPr>
        <w:drawing>
          <wp:inline distT="0" distB="0" distL="0" distR="0" wp14:anchorId="6CD77D8A" wp14:editId="67B56F0B">
            <wp:extent cx="5619750" cy="3905250"/>
            <wp:effectExtent l="0" t="0" r="0" b="0"/>
            <wp:docPr id="1354286486" name="Picture 7" descr="Red map of Australia showing the potential range for Mytella stri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86486" name="Picture 7" descr="Red map of Australia showing the potential range for Mytella strigata."/>
                    <pic:cNvPicPr>
                      <a:picLocks noChangeAspect="1" noChangeArrowheads="1"/>
                    </pic:cNvPicPr>
                  </pic:nvPicPr>
                  <pic:blipFill rotWithShape="1">
                    <a:blip r:embed="rId248" cstate="email">
                      <a:extLst>
                        <a:ext uri="{28A0092B-C50C-407E-A947-70E740481C1C}">
                          <a14:useLocalDpi xmlns:a14="http://schemas.microsoft.com/office/drawing/2010/main" val="0"/>
                        </a:ext>
                      </a:extLst>
                    </a:blip>
                    <a:srcRect/>
                    <a:stretch/>
                  </pic:blipFill>
                  <pic:spPr bwMode="auto">
                    <a:xfrm>
                      <a:off x="0" y="0"/>
                      <a:ext cx="5619750" cy="3905250"/>
                    </a:xfrm>
                    <a:prstGeom prst="rect">
                      <a:avLst/>
                    </a:prstGeom>
                    <a:noFill/>
                    <a:ln>
                      <a:noFill/>
                    </a:ln>
                    <a:extLst>
                      <a:ext uri="{53640926-AAD7-44D8-BBD7-CCE9431645EC}">
                        <a14:shadowObscured xmlns:a14="http://schemas.microsoft.com/office/drawing/2010/main"/>
                      </a:ext>
                    </a:extLst>
                  </pic:spPr>
                </pic:pic>
              </a:graphicData>
            </a:graphic>
          </wp:inline>
        </w:drawing>
      </w:r>
    </w:p>
    <w:p w14:paraId="3891D24C" w14:textId="1A5046B0" w:rsidR="009A514B" w:rsidRPr="009A514B" w:rsidRDefault="009A514B" w:rsidP="009A514B">
      <w:pPr>
        <w:pStyle w:val="FigureTableNoteSource"/>
      </w:pPr>
      <w:r w:rsidRPr="00846769">
        <w:rPr>
          <w:rStyle w:val="Emphasis"/>
          <w:b/>
          <w:bCs/>
          <w:i w:val="0"/>
          <w:iCs w:val="0"/>
        </w:rPr>
        <w:t>Data source</w:t>
      </w:r>
      <w:r w:rsidRPr="00846769">
        <w:rPr>
          <w:rStyle w:val="Emphasis"/>
          <w:i w:val="0"/>
          <w:iCs w:val="0"/>
        </w:rPr>
        <w:t>:</w:t>
      </w:r>
      <w:r w:rsidRPr="00846769">
        <w:rPr>
          <w:rStyle w:val="Emphasis"/>
        </w:rPr>
        <w:t xml:space="preserve"> </w:t>
      </w:r>
      <w:r>
        <w:rPr>
          <w:rStyle w:val="Emphasis"/>
          <w:i w:val="0"/>
          <w:iCs w:val="0"/>
        </w:rPr>
        <w:t>Australian Bureau of Agricultural and Resource Economics and Sciences (</w:t>
      </w:r>
      <w:r>
        <w:t>ABARES) 2021</w:t>
      </w:r>
    </w:p>
    <w:p w14:paraId="64F240A9" w14:textId="77777777" w:rsidR="00A630C9" w:rsidRPr="00846769" w:rsidRDefault="00A630C9" w:rsidP="00A630C9">
      <w:pPr>
        <w:pStyle w:val="Heading5"/>
        <w:spacing w:before="40" w:after="40"/>
        <w:ind w:left="851" w:hanging="851"/>
        <w:rPr>
          <w:rFonts w:cstheme="minorHAnsi"/>
        </w:rPr>
      </w:pPr>
      <w:r w:rsidRPr="00846769">
        <w:rPr>
          <w:rFonts w:cstheme="minorHAnsi"/>
        </w:rPr>
        <w:t>Invasion history</w:t>
      </w:r>
    </w:p>
    <w:p w14:paraId="390DCB55" w14:textId="24E51E63" w:rsidR="006939E1" w:rsidRPr="004E6582" w:rsidRDefault="2D45FC2C" w:rsidP="00BF317B">
      <w:r w:rsidRPr="004E6582">
        <w:rPr>
          <w:i/>
          <w:iCs/>
        </w:rPr>
        <w:t xml:space="preserve">Mytella strigata </w:t>
      </w:r>
      <w:r w:rsidRPr="004E6582">
        <w:t xml:space="preserve">was first recorded </w:t>
      </w:r>
      <w:r w:rsidR="006939AE" w:rsidRPr="004E6582">
        <w:t>in</w:t>
      </w:r>
      <w:r w:rsidRPr="004E6582">
        <w:t xml:space="preserve"> Florida, USA, in 1986 after a report of an unusual mussel clogging intake pipes of a </w:t>
      </w:r>
      <w:r w:rsidR="00297452" w:rsidRPr="004E6582">
        <w:t xml:space="preserve">power station </w:t>
      </w:r>
      <w:r w:rsidRPr="004E6582">
        <w:t xml:space="preserve">(Lee 1987). The mussel was continually recorded in Florida and then later was found to have spread northwards to Georgia (Spinuzzi et al. 2013). Sporadic records have been made of </w:t>
      </w:r>
      <w:r w:rsidRPr="004E6582">
        <w:rPr>
          <w:i/>
          <w:iCs/>
        </w:rPr>
        <w:t xml:space="preserve">M. strigata </w:t>
      </w:r>
      <w:r w:rsidRPr="004E6582">
        <w:t xml:space="preserve">from </w:t>
      </w:r>
      <w:proofErr w:type="gramStart"/>
      <w:r w:rsidRPr="004E6582">
        <w:t>South Carolina,</w:t>
      </w:r>
      <w:proofErr w:type="gramEnd"/>
      <w:r w:rsidRPr="004E6582">
        <w:t xml:space="preserve"> however, the cooler winter water appears to limit its northern distribution. In 2014, </w:t>
      </w:r>
      <w:r w:rsidRPr="004E6582">
        <w:rPr>
          <w:i/>
          <w:iCs/>
        </w:rPr>
        <w:t xml:space="preserve">M. strigata </w:t>
      </w:r>
      <w:r w:rsidRPr="004E6582">
        <w:t xml:space="preserve">was reported </w:t>
      </w:r>
      <w:r w:rsidR="00680CA4" w:rsidRPr="004E6582">
        <w:t>in</w:t>
      </w:r>
      <w:r w:rsidRPr="004E6582">
        <w:t xml:space="preserve"> the Philippines</w:t>
      </w:r>
      <w:r w:rsidR="00680CA4" w:rsidRPr="004E6582">
        <w:t xml:space="preserve"> (Fuertes et al. 2021)</w:t>
      </w:r>
      <w:r w:rsidRPr="004E6582">
        <w:t xml:space="preserve">. It is now found in Singapore, </w:t>
      </w:r>
      <w:r w:rsidR="6E9CB605" w:rsidRPr="004E6582">
        <w:t xml:space="preserve">Taiwan, </w:t>
      </w:r>
      <w:r w:rsidRPr="004E6582">
        <w:t>the Gulf of Thailand</w:t>
      </w:r>
      <w:r w:rsidR="006939AE" w:rsidRPr="004E6582">
        <w:t>,</w:t>
      </w:r>
      <w:r w:rsidRPr="004E6582">
        <w:t xml:space="preserve"> and India. It is considered an important invasive pest in southeast Asia</w:t>
      </w:r>
      <w:r w:rsidR="00F700C8" w:rsidRPr="004E6582">
        <w:t xml:space="preserve"> (Huang et al. 2021; Jayachandran et al. 2019; Lim et al. 201</w:t>
      </w:r>
      <w:r w:rsidR="005F7F32" w:rsidRPr="004E6582">
        <w:t>8</w:t>
      </w:r>
      <w:r w:rsidR="00F700C8" w:rsidRPr="004E6582">
        <w:t xml:space="preserve">; </w:t>
      </w:r>
      <w:proofErr w:type="spellStart"/>
      <w:r w:rsidR="00F700C8" w:rsidRPr="004E6582">
        <w:t>Sanpanich</w:t>
      </w:r>
      <w:proofErr w:type="spellEnd"/>
      <w:r w:rsidR="00F700C8" w:rsidRPr="004E6582">
        <w:t xml:space="preserve"> &amp; Wells 2019; Wells et al. 2024)</w:t>
      </w:r>
      <w:r w:rsidRPr="004E6582">
        <w:t xml:space="preserve">.  </w:t>
      </w:r>
    </w:p>
    <w:p w14:paraId="01B6DEB3" w14:textId="77777777" w:rsidR="00A630C9" w:rsidRPr="00846769" w:rsidRDefault="00A630C9" w:rsidP="00A630C9">
      <w:pPr>
        <w:pStyle w:val="Heading5"/>
        <w:spacing w:before="40" w:after="40"/>
        <w:ind w:left="851" w:hanging="851"/>
        <w:rPr>
          <w:color w:val="262626" w:themeColor="text1" w:themeTint="D9"/>
        </w:rPr>
      </w:pPr>
      <w:r w:rsidRPr="004E6582">
        <w:rPr>
          <w:color w:val="262626" w:themeColor="text1" w:themeTint="D9"/>
        </w:rPr>
        <w:t>Diseases</w:t>
      </w:r>
    </w:p>
    <w:p w14:paraId="30A4976C" w14:textId="1820E167" w:rsidR="00A630C9" w:rsidRPr="00846769" w:rsidRDefault="2D45FC2C" w:rsidP="00BF317B">
      <w:r w:rsidRPr="00846769">
        <w:t xml:space="preserve">There are no species-specific disease data for </w:t>
      </w:r>
      <w:r w:rsidRPr="00846769">
        <w:rPr>
          <w:i/>
          <w:iCs/>
        </w:rPr>
        <w:t>Mytella strigata</w:t>
      </w:r>
      <w:r w:rsidRPr="00846769">
        <w:t xml:space="preserve">. A </w:t>
      </w:r>
      <w:r w:rsidRPr="004E6582">
        <w:t xml:space="preserve">histopathological survey of </w:t>
      </w:r>
      <w:r w:rsidRPr="004E6582">
        <w:rPr>
          <w:i/>
          <w:iCs/>
        </w:rPr>
        <w:t>M.</w:t>
      </w:r>
      <w:r w:rsidR="00070E64">
        <w:rPr>
          <w:i/>
          <w:iCs/>
        </w:rPr>
        <w:t> </w:t>
      </w:r>
      <w:proofErr w:type="spellStart"/>
      <w:r w:rsidRPr="004E6582">
        <w:rPr>
          <w:i/>
          <w:iCs/>
        </w:rPr>
        <w:t>guyanensis</w:t>
      </w:r>
      <w:proofErr w:type="spellEnd"/>
      <w:r w:rsidRPr="004E6582">
        <w:rPr>
          <w:i/>
          <w:iCs/>
        </w:rPr>
        <w:t xml:space="preserve"> </w:t>
      </w:r>
      <w:r w:rsidRPr="004E6582">
        <w:t xml:space="preserve">in Brazil revealed a range of parasites and pathogens (Ceuta &amp; Boehs 2012). Intracellular bacteria, </w:t>
      </w:r>
      <w:proofErr w:type="spellStart"/>
      <w:r w:rsidRPr="004E6582">
        <w:rPr>
          <w:i/>
          <w:iCs/>
        </w:rPr>
        <w:t>Nematopsis</w:t>
      </w:r>
      <w:proofErr w:type="spellEnd"/>
      <w:r w:rsidRPr="004E6582">
        <w:rPr>
          <w:i/>
          <w:iCs/>
        </w:rPr>
        <w:t xml:space="preserve"> </w:t>
      </w:r>
      <w:r w:rsidRPr="004E6582">
        <w:t xml:space="preserve">sp. and </w:t>
      </w:r>
      <w:r w:rsidRPr="004E6582">
        <w:rPr>
          <w:i/>
          <w:iCs/>
        </w:rPr>
        <w:t xml:space="preserve">Bucephalus </w:t>
      </w:r>
      <w:r w:rsidRPr="004E6582">
        <w:t xml:space="preserve">sp. were recorded. </w:t>
      </w:r>
      <w:proofErr w:type="spellStart"/>
      <w:r w:rsidRPr="004E6582">
        <w:t>Mytilid</w:t>
      </w:r>
      <w:proofErr w:type="spellEnd"/>
      <w:r w:rsidRPr="004E6582">
        <w:t xml:space="preserve"> mussels can be infected by</w:t>
      </w:r>
      <w:r w:rsidR="00A630C9" w:rsidRPr="004E6582">
        <w:t xml:space="preserve"> </w:t>
      </w:r>
      <w:r w:rsidRPr="004E6582">
        <w:t xml:space="preserve">several important parasites. </w:t>
      </w:r>
      <w:proofErr w:type="spellStart"/>
      <w:r w:rsidRPr="004E6582">
        <w:rPr>
          <w:i/>
          <w:iCs/>
        </w:rPr>
        <w:t>Marteilia</w:t>
      </w:r>
      <w:proofErr w:type="spellEnd"/>
      <w:r w:rsidRPr="004E6582">
        <w:rPr>
          <w:i/>
          <w:iCs/>
        </w:rPr>
        <w:t xml:space="preserve"> </w:t>
      </w:r>
      <w:proofErr w:type="spellStart"/>
      <w:r w:rsidRPr="004E6582">
        <w:rPr>
          <w:i/>
          <w:iCs/>
        </w:rPr>
        <w:t>refringens</w:t>
      </w:r>
      <w:proofErr w:type="spellEnd"/>
      <w:r w:rsidRPr="004E6582">
        <w:rPr>
          <w:i/>
          <w:iCs/>
        </w:rPr>
        <w:t xml:space="preserve"> </w:t>
      </w:r>
      <w:r w:rsidRPr="004E6582">
        <w:t xml:space="preserve">and </w:t>
      </w:r>
      <w:r w:rsidRPr="004E6582">
        <w:rPr>
          <w:i/>
          <w:iCs/>
        </w:rPr>
        <w:t>M</w:t>
      </w:r>
      <w:r w:rsidR="00A630C9" w:rsidRPr="004E6582">
        <w:rPr>
          <w:i/>
          <w:iCs/>
        </w:rPr>
        <w:t>.</w:t>
      </w:r>
      <w:r w:rsidRPr="004E6582">
        <w:rPr>
          <w:i/>
          <w:iCs/>
        </w:rPr>
        <w:t xml:space="preserve"> </w:t>
      </w:r>
      <w:proofErr w:type="spellStart"/>
      <w:r w:rsidRPr="004E6582">
        <w:rPr>
          <w:i/>
          <w:iCs/>
        </w:rPr>
        <w:t>pararefringens</w:t>
      </w:r>
      <w:proofErr w:type="spellEnd"/>
      <w:r w:rsidRPr="004E6582">
        <w:rPr>
          <w:i/>
          <w:iCs/>
        </w:rPr>
        <w:t xml:space="preserve"> </w:t>
      </w:r>
      <w:r w:rsidRPr="004E6582">
        <w:t xml:space="preserve">infect </w:t>
      </w:r>
      <w:r w:rsidRPr="004E6582">
        <w:rPr>
          <w:i/>
          <w:iCs/>
        </w:rPr>
        <w:t>Mytilus</w:t>
      </w:r>
      <w:r w:rsidR="00070E64">
        <w:rPr>
          <w:i/>
          <w:iCs/>
        </w:rPr>
        <w:t> </w:t>
      </w:r>
      <w:r w:rsidRPr="004E6582">
        <w:t>spp. (Kerr et al. 2018). An invasive copepod</w:t>
      </w:r>
      <w:r w:rsidR="6A7054E8" w:rsidRPr="004E6582">
        <w:t>,</w:t>
      </w:r>
      <w:r w:rsidRPr="004E6582">
        <w:t xml:space="preserve"> </w:t>
      </w:r>
      <w:proofErr w:type="spellStart"/>
      <w:r w:rsidRPr="004E6582">
        <w:rPr>
          <w:i/>
          <w:iCs/>
        </w:rPr>
        <w:t>Mytilicola</w:t>
      </w:r>
      <w:proofErr w:type="spellEnd"/>
      <w:r w:rsidRPr="004E6582">
        <w:rPr>
          <w:i/>
          <w:iCs/>
        </w:rPr>
        <w:t xml:space="preserve"> intestinalis</w:t>
      </w:r>
      <w:r w:rsidR="59B3F122" w:rsidRPr="004E6582">
        <w:rPr>
          <w:i/>
          <w:iCs/>
        </w:rPr>
        <w:t>,</w:t>
      </w:r>
      <w:r w:rsidRPr="004E6582">
        <w:rPr>
          <w:i/>
          <w:iCs/>
        </w:rPr>
        <w:t xml:space="preserve"> </w:t>
      </w:r>
      <w:r w:rsidRPr="004E6582">
        <w:t xml:space="preserve">has spread throughout Europe via introductions of hull-fouling mussels in the Mediterranean (Costello et al. 2021). The susceptibility of </w:t>
      </w:r>
      <w:r w:rsidRPr="004E6582">
        <w:rPr>
          <w:i/>
          <w:iCs/>
        </w:rPr>
        <w:t xml:space="preserve">M. strigata </w:t>
      </w:r>
      <w:r w:rsidRPr="004E6582">
        <w:t xml:space="preserve">to any of these parasites and pathogens is unknown </w:t>
      </w:r>
      <w:r w:rsidR="6E9CB605" w:rsidRPr="004E6582">
        <w:t>but</w:t>
      </w:r>
      <w:r w:rsidRPr="004E6582">
        <w:t xml:space="preserve"> probable considering</w:t>
      </w:r>
      <w:r w:rsidRPr="00846769">
        <w:t xml:space="preserve"> the similar life-history to other </w:t>
      </w:r>
      <w:proofErr w:type="spellStart"/>
      <w:r w:rsidRPr="00846769">
        <w:t>mytilid</w:t>
      </w:r>
      <w:proofErr w:type="spellEnd"/>
      <w:r w:rsidRPr="00846769">
        <w:t xml:space="preserve"> mussels.</w:t>
      </w:r>
    </w:p>
    <w:p w14:paraId="4FD508A1" w14:textId="77777777" w:rsidR="00A630C9" w:rsidRPr="00846769" w:rsidRDefault="00A630C9">
      <w:pPr>
        <w:spacing w:after="160" w:line="259" w:lineRule="auto"/>
      </w:pPr>
      <w:r w:rsidRPr="00846769">
        <w:br w:type="page"/>
      </w:r>
    </w:p>
    <w:p w14:paraId="3067B96B" w14:textId="57AB0C2A" w:rsidR="00E55B67" w:rsidRPr="00846769" w:rsidRDefault="00E55B67" w:rsidP="00EC6B54">
      <w:pPr>
        <w:pStyle w:val="Heading4"/>
        <w:spacing w:after="120"/>
        <w:rPr>
          <w:rStyle w:val="Emphasis"/>
          <w:color w:val="262626" w:themeColor="text1" w:themeTint="D9"/>
        </w:rPr>
      </w:pPr>
      <w:bookmarkStart w:id="657" w:name="_Toc87599118"/>
      <w:r w:rsidRPr="00846769">
        <w:rPr>
          <w:rStyle w:val="Emphasis"/>
          <w:color w:val="262626" w:themeColor="text1" w:themeTint="D9"/>
        </w:rPr>
        <w:lastRenderedPageBreak/>
        <w:t xml:space="preserve">Perna canaliculus, Perna </w:t>
      </w:r>
      <w:proofErr w:type="spellStart"/>
      <w:r w:rsidRPr="00846769">
        <w:rPr>
          <w:rStyle w:val="Emphasis"/>
          <w:color w:val="262626" w:themeColor="text1" w:themeTint="D9"/>
        </w:rPr>
        <w:t>perna</w:t>
      </w:r>
      <w:proofErr w:type="spellEnd"/>
      <w:r w:rsidR="00BC24CF" w:rsidRPr="00846769">
        <w:rPr>
          <w:rStyle w:val="Emphasis"/>
          <w:color w:val="262626" w:themeColor="text1" w:themeTint="D9"/>
        </w:rPr>
        <w:t>,</w:t>
      </w:r>
      <w:r w:rsidRPr="00846769">
        <w:rPr>
          <w:rStyle w:val="Emphasis"/>
          <w:color w:val="262626" w:themeColor="text1" w:themeTint="D9"/>
        </w:rPr>
        <w:t xml:space="preserve"> </w:t>
      </w:r>
      <w:r w:rsidRPr="00846769">
        <w:rPr>
          <w:rStyle w:val="Emphasis"/>
          <w:i w:val="0"/>
          <w:iCs w:val="0"/>
          <w:color w:val="262626" w:themeColor="text1" w:themeTint="D9"/>
        </w:rPr>
        <w:t>and</w:t>
      </w:r>
      <w:r w:rsidRPr="00846769">
        <w:rPr>
          <w:rStyle w:val="Emphasis"/>
          <w:color w:val="262626" w:themeColor="text1" w:themeTint="D9"/>
        </w:rPr>
        <w:t xml:space="preserve"> Perna viridis</w:t>
      </w:r>
    </w:p>
    <w:p w14:paraId="14C3D05F" w14:textId="4073FE17" w:rsidR="00A25663" w:rsidRPr="00846769" w:rsidRDefault="00E55B67" w:rsidP="00E55B67">
      <w:r w:rsidRPr="00846769">
        <w:rPr>
          <w:i/>
          <w:iCs/>
        </w:rPr>
        <w:t>Perna canaliculus</w:t>
      </w:r>
      <w:r w:rsidRPr="00846769">
        <w:t xml:space="preserve">, </w:t>
      </w:r>
      <w:r w:rsidRPr="00846769">
        <w:rPr>
          <w:i/>
          <w:iCs/>
        </w:rPr>
        <w:t>P. perna</w:t>
      </w:r>
      <w:r w:rsidR="0080717B" w:rsidRPr="00846769">
        <w:rPr>
          <w:i/>
          <w:iCs/>
        </w:rPr>
        <w:t>,</w:t>
      </w:r>
      <w:r w:rsidRPr="00846769">
        <w:t xml:space="preserve"> and </w:t>
      </w:r>
      <w:r w:rsidRPr="00846769">
        <w:rPr>
          <w:i/>
          <w:iCs/>
        </w:rPr>
        <w:t xml:space="preserve">P. viridis </w:t>
      </w:r>
      <w:r w:rsidRPr="00846769">
        <w:t xml:space="preserve">are large mussels and </w:t>
      </w:r>
      <w:r w:rsidR="00A25663" w:rsidRPr="00846769">
        <w:t xml:space="preserve">are </w:t>
      </w:r>
      <w:r w:rsidRPr="00846769">
        <w:t xml:space="preserve">the only members of the genus </w:t>
      </w:r>
      <w:r w:rsidRPr="00846769">
        <w:rPr>
          <w:i/>
          <w:iCs/>
        </w:rPr>
        <w:t>Perna</w:t>
      </w:r>
      <w:r w:rsidRPr="00846769">
        <w:t>.</w:t>
      </w:r>
      <w:r w:rsidR="00A25663" w:rsidRPr="00846769">
        <w:t xml:space="preserve"> </w:t>
      </w:r>
      <w:r w:rsidR="0080717B" w:rsidRPr="00846769">
        <w:t xml:space="preserve">All three species can produce heavy fouling on fixed and floating hard substrata, including vessels, wharves, aquaculture equipment, shoreline, and reefs. Consequently, all species can damage infrastructure and alter biodiversity by outcompeting or overgrowing native species. </w:t>
      </w:r>
      <w:r w:rsidR="00A25663" w:rsidRPr="00846769">
        <w:t xml:space="preserve">No </w:t>
      </w:r>
      <w:r w:rsidR="00A25663" w:rsidRPr="00846769">
        <w:rPr>
          <w:i/>
          <w:iCs/>
        </w:rPr>
        <w:t xml:space="preserve">Perna </w:t>
      </w:r>
      <w:r w:rsidR="00A25663" w:rsidRPr="00846769">
        <w:t xml:space="preserve">spp. are established in Australia, however, detections of </w:t>
      </w:r>
      <w:r w:rsidR="00A25663" w:rsidRPr="00846769">
        <w:rPr>
          <w:i/>
          <w:iCs/>
        </w:rPr>
        <w:t xml:space="preserve">Perna </w:t>
      </w:r>
      <w:r w:rsidR="00A25663" w:rsidRPr="00846769">
        <w:t xml:space="preserve">spp. have </w:t>
      </w:r>
      <w:r w:rsidR="000E29F3" w:rsidRPr="00846769">
        <w:t xml:space="preserve">previously </w:t>
      </w:r>
      <w:r w:rsidR="00A25663" w:rsidRPr="00846769">
        <w:t xml:space="preserve">occurred in Australia’s marine environment. </w:t>
      </w:r>
      <w:r w:rsidR="00A25663" w:rsidRPr="00846769">
        <w:rPr>
          <w:i/>
          <w:iCs/>
        </w:rPr>
        <w:t xml:space="preserve">Perna </w:t>
      </w:r>
      <w:r w:rsidR="00A25663" w:rsidRPr="00846769">
        <w:t xml:space="preserve">spp. are occasionally detected and removed from vessels </w:t>
      </w:r>
      <w:r w:rsidR="007D11A1">
        <w:t>arriving in</w:t>
      </w:r>
      <w:r w:rsidR="00A25663" w:rsidRPr="00846769">
        <w:t xml:space="preserve"> Australia.  </w:t>
      </w:r>
    </w:p>
    <w:p w14:paraId="13AFBEC3" w14:textId="3CE791BF" w:rsidR="0080717B" w:rsidRPr="00846769" w:rsidRDefault="00E55B67" w:rsidP="00E55B67">
      <w:pPr>
        <w:rPr>
          <w:color w:val="0D0D0D" w:themeColor="text1" w:themeTint="F2"/>
        </w:rPr>
      </w:pPr>
      <w:r w:rsidRPr="00846769">
        <w:rPr>
          <w:i/>
          <w:iCs/>
          <w:color w:val="0D0D0D" w:themeColor="text1" w:themeTint="F2"/>
        </w:rPr>
        <w:t xml:space="preserve">Perna canaliculus </w:t>
      </w:r>
      <w:r w:rsidRPr="00846769">
        <w:rPr>
          <w:color w:val="0D0D0D" w:themeColor="text1" w:themeTint="F2"/>
        </w:rPr>
        <w:t xml:space="preserve">is </w:t>
      </w:r>
      <w:r w:rsidR="00A25663" w:rsidRPr="00846769">
        <w:rPr>
          <w:color w:val="0D0D0D" w:themeColor="text1" w:themeTint="F2"/>
        </w:rPr>
        <w:t xml:space="preserve">known as the New Zealand green-lipped mussel and is </w:t>
      </w:r>
      <w:r w:rsidRPr="00846769">
        <w:rPr>
          <w:color w:val="0D0D0D" w:themeColor="text1" w:themeTint="F2"/>
        </w:rPr>
        <w:t>native to New Zealand</w:t>
      </w:r>
      <w:r w:rsidR="00A25663" w:rsidRPr="00846769">
        <w:rPr>
          <w:color w:val="0D0D0D" w:themeColor="text1" w:themeTint="F2"/>
        </w:rPr>
        <w:t>.</w:t>
      </w:r>
      <w:r w:rsidRPr="00846769">
        <w:rPr>
          <w:color w:val="0D0D0D" w:themeColor="text1" w:themeTint="F2"/>
        </w:rPr>
        <w:t xml:space="preserve"> </w:t>
      </w:r>
      <w:r w:rsidR="00A25663" w:rsidRPr="00846769">
        <w:rPr>
          <w:color w:val="0D0D0D" w:themeColor="text1" w:themeTint="F2"/>
        </w:rPr>
        <w:t>It</w:t>
      </w:r>
      <w:r w:rsidRPr="00846769">
        <w:rPr>
          <w:color w:val="0D0D0D" w:themeColor="text1" w:themeTint="F2"/>
        </w:rPr>
        <w:t xml:space="preserve"> has not successfully invaded any other countries. </w:t>
      </w:r>
      <w:r w:rsidR="00A25663" w:rsidRPr="00846769">
        <w:rPr>
          <w:color w:val="0D0D0D" w:themeColor="text1" w:themeTint="F2"/>
        </w:rPr>
        <w:t xml:space="preserve">In Australia, it has been detected in the environment in </w:t>
      </w:r>
      <w:r w:rsidR="0080717B" w:rsidRPr="00846769">
        <w:rPr>
          <w:color w:val="0D0D0D" w:themeColor="text1" w:themeTint="F2"/>
        </w:rPr>
        <w:t>South Australia, Tasmania, and Victoria</w:t>
      </w:r>
      <w:r w:rsidR="00A25663" w:rsidRPr="00846769">
        <w:rPr>
          <w:color w:val="0D0D0D" w:themeColor="text1" w:themeTint="F2"/>
        </w:rPr>
        <w:t>, but populations did not establish</w:t>
      </w:r>
      <w:r w:rsidR="0080717B" w:rsidRPr="00846769">
        <w:rPr>
          <w:color w:val="0D0D0D" w:themeColor="text1" w:themeTint="F2"/>
        </w:rPr>
        <w:t xml:space="preserve"> </w:t>
      </w:r>
      <w:r w:rsidR="00024764" w:rsidRPr="00846769">
        <w:rPr>
          <w:color w:val="0D0D0D" w:themeColor="text1" w:themeTint="F2"/>
        </w:rPr>
        <w:t>(</w:t>
      </w:r>
      <w:r w:rsidR="00024764" w:rsidRPr="00237DD0">
        <w:rPr>
          <w:rFonts w:ascii="Calibri" w:hAnsi="Calibri" w:cs="Calibri"/>
          <w:color w:val="0D0D0D" w:themeColor="text1" w:themeTint="F2"/>
          <w:shd w:val="clear" w:color="auto" w:fill="FFFFFF"/>
        </w:rPr>
        <w:t xml:space="preserve">Furlani </w:t>
      </w:r>
      <w:r w:rsidR="00024764" w:rsidRPr="00381A09">
        <w:rPr>
          <w:rFonts w:ascii="Calibri" w:hAnsi="Calibri" w:cs="Calibri"/>
          <w:color w:val="0D0D0D" w:themeColor="text1" w:themeTint="F2"/>
          <w:shd w:val="clear" w:color="auto" w:fill="FFFFFF"/>
        </w:rPr>
        <w:t>1996; Glasby</w:t>
      </w:r>
      <w:r w:rsidR="00381A09" w:rsidRPr="00381A09">
        <w:rPr>
          <w:rFonts w:ascii="Calibri" w:hAnsi="Calibri" w:cs="Calibri"/>
          <w:color w:val="0D0D0D" w:themeColor="text1" w:themeTint="F2"/>
          <w:shd w:val="clear" w:color="auto" w:fill="FFFFFF"/>
        </w:rPr>
        <w:t xml:space="preserve"> &amp; Lobb</w:t>
      </w:r>
      <w:r w:rsidR="00024764" w:rsidRPr="00381A09">
        <w:rPr>
          <w:rFonts w:ascii="Calibri" w:hAnsi="Calibri" w:cs="Calibri"/>
          <w:color w:val="0D0D0D" w:themeColor="text1" w:themeTint="F2"/>
          <w:shd w:val="clear" w:color="auto" w:fill="FFFFFF"/>
        </w:rPr>
        <w:t xml:space="preserve"> 2008)</w:t>
      </w:r>
      <w:r w:rsidR="00A25663" w:rsidRPr="00381A09">
        <w:rPr>
          <w:color w:val="0D0D0D" w:themeColor="text1" w:themeTint="F2"/>
        </w:rPr>
        <w:t xml:space="preserve">. </w:t>
      </w:r>
      <w:r w:rsidR="0080717B" w:rsidRPr="00381A09">
        <w:rPr>
          <w:color w:val="0D0D0D" w:themeColor="text1" w:themeTint="F2"/>
        </w:rPr>
        <w:t>It</w:t>
      </w:r>
      <w:r w:rsidR="0080717B" w:rsidRPr="00846769">
        <w:rPr>
          <w:color w:val="0D0D0D" w:themeColor="text1" w:themeTint="F2"/>
        </w:rPr>
        <w:t xml:space="preserve"> is widely cultivated in New Zealand and exported frozen around the world, and as a result, discarded </w:t>
      </w:r>
      <w:r w:rsidR="0080717B" w:rsidRPr="00846769">
        <w:rPr>
          <w:i/>
          <w:iCs/>
          <w:color w:val="0D0D0D" w:themeColor="text1" w:themeTint="F2"/>
        </w:rPr>
        <w:t xml:space="preserve">P. canaliculus </w:t>
      </w:r>
      <w:r w:rsidR="0080717B" w:rsidRPr="00846769">
        <w:rPr>
          <w:color w:val="0D0D0D" w:themeColor="text1" w:themeTint="F2"/>
        </w:rPr>
        <w:t xml:space="preserve">shells have been found on beaches </w:t>
      </w:r>
      <w:r w:rsidR="007D11A1">
        <w:rPr>
          <w:color w:val="0D0D0D" w:themeColor="text1" w:themeTint="F2"/>
        </w:rPr>
        <w:t>all over</w:t>
      </w:r>
      <w:r w:rsidR="007D11A1" w:rsidRPr="00846769">
        <w:rPr>
          <w:color w:val="0D0D0D" w:themeColor="text1" w:themeTint="F2"/>
        </w:rPr>
        <w:t xml:space="preserve"> </w:t>
      </w:r>
      <w:r w:rsidR="0080717B" w:rsidRPr="00846769">
        <w:rPr>
          <w:color w:val="0D0D0D" w:themeColor="text1" w:themeTint="F2"/>
        </w:rPr>
        <w:t xml:space="preserve">Australia. </w:t>
      </w:r>
    </w:p>
    <w:p w14:paraId="0975E77A" w14:textId="217B9E6B" w:rsidR="00A25663" w:rsidRPr="00846769" w:rsidRDefault="00E55B67" w:rsidP="00E55B67">
      <w:r w:rsidRPr="00846769">
        <w:rPr>
          <w:i/>
          <w:iCs/>
        </w:rPr>
        <w:t>Perna </w:t>
      </w:r>
      <w:proofErr w:type="spellStart"/>
      <w:r w:rsidRPr="00846769">
        <w:rPr>
          <w:i/>
          <w:iCs/>
        </w:rPr>
        <w:t>perna</w:t>
      </w:r>
      <w:proofErr w:type="spellEnd"/>
      <w:r w:rsidRPr="00846769">
        <w:rPr>
          <w:i/>
          <w:iCs/>
        </w:rPr>
        <w:t xml:space="preserve"> </w:t>
      </w:r>
      <w:r w:rsidRPr="00846769">
        <w:t>is</w:t>
      </w:r>
      <w:r w:rsidR="00A25663" w:rsidRPr="00846769">
        <w:t xml:space="preserve"> known as the brown mussel and is</w:t>
      </w:r>
      <w:r w:rsidRPr="00846769">
        <w:t xml:space="preserve"> native to tropical and subtropical waters of Africa</w:t>
      </w:r>
      <w:r w:rsidR="00A25663" w:rsidRPr="00846769">
        <w:t>.</w:t>
      </w:r>
      <w:r w:rsidRPr="00846769">
        <w:t xml:space="preserve"> </w:t>
      </w:r>
      <w:r w:rsidR="00A25663" w:rsidRPr="00846769">
        <w:t>It</w:t>
      </w:r>
      <w:r w:rsidRPr="00846769">
        <w:t xml:space="preserve"> has been introduced to the north-western Indian Ocean, Gulf of Mexico, Caribbean Sea</w:t>
      </w:r>
      <w:r w:rsidR="00A25663" w:rsidRPr="00846769">
        <w:t>,</w:t>
      </w:r>
      <w:r w:rsidRPr="00846769">
        <w:t xml:space="preserve"> and southwestern Atlantic Ocean. </w:t>
      </w:r>
      <w:r w:rsidR="00A25663" w:rsidRPr="00846769">
        <w:t xml:space="preserve">It has not been recorded in Australia but has been detected and removed from vessels. </w:t>
      </w:r>
    </w:p>
    <w:p w14:paraId="7569EA86" w14:textId="1ACF1A9D" w:rsidR="00A25663" w:rsidRPr="00846769" w:rsidRDefault="00E55B67" w:rsidP="00E55B67">
      <w:r w:rsidRPr="00846769">
        <w:rPr>
          <w:i/>
          <w:iCs/>
        </w:rPr>
        <w:t>Perna vir</w:t>
      </w:r>
      <w:r w:rsidR="00DD03FC">
        <w:rPr>
          <w:i/>
          <w:iCs/>
        </w:rPr>
        <w:t>i</w:t>
      </w:r>
      <w:r w:rsidRPr="00846769">
        <w:rPr>
          <w:i/>
          <w:iCs/>
        </w:rPr>
        <w:t xml:space="preserve">dis </w:t>
      </w:r>
      <w:r w:rsidRPr="00846769">
        <w:t>is</w:t>
      </w:r>
      <w:r w:rsidR="00A25663" w:rsidRPr="00846769">
        <w:t xml:space="preserve"> known as the Asian green mussel and is</w:t>
      </w:r>
      <w:r w:rsidRPr="00846769">
        <w:t xml:space="preserve"> native to the Arabian Sea, China, India, Thailand, Malaysia</w:t>
      </w:r>
      <w:r w:rsidR="00A25663" w:rsidRPr="00846769">
        <w:t>,</w:t>
      </w:r>
      <w:r w:rsidRPr="00846769">
        <w:t xml:space="preserve"> and the Philippines</w:t>
      </w:r>
      <w:r w:rsidR="00A25663" w:rsidRPr="00846769">
        <w:t xml:space="preserve">. It </w:t>
      </w:r>
      <w:r w:rsidRPr="00846769">
        <w:t xml:space="preserve">has been introduced to northern Asia, including Hong Kong and Japan, as well as </w:t>
      </w:r>
      <w:r w:rsidR="000E29F3" w:rsidRPr="00846769">
        <w:t xml:space="preserve">the </w:t>
      </w:r>
      <w:r w:rsidRPr="00846769">
        <w:t>Caribbean, northern South America</w:t>
      </w:r>
      <w:r w:rsidR="00A25663" w:rsidRPr="00846769">
        <w:t>,</w:t>
      </w:r>
      <w:r w:rsidRPr="00846769">
        <w:t xml:space="preserve"> and southeastern USA. </w:t>
      </w:r>
      <w:r w:rsidR="00A25663" w:rsidRPr="00846769">
        <w:t xml:space="preserve">In Australia, it has been detected in northern Queensland, notably Mornington Island, </w:t>
      </w:r>
      <w:proofErr w:type="spellStart"/>
      <w:r w:rsidR="0080717B" w:rsidRPr="00846769">
        <w:t>Amrun</w:t>
      </w:r>
      <w:proofErr w:type="spellEnd"/>
      <w:r w:rsidR="0080717B" w:rsidRPr="00846769">
        <w:t xml:space="preserve"> Port, and Escape River, however populations did not </w:t>
      </w:r>
      <w:r w:rsidR="0080717B" w:rsidRPr="004E6582">
        <w:t>establish (Wells 2017). It is occasionally</w:t>
      </w:r>
      <w:r w:rsidR="0080717B" w:rsidRPr="00846769">
        <w:t xml:space="preserve"> detected and removed from vessels </w:t>
      </w:r>
      <w:r w:rsidR="007D11A1">
        <w:t>arriving in</w:t>
      </w:r>
      <w:r w:rsidR="0080717B" w:rsidRPr="00846769">
        <w:t xml:space="preserve"> Australia. </w:t>
      </w:r>
    </w:p>
    <w:p w14:paraId="08BA2BB6" w14:textId="11DC4EB4" w:rsidR="00E55B67" w:rsidRPr="00846769" w:rsidRDefault="0080717B" w:rsidP="001933EE">
      <w:r w:rsidRPr="00846769">
        <w:t xml:space="preserve">All three </w:t>
      </w:r>
      <w:r w:rsidR="00E55B67" w:rsidRPr="00846769">
        <w:rPr>
          <w:i/>
          <w:iCs/>
        </w:rPr>
        <w:t xml:space="preserve">Perna </w:t>
      </w:r>
      <w:r w:rsidR="00E55B67" w:rsidRPr="00846769">
        <w:t xml:space="preserve">spp. are </w:t>
      </w:r>
      <w:r w:rsidRPr="00846769">
        <w:t xml:space="preserve">nationally </w:t>
      </w:r>
      <w:r w:rsidR="00E55B67" w:rsidRPr="00846769">
        <w:t xml:space="preserve">listed on the </w:t>
      </w:r>
      <w:hyperlink r:id="rId249" w:history="1">
        <w:r w:rsidR="00E55B67" w:rsidRPr="00846769">
          <w:rPr>
            <w:rStyle w:val="Hyperlink"/>
          </w:rPr>
          <w:t>Australian Priority Marine Pest List (</w:t>
        </w:r>
        <w:r w:rsidR="00E55B67" w:rsidRPr="00846769" w:rsidDel="002A1B1E">
          <w:rPr>
            <w:rStyle w:val="Hyperlink"/>
            <w:rFonts w:ascii="Calibri" w:eastAsia="Calibri" w:hAnsi="Calibri" w:cs="Calibri"/>
          </w:rPr>
          <w:t>APMPL)</w:t>
        </w:r>
      </w:hyperlink>
      <w:r w:rsidR="00E55B67" w:rsidRPr="00846769" w:rsidDel="002A1B1E">
        <w:rPr>
          <w:rFonts w:ascii="Calibri" w:eastAsia="Calibri" w:hAnsi="Calibri" w:cs="Calibri"/>
          <w:color w:val="000000" w:themeColor="text1"/>
        </w:rPr>
        <w:t xml:space="preserve"> </w:t>
      </w:r>
      <w:r w:rsidR="00E55B67" w:rsidRPr="00846769">
        <w:rPr>
          <w:rFonts w:ascii="Calibri" w:eastAsia="Calibri" w:hAnsi="Calibri" w:cs="Calibri"/>
          <w:color w:val="000000" w:themeColor="text1"/>
        </w:rPr>
        <w:t>a</w:t>
      </w:r>
      <w:r w:rsidR="00E55B67" w:rsidRPr="00846769">
        <w:rPr>
          <w:rFonts w:ascii="Calibri" w:eastAsia="Calibri" w:hAnsi="Calibri" w:cs="Calibri"/>
        </w:rPr>
        <w:t>n</w:t>
      </w:r>
      <w:r w:rsidR="00E55B67" w:rsidRPr="00846769">
        <w:t xml:space="preserve">d on the </w:t>
      </w:r>
      <w:hyperlink r:id="rId250" w:anchor="marine-pests" w:history="1">
        <w:r w:rsidR="00E55B67" w:rsidRPr="00846769">
          <w:rPr>
            <w:rStyle w:val="Hyperlink"/>
          </w:rPr>
          <w:t>Exotic Environmental Pest List (EEPL).</w:t>
        </w:r>
      </w:hyperlink>
      <w:r w:rsidR="00E55B67" w:rsidRPr="00846769">
        <w:t xml:space="preserve"> </w:t>
      </w:r>
      <w:r w:rsidRPr="00846769">
        <w:t xml:space="preserve">They are also included on </w:t>
      </w:r>
      <w:r w:rsidR="00024764" w:rsidRPr="00846769">
        <w:t xml:space="preserve">several </w:t>
      </w:r>
      <w:r w:rsidRPr="00846769">
        <w:t xml:space="preserve">jurisdiction noxious species lists and surveillance lists in Australia. </w:t>
      </w:r>
    </w:p>
    <w:p w14:paraId="36F0DD9E" w14:textId="7B1C1232" w:rsidR="0090794A" w:rsidRPr="00846769" w:rsidRDefault="0090794A" w:rsidP="0090794A">
      <w:pPr>
        <w:pStyle w:val="Caption"/>
      </w:pPr>
      <w:bookmarkStart w:id="658" w:name="_Toc191999507"/>
      <w:r w:rsidRPr="00846769">
        <w:t xml:space="preserve">Table </w:t>
      </w:r>
      <w:r w:rsidRPr="00846769">
        <w:fldChar w:fldCharType="begin"/>
      </w:r>
      <w:r w:rsidRPr="00846769">
        <w:instrText xml:space="preserve"> SEQ Table \* ARABIC </w:instrText>
      </w:r>
      <w:r w:rsidRPr="00846769">
        <w:fldChar w:fldCharType="separate"/>
      </w:r>
      <w:r w:rsidR="005E4F41">
        <w:rPr>
          <w:noProof/>
        </w:rPr>
        <w:t>12</w:t>
      </w:r>
      <w:r w:rsidRPr="00846769">
        <w:fldChar w:fldCharType="end"/>
      </w:r>
      <w:r w:rsidRPr="00846769">
        <w:t xml:space="preserve"> </w:t>
      </w:r>
      <w:r w:rsidRPr="00846769">
        <w:rPr>
          <w:color w:val="262626" w:themeColor="text1" w:themeTint="D9"/>
          <w:lang w:eastAsia="ja-JP"/>
        </w:rPr>
        <w:t xml:space="preserve">Taxonomic classification of </w:t>
      </w:r>
      <w:r w:rsidRPr="00846769">
        <w:rPr>
          <w:rStyle w:val="Emphasis"/>
          <w:color w:val="262626" w:themeColor="text1" w:themeTint="D9"/>
        </w:rPr>
        <w:t xml:space="preserve">Perna </w:t>
      </w:r>
      <w:r w:rsidRPr="00846769">
        <w:rPr>
          <w:rStyle w:val="Emphasis"/>
          <w:i w:val="0"/>
          <w:iCs w:val="0"/>
          <w:color w:val="262626" w:themeColor="text1" w:themeTint="D9"/>
        </w:rPr>
        <w:t>spp.</w:t>
      </w:r>
      <w:bookmarkEnd w:id="65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6"/>
        <w:gridCol w:w="3152"/>
      </w:tblGrid>
      <w:tr w:rsidR="00024764" w:rsidRPr="00846769" w14:paraId="0184665B" w14:textId="77777777" w:rsidTr="00A04E26">
        <w:trPr>
          <w:cantSplit/>
          <w:tblHeader/>
        </w:trPr>
        <w:tc>
          <w:tcPr>
            <w:tcW w:w="1526" w:type="dxa"/>
            <w:shd w:val="clear" w:color="auto" w:fill="FFFFFF" w:themeFill="background1"/>
          </w:tcPr>
          <w:p w14:paraId="23B6CEC7" w14:textId="4ED29F76" w:rsidR="00024764" w:rsidRPr="00846769" w:rsidRDefault="00024764" w:rsidP="00A67BBE">
            <w:pPr>
              <w:pStyle w:val="TableText"/>
              <w:rPr>
                <w:rFonts w:cstheme="minorHAnsi"/>
                <w:b/>
                <w:bCs/>
              </w:rPr>
            </w:pPr>
            <w:bookmarkStart w:id="659" w:name="Table_12"/>
            <w:bookmarkEnd w:id="659"/>
            <w:r w:rsidRPr="00846769">
              <w:rPr>
                <w:rFonts w:cstheme="minorHAnsi"/>
                <w:b/>
                <w:bCs/>
              </w:rPr>
              <w:t>Classification</w:t>
            </w:r>
          </w:p>
        </w:tc>
        <w:tc>
          <w:tcPr>
            <w:tcW w:w="3152" w:type="dxa"/>
            <w:shd w:val="clear" w:color="auto" w:fill="FFFFFF" w:themeFill="background1"/>
          </w:tcPr>
          <w:p w14:paraId="372780C9" w14:textId="6493B86C" w:rsidR="00024764" w:rsidRPr="00846769" w:rsidRDefault="00024764" w:rsidP="00A67BBE">
            <w:pPr>
              <w:pStyle w:val="TableText"/>
              <w:rPr>
                <w:rFonts w:cstheme="minorHAnsi"/>
                <w:b/>
                <w:bCs/>
                <w:i/>
                <w:iCs/>
              </w:rPr>
            </w:pPr>
            <w:r w:rsidRPr="00846769">
              <w:rPr>
                <w:rFonts w:cstheme="minorHAnsi"/>
                <w:b/>
                <w:bCs/>
                <w:i/>
                <w:iCs/>
              </w:rPr>
              <w:t>Perna canaliculus, P. perna &amp; P. viridis</w:t>
            </w:r>
          </w:p>
        </w:tc>
      </w:tr>
      <w:tr w:rsidR="00E55B67" w:rsidRPr="00846769" w14:paraId="50CA6DDA" w14:textId="77777777" w:rsidTr="00A04E26">
        <w:trPr>
          <w:cantSplit/>
          <w:tblHeader/>
        </w:trPr>
        <w:tc>
          <w:tcPr>
            <w:tcW w:w="1526" w:type="dxa"/>
            <w:shd w:val="clear" w:color="auto" w:fill="FFFFFF" w:themeFill="background1"/>
          </w:tcPr>
          <w:p w14:paraId="692B8DE0" w14:textId="77777777" w:rsidR="00E55B67" w:rsidRPr="00846769" w:rsidRDefault="00E55B67" w:rsidP="00A67BBE">
            <w:pPr>
              <w:pStyle w:val="TableText"/>
              <w:rPr>
                <w:rFonts w:cstheme="minorHAnsi"/>
              </w:rPr>
            </w:pPr>
            <w:r w:rsidRPr="00846769">
              <w:rPr>
                <w:rFonts w:cstheme="minorHAnsi"/>
              </w:rPr>
              <w:t>Phylum</w:t>
            </w:r>
          </w:p>
        </w:tc>
        <w:tc>
          <w:tcPr>
            <w:tcW w:w="3152" w:type="dxa"/>
            <w:shd w:val="clear" w:color="auto" w:fill="FFFFFF" w:themeFill="background1"/>
          </w:tcPr>
          <w:p w14:paraId="46EEC362" w14:textId="77777777" w:rsidR="00E55B67" w:rsidRPr="00846769" w:rsidRDefault="00E55B67" w:rsidP="00A67BBE">
            <w:pPr>
              <w:pStyle w:val="TableText"/>
              <w:rPr>
                <w:rFonts w:cstheme="minorHAnsi"/>
              </w:rPr>
            </w:pPr>
            <w:r w:rsidRPr="00846769">
              <w:rPr>
                <w:rFonts w:cstheme="minorHAnsi"/>
              </w:rPr>
              <w:t>Mollusca</w:t>
            </w:r>
          </w:p>
        </w:tc>
      </w:tr>
      <w:tr w:rsidR="00E55B67" w:rsidRPr="00846769" w14:paraId="1CF87A1B" w14:textId="77777777" w:rsidTr="00A04E26">
        <w:trPr>
          <w:cantSplit/>
          <w:tblHeader/>
        </w:trPr>
        <w:tc>
          <w:tcPr>
            <w:tcW w:w="1526" w:type="dxa"/>
            <w:shd w:val="clear" w:color="auto" w:fill="FFFFFF" w:themeFill="background1"/>
          </w:tcPr>
          <w:p w14:paraId="00E52994" w14:textId="77777777" w:rsidR="00E55B67" w:rsidRPr="00846769" w:rsidRDefault="00E55B67" w:rsidP="00A67BBE">
            <w:pPr>
              <w:pStyle w:val="TableText"/>
              <w:rPr>
                <w:rFonts w:cstheme="minorHAnsi"/>
              </w:rPr>
            </w:pPr>
            <w:r w:rsidRPr="00846769">
              <w:rPr>
                <w:rFonts w:cstheme="minorHAnsi"/>
              </w:rPr>
              <w:t>Class</w:t>
            </w:r>
          </w:p>
        </w:tc>
        <w:tc>
          <w:tcPr>
            <w:tcW w:w="3152" w:type="dxa"/>
            <w:shd w:val="clear" w:color="auto" w:fill="FFFFFF" w:themeFill="background1"/>
          </w:tcPr>
          <w:p w14:paraId="7278BD06" w14:textId="77777777" w:rsidR="00E55B67" w:rsidRPr="00846769" w:rsidRDefault="00E55B67" w:rsidP="00A67BBE">
            <w:pPr>
              <w:pStyle w:val="TableText"/>
              <w:rPr>
                <w:rFonts w:cstheme="minorHAnsi"/>
              </w:rPr>
            </w:pPr>
            <w:r w:rsidRPr="00846769">
              <w:rPr>
                <w:rFonts w:cstheme="minorHAnsi"/>
              </w:rPr>
              <w:t>Bivalvia</w:t>
            </w:r>
          </w:p>
        </w:tc>
      </w:tr>
      <w:tr w:rsidR="00E55B67" w:rsidRPr="00846769" w14:paraId="78CBBBFA" w14:textId="77777777" w:rsidTr="00A04E26">
        <w:trPr>
          <w:cantSplit/>
          <w:tblHeader/>
        </w:trPr>
        <w:tc>
          <w:tcPr>
            <w:tcW w:w="1526" w:type="dxa"/>
            <w:shd w:val="clear" w:color="auto" w:fill="FFFFFF" w:themeFill="background1"/>
          </w:tcPr>
          <w:p w14:paraId="0371249F" w14:textId="77777777" w:rsidR="00E55B67" w:rsidRPr="00846769" w:rsidRDefault="00E55B67" w:rsidP="00A67BBE">
            <w:pPr>
              <w:pStyle w:val="TableText"/>
              <w:rPr>
                <w:rFonts w:cstheme="minorHAnsi"/>
              </w:rPr>
            </w:pPr>
            <w:r w:rsidRPr="00846769">
              <w:rPr>
                <w:rFonts w:cstheme="minorHAnsi"/>
              </w:rPr>
              <w:t>Subclass</w:t>
            </w:r>
          </w:p>
        </w:tc>
        <w:tc>
          <w:tcPr>
            <w:tcW w:w="3152" w:type="dxa"/>
            <w:shd w:val="clear" w:color="auto" w:fill="FFFFFF" w:themeFill="background1"/>
          </w:tcPr>
          <w:p w14:paraId="26968DD4" w14:textId="77777777" w:rsidR="00E55B67" w:rsidRPr="00846769" w:rsidRDefault="00E55B67" w:rsidP="00A67BBE">
            <w:pPr>
              <w:pStyle w:val="TableText"/>
              <w:rPr>
                <w:rFonts w:cstheme="minorHAnsi"/>
              </w:rPr>
            </w:pPr>
            <w:proofErr w:type="spellStart"/>
            <w:r w:rsidRPr="00846769">
              <w:rPr>
                <w:rFonts w:cstheme="minorHAnsi"/>
              </w:rPr>
              <w:t>Pteriomorphia</w:t>
            </w:r>
            <w:proofErr w:type="spellEnd"/>
          </w:p>
        </w:tc>
      </w:tr>
      <w:tr w:rsidR="00E55B67" w:rsidRPr="00846769" w14:paraId="556DBF30" w14:textId="77777777" w:rsidTr="00A04E26">
        <w:trPr>
          <w:cantSplit/>
          <w:tblHeader/>
        </w:trPr>
        <w:tc>
          <w:tcPr>
            <w:tcW w:w="1526" w:type="dxa"/>
            <w:shd w:val="clear" w:color="auto" w:fill="FFFFFF" w:themeFill="background1"/>
          </w:tcPr>
          <w:p w14:paraId="3AF76E57" w14:textId="77777777" w:rsidR="00E55B67" w:rsidRPr="00846769" w:rsidRDefault="00E55B67" w:rsidP="00A67BBE">
            <w:pPr>
              <w:pStyle w:val="TableText"/>
              <w:rPr>
                <w:rFonts w:cstheme="minorHAnsi"/>
              </w:rPr>
            </w:pPr>
            <w:r w:rsidRPr="00846769">
              <w:rPr>
                <w:rFonts w:cstheme="minorHAnsi"/>
              </w:rPr>
              <w:t>Order</w:t>
            </w:r>
          </w:p>
        </w:tc>
        <w:tc>
          <w:tcPr>
            <w:tcW w:w="3152" w:type="dxa"/>
            <w:shd w:val="clear" w:color="auto" w:fill="FFFFFF" w:themeFill="background1"/>
          </w:tcPr>
          <w:p w14:paraId="4150D7A5" w14:textId="77777777" w:rsidR="00E55B67" w:rsidRPr="00846769" w:rsidRDefault="00E55B67" w:rsidP="00A67BBE">
            <w:pPr>
              <w:pStyle w:val="TableText"/>
              <w:rPr>
                <w:rFonts w:cstheme="minorHAnsi"/>
              </w:rPr>
            </w:pPr>
            <w:proofErr w:type="spellStart"/>
            <w:r w:rsidRPr="00846769">
              <w:rPr>
                <w:rFonts w:cstheme="minorHAnsi"/>
              </w:rPr>
              <w:t>Mytiloida</w:t>
            </w:r>
            <w:proofErr w:type="spellEnd"/>
          </w:p>
        </w:tc>
      </w:tr>
      <w:tr w:rsidR="00E55B67" w:rsidRPr="00846769" w14:paraId="72FE81E9" w14:textId="77777777" w:rsidTr="00A04E26">
        <w:trPr>
          <w:cantSplit/>
          <w:tblHeader/>
        </w:trPr>
        <w:tc>
          <w:tcPr>
            <w:tcW w:w="1526" w:type="dxa"/>
            <w:shd w:val="clear" w:color="auto" w:fill="FFFFFF" w:themeFill="background1"/>
          </w:tcPr>
          <w:p w14:paraId="6E4C8401" w14:textId="77777777" w:rsidR="00E55B67" w:rsidRPr="00846769" w:rsidRDefault="00E55B67" w:rsidP="00A67BBE">
            <w:pPr>
              <w:pStyle w:val="TableText"/>
              <w:rPr>
                <w:rFonts w:cstheme="minorHAnsi"/>
              </w:rPr>
            </w:pPr>
            <w:r w:rsidRPr="00846769">
              <w:rPr>
                <w:rFonts w:cstheme="minorHAnsi"/>
              </w:rPr>
              <w:t>Superfamily</w:t>
            </w:r>
          </w:p>
        </w:tc>
        <w:tc>
          <w:tcPr>
            <w:tcW w:w="3152" w:type="dxa"/>
            <w:shd w:val="clear" w:color="auto" w:fill="FFFFFF" w:themeFill="background1"/>
          </w:tcPr>
          <w:p w14:paraId="087105F7" w14:textId="77777777" w:rsidR="00E55B67" w:rsidRPr="00846769" w:rsidRDefault="00E55B67" w:rsidP="00A67BBE">
            <w:pPr>
              <w:pStyle w:val="TableText"/>
              <w:rPr>
                <w:rFonts w:cstheme="minorHAnsi"/>
              </w:rPr>
            </w:pPr>
            <w:proofErr w:type="spellStart"/>
            <w:r w:rsidRPr="00846769">
              <w:rPr>
                <w:rFonts w:cstheme="minorHAnsi"/>
              </w:rPr>
              <w:t>Mytiloidea</w:t>
            </w:r>
            <w:proofErr w:type="spellEnd"/>
          </w:p>
        </w:tc>
      </w:tr>
      <w:tr w:rsidR="00E55B67" w:rsidRPr="00846769" w14:paraId="1A39BB59" w14:textId="77777777" w:rsidTr="00A04E26">
        <w:trPr>
          <w:cantSplit/>
          <w:tblHeader/>
        </w:trPr>
        <w:tc>
          <w:tcPr>
            <w:tcW w:w="1526" w:type="dxa"/>
            <w:shd w:val="clear" w:color="auto" w:fill="FFFFFF" w:themeFill="background1"/>
          </w:tcPr>
          <w:p w14:paraId="28CAB5CA" w14:textId="77777777" w:rsidR="00E55B67" w:rsidRPr="00846769" w:rsidRDefault="00E55B67" w:rsidP="00A67BBE">
            <w:pPr>
              <w:pStyle w:val="TableText"/>
              <w:rPr>
                <w:rFonts w:cstheme="minorHAnsi"/>
              </w:rPr>
            </w:pPr>
            <w:r w:rsidRPr="00846769">
              <w:rPr>
                <w:rFonts w:cstheme="minorHAnsi"/>
              </w:rPr>
              <w:t>Family</w:t>
            </w:r>
          </w:p>
        </w:tc>
        <w:tc>
          <w:tcPr>
            <w:tcW w:w="3152" w:type="dxa"/>
            <w:shd w:val="clear" w:color="auto" w:fill="FFFFFF" w:themeFill="background1"/>
          </w:tcPr>
          <w:p w14:paraId="03ACE0D3" w14:textId="77777777" w:rsidR="00E55B67" w:rsidRPr="00846769" w:rsidRDefault="00E55B67" w:rsidP="00A67BBE">
            <w:pPr>
              <w:pStyle w:val="TableText"/>
              <w:rPr>
                <w:rFonts w:cstheme="minorHAnsi"/>
              </w:rPr>
            </w:pPr>
            <w:r w:rsidRPr="00846769">
              <w:rPr>
                <w:rFonts w:cstheme="minorHAnsi"/>
              </w:rPr>
              <w:t>Mytilidae</w:t>
            </w:r>
          </w:p>
        </w:tc>
      </w:tr>
      <w:tr w:rsidR="00E55B67" w:rsidRPr="00846769" w14:paraId="5F55072F" w14:textId="77777777" w:rsidTr="00A04E26">
        <w:trPr>
          <w:cantSplit/>
          <w:tblHeader/>
        </w:trPr>
        <w:tc>
          <w:tcPr>
            <w:tcW w:w="1526" w:type="dxa"/>
            <w:shd w:val="clear" w:color="auto" w:fill="FFFFFF" w:themeFill="background1"/>
          </w:tcPr>
          <w:p w14:paraId="33D4FDC1" w14:textId="77777777" w:rsidR="00E55B67" w:rsidRPr="00846769" w:rsidRDefault="00E55B67" w:rsidP="00A67BBE">
            <w:pPr>
              <w:pStyle w:val="TableText"/>
              <w:rPr>
                <w:rFonts w:cstheme="minorHAnsi"/>
              </w:rPr>
            </w:pPr>
            <w:r w:rsidRPr="00846769">
              <w:rPr>
                <w:rFonts w:cstheme="minorHAnsi"/>
              </w:rPr>
              <w:t>Genus</w:t>
            </w:r>
          </w:p>
        </w:tc>
        <w:tc>
          <w:tcPr>
            <w:tcW w:w="3152" w:type="dxa"/>
            <w:shd w:val="clear" w:color="auto" w:fill="FFFFFF" w:themeFill="background1"/>
          </w:tcPr>
          <w:p w14:paraId="0D17A657" w14:textId="77777777" w:rsidR="00E55B67" w:rsidRPr="00846769" w:rsidRDefault="00E55B67" w:rsidP="00A67BBE">
            <w:pPr>
              <w:pStyle w:val="TableText"/>
              <w:rPr>
                <w:rStyle w:val="Emphasis"/>
              </w:rPr>
            </w:pPr>
            <w:r w:rsidRPr="00846769">
              <w:rPr>
                <w:rStyle w:val="Emphasis"/>
              </w:rPr>
              <w:t>Perna</w:t>
            </w:r>
          </w:p>
        </w:tc>
      </w:tr>
    </w:tbl>
    <w:p w14:paraId="5C017D06" w14:textId="77777777" w:rsidR="00E55B67" w:rsidRPr="00846769" w:rsidRDefault="00E55B67" w:rsidP="00024764">
      <w:pPr>
        <w:pStyle w:val="Heading5"/>
        <w:spacing w:before="120" w:after="120"/>
        <w:rPr>
          <w:color w:val="262626" w:themeColor="text1" w:themeTint="D9"/>
          <w:sz w:val="24"/>
          <w:szCs w:val="24"/>
        </w:rPr>
      </w:pPr>
      <w:r w:rsidRPr="00846769">
        <w:rPr>
          <w:color w:val="262626" w:themeColor="text1" w:themeTint="D9"/>
          <w:sz w:val="24"/>
          <w:szCs w:val="24"/>
        </w:rPr>
        <w:t>Diagnostic features for identification</w:t>
      </w:r>
    </w:p>
    <w:p w14:paraId="53E29750" w14:textId="719385A4" w:rsidR="00024764" w:rsidRPr="00846769" w:rsidRDefault="00024764" w:rsidP="00024764">
      <w:pPr>
        <w:pStyle w:val="Heading6"/>
        <w:spacing w:after="40"/>
        <w:rPr>
          <w:color w:val="262626" w:themeColor="text1" w:themeTint="D9"/>
        </w:rPr>
      </w:pPr>
      <w:r w:rsidRPr="00846769">
        <w:rPr>
          <w:color w:val="262626" w:themeColor="text1" w:themeTint="D9"/>
        </w:rPr>
        <w:t>Field identification</w:t>
      </w:r>
    </w:p>
    <w:p w14:paraId="15EDC798" w14:textId="6CAFBB4D" w:rsidR="000E29F3" w:rsidRPr="004E6582" w:rsidRDefault="00217F83" w:rsidP="00E55B67">
      <w:r w:rsidRPr="00846769">
        <w:t xml:space="preserve">Green morphs of </w:t>
      </w:r>
      <w:r w:rsidR="00E55B67" w:rsidRPr="00846769">
        <w:rPr>
          <w:i/>
          <w:iCs/>
        </w:rPr>
        <w:t xml:space="preserve">Perna </w:t>
      </w:r>
      <w:r w:rsidR="00E55B67" w:rsidRPr="00846769">
        <w:t xml:space="preserve">spp. </w:t>
      </w:r>
      <w:r w:rsidR="000E29F3" w:rsidRPr="00846769">
        <w:t>may</w:t>
      </w:r>
      <w:r w:rsidR="00E55B67" w:rsidRPr="00846769">
        <w:t xml:space="preserve"> be identified in the field</w:t>
      </w:r>
      <w:r w:rsidR="000E29F3" w:rsidRPr="00846769">
        <w:t xml:space="preserve"> on some occasions</w:t>
      </w:r>
      <w:r w:rsidRPr="00846769">
        <w:t>, at least superficially</w:t>
      </w:r>
      <w:r w:rsidR="000E29F3" w:rsidRPr="00846769">
        <w:t xml:space="preserve"> </w:t>
      </w:r>
      <w:r w:rsidR="000E29F3" w:rsidRPr="00321FA4">
        <w:t>(MPSC 2018</w:t>
      </w:r>
      <w:r w:rsidR="000E29F3" w:rsidRPr="00846769">
        <w:t>)</w:t>
      </w:r>
      <w:r w:rsidR="00E55B67" w:rsidRPr="00846769">
        <w:t>.</w:t>
      </w:r>
      <w:r w:rsidR="000E29F3" w:rsidRPr="00846769">
        <w:t xml:space="preserve"> </w:t>
      </w:r>
      <w:r w:rsidR="00CC5E15" w:rsidRPr="00846769">
        <w:t>The green colour morphs are more frequently encountered</w:t>
      </w:r>
      <w:r w:rsidR="000E29F3" w:rsidRPr="00846769">
        <w:t xml:space="preserve"> in </w:t>
      </w:r>
      <w:r w:rsidR="000E29F3" w:rsidRPr="00846769">
        <w:rPr>
          <w:i/>
          <w:iCs/>
        </w:rPr>
        <w:t xml:space="preserve">P. viridis </w:t>
      </w:r>
      <w:r w:rsidR="000E29F3" w:rsidRPr="00846769">
        <w:t xml:space="preserve">and </w:t>
      </w:r>
      <w:r w:rsidR="000E29F3" w:rsidRPr="00846769">
        <w:rPr>
          <w:i/>
          <w:iCs/>
        </w:rPr>
        <w:lastRenderedPageBreak/>
        <w:t>P.</w:t>
      </w:r>
      <w:r w:rsidR="00070E64">
        <w:rPr>
          <w:i/>
          <w:iCs/>
        </w:rPr>
        <w:t> </w:t>
      </w:r>
      <w:r w:rsidR="000E29F3" w:rsidRPr="00846769">
        <w:rPr>
          <w:i/>
          <w:iCs/>
        </w:rPr>
        <w:t xml:space="preserve">canaliculus, </w:t>
      </w:r>
      <w:r w:rsidR="000E29F3" w:rsidRPr="00846769">
        <w:t>however</w:t>
      </w:r>
      <w:r w:rsidRPr="00846769">
        <w:t xml:space="preserve"> </w:t>
      </w:r>
      <w:r w:rsidRPr="00846769">
        <w:rPr>
          <w:i/>
          <w:iCs/>
        </w:rPr>
        <w:t xml:space="preserve">P. perna </w:t>
      </w:r>
      <w:r w:rsidRPr="00846769">
        <w:t xml:space="preserve">also </w:t>
      </w:r>
      <w:r w:rsidR="00DD03FC">
        <w:t>has</w:t>
      </w:r>
      <w:r w:rsidR="00DD03FC" w:rsidRPr="00846769">
        <w:t xml:space="preserve"> </w:t>
      </w:r>
      <w:r w:rsidRPr="00846769">
        <w:t xml:space="preserve">green colour </w:t>
      </w:r>
      <w:r w:rsidRPr="00B26DBE">
        <w:t>morphs (</w:t>
      </w:r>
      <w:r w:rsidRPr="004E6582">
        <w:t>Micklem et al. 2016).</w:t>
      </w:r>
      <w:r w:rsidR="000E29F3" w:rsidRPr="004E6582">
        <w:t xml:space="preserve"> </w:t>
      </w:r>
      <w:r w:rsidRPr="004E6582">
        <w:t>Despite this, there is morpholo</w:t>
      </w:r>
      <w:r w:rsidR="00CC5E15" w:rsidRPr="004E6582">
        <w:t>gical variation within each species where the green colouration is not distinct or entirely absent in individual mussels. As a result, a</w:t>
      </w:r>
      <w:r w:rsidR="000E29F3" w:rsidRPr="004E6582">
        <w:t>dult</w:t>
      </w:r>
      <w:r w:rsidR="00CC5E15" w:rsidRPr="004E6582">
        <w:t xml:space="preserve"> </w:t>
      </w:r>
      <w:r w:rsidR="00CC5E15" w:rsidRPr="004E6582">
        <w:rPr>
          <w:i/>
          <w:iCs/>
        </w:rPr>
        <w:t xml:space="preserve">Perna </w:t>
      </w:r>
      <w:r w:rsidR="00CC5E15" w:rsidRPr="004E6582">
        <w:t xml:space="preserve">spp. </w:t>
      </w:r>
      <w:r w:rsidR="000E29F3" w:rsidRPr="004E6582">
        <w:t xml:space="preserve">can resemble </w:t>
      </w:r>
      <w:r w:rsidR="000E29F3" w:rsidRPr="004E6582">
        <w:rPr>
          <w:i/>
          <w:iCs/>
        </w:rPr>
        <w:t xml:space="preserve">Mytilus </w:t>
      </w:r>
      <w:r w:rsidR="000E29F3" w:rsidRPr="004E6582">
        <w:t xml:space="preserve">spp. and juveniles can resemble </w:t>
      </w:r>
      <w:r w:rsidR="000E29F3" w:rsidRPr="004E6582">
        <w:rPr>
          <w:i/>
          <w:iCs/>
        </w:rPr>
        <w:t xml:space="preserve">Mytilus </w:t>
      </w:r>
      <w:r w:rsidR="000E29F3" w:rsidRPr="004E6582">
        <w:t xml:space="preserve">and </w:t>
      </w:r>
      <w:proofErr w:type="spellStart"/>
      <w:r w:rsidR="000E29F3" w:rsidRPr="004E6582">
        <w:rPr>
          <w:i/>
          <w:iCs/>
        </w:rPr>
        <w:t>Xenostrobus</w:t>
      </w:r>
      <w:proofErr w:type="spellEnd"/>
      <w:r w:rsidR="000E29F3" w:rsidRPr="004E6582">
        <w:rPr>
          <w:i/>
          <w:iCs/>
        </w:rPr>
        <w:t xml:space="preserve"> </w:t>
      </w:r>
      <w:r w:rsidR="000E29F3" w:rsidRPr="004E6582">
        <w:t xml:space="preserve">spp. </w:t>
      </w:r>
      <w:r w:rsidR="001C38D8" w:rsidRPr="004E6582">
        <w:t xml:space="preserve">Identification of </w:t>
      </w:r>
      <w:r w:rsidR="001C38D8" w:rsidRPr="004E6582">
        <w:rPr>
          <w:i/>
          <w:iCs/>
        </w:rPr>
        <w:t xml:space="preserve">Perna </w:t>
      </w:r>
      <w:r w:rsidR="001C38D8" w:rsidRPr="004E6582">
        <w:t>spp. needs confirmation from an experienced taxonomist</w:t>
      </w:r>
      <w:r w:rsidR="00DD03FC">
        <w:t xml:space="preserve"> or via molecular diagnostics.</w:t>
      </w:r>
    </w:p>
    <w:p w14:paraId="1A88CBB8" w14:textId="2CB173DB" w:rsidR="001C38D8" w:rsidRPr="00846769" w:rsidRDefault="00E55B67" w:rsidP="00E55B67">
      <w:r w:rsidRPr="004E6582">
        <w:rPr>
          <w:i/>
          <w:iCs/>
        </w:rPr>
        <w:t xml:space="preserve">Perna </w:t>
      </w:r>
      <w:r w:rsidRPr="004E6582">
        <w:t>sp</w:t>
      </w:r>
      <w:r w:rsidR="001C38D8" w:rsidRPr="004E6582">
        <w:t>p.</w:t>
      </w:r>
      <w:r w:rsidRPr="004E6582">
        <w:t xml:space="preserve"> are morphologically </w:t>
      </w:r>
      <w:proofErr w:type="gramStart"/>
      <w:r w:rsidRPr="004E6582">
        <w:t xml:space="preserve">similar </w:t>
      </w:r>
      <w:r w:rsidR="000E29F3" w:rsidRPr="004E6582">
        <w:t>to</w:t>
      </w:r>
      <w:proofErr w:type="gramEnd"/>
      <w:r w:rsidR="000E29F3" w:rsidRPr="004E6582">
        <w:t xml:space="preserve"> each other</w:t>
      </w:r>
      <w:r w:rsidR="004E1095" w:rsidRPr="004E6582">
        <w:t xml:space="preserve"> (</w:t>
      </w:r>
      <w:r w:rsidR="00192097" w:rsidRPr="004E6582">
        <w:fldChar w:fldCharType="begin"/>
      </w:r>
      <w:r w:rsidR="00192097" w:rsidRPr="004E6582">
        <w:instrText xml:space="preserve"> REF _Ref171945037 \h </w:instrText>
      </w:r>
      <w:r w:rsidR="004E6582">
        <w:instrText xml:space="preserve"> \* MERGEFORMAT </w:instrText>
      </w:r>
      <w:r w:rsidR="00192097" w:rsidRPr="004E6582">
        <w:fldChar w:fldCharType="separate"/>
      </w:r>
      <w:r w:rsidR="00192097" w:rsidRPr="004E6582">
        <w:t>Photo 18</w:t>
      </w:r>
      <w:r w:rsidR="00192097" w:rsidRPr="004E6582">
        <w:fldChar w:fldCharType="end"/>
      </w:r>
      <w:r w:rsidR="004E1095" w:rsidRPr="004E6582">
        <w:t>)</w:t>
      </w:r>
      <w:r w:rsidR="001C38D8" w:rsidRPr="004E6582">
        <w:t xml:space="preserve">. Green-shelled morphs of </w:t>
      </w:r>
      <w:r w:rsidR="001C38D8" w:rsidRPr="004E6582">
        <w:rPr>
          <w:i/>
          <w:iCs/>
        </w:rPr>
        <w:t xml:space="preserve">P. perna </w:t>
      </w:r>
      <w:r w:rsidR="001C38D8" w:rsidRPr="004E6582">
        <w:t xml:space="preserve">are almost impossible to distinguish from green </w:t>
      </w:r>
      <w:r w:rsidR="001C38D8" w:rsidRPr="004E6582">
        <w:rPr>
          <w:i/>
          <w:iCs/>
        </w:rPr>
        <w:t xml:space="preserve">P. viridis </w:t>
      </w:r>
      <w:r w:rsidR="001C38D8" w:rsidRPr="004E6582">
        <w:t xml:space="preserve">(Micklem et al. 2016). The classic paper to distinguish the three recent species of </w:t>
      </w:r>
      <w:r w:rsidR="001C38D8" w:rsidRPr="004E6582">
        <w:rPr>
          <w:rStyle w:val="Emphasis"/>
        </w:rPr>
        <w:t>Perna</w:t>
      </w:r>
      <w:r w:rsidR="001C38D8" w:rsidRPr="004E6582">
        <w:t xml:space="preserve"> morphologically is that by Siddall (1980). Rajagopal et al. (2006) provides a list of diagnostic characters between </w:t>
      </w:r>
      <w:r w:rsidR="001C38D8" w:rsidRPr="004E6582">
        <w:rPr>
          <w:rStyle w:val="Emphasis"/>
        </w:rPr>
        <w:t xml:space="preserve">P. viridis </w:t>
      </w:r>
      <w:r w:rsidR="001C38D8" w:rsidRPr="004E6582">
        <w:t xml:space="preserve">and </w:t>
      </w:r>
      <w:r w:rsidR="001C38D8" w:rsidRPr="004E6582">
        <w:rPr>
          <w:rStyle w:val="Emphasis"/>
        </w:rPr>
        <w:t>P. perna</w:t>
      </w:r>
      <w:r w:rsidR="001C38D8" w:rsidRPr="004E6582">
        <w:t xml:space="preserve">, meanwhile </w:t>
      </w:r>
      <w:r w:rsidR="001C38D8" w:rsidRPr="004E6582">
        <w:rPr>
          <w:i/>
          <w:iCs/>
        </w:rPr>
        <w:t>P.</w:t>
      </w:r>
      <w:r w:rsidR="00070E64">
        <w:rPr>
          <w:i/>
          <w:iCs/>
        </w:rPr>
        <w:t> </w:t>
      </w:r>
      <w:r w:rsidR="001C38D8" w:rsidRPr="004E6582">
        <w:rPr>
          <w:rStyle w:val="Emphasis"/>
        </w:rPr>
        <w:t>canaliculus</w:t>
      </w:r>
      <w:r w:rsidR="001C38D8" w:rsidRPr="004E6582">
        <w:t xml:space="preserve"> is characterised morphologically by Furlani (1996).</w:t>
      </w:r>
    </w:p>
    <w:p w14:paraId="12216A87" w14:textId="2EB66E34" w:rsidR="00ED1A7D" w:rsidRPr="00846769" w:rsidRDefault="00ED1A7D" w:rsidP="00ED1A7D">
      <w:r w:rsidRPr="00846769">
        <w:t xml:space="preserve">The distinguishing feature of this genus from other mussel genera, particularly </w:t>
      </w:r>
      <w:r w:rsidRPr="00846769">
        <w:rPr>
          <w:i/>
          <w:iCs/>
        </w:rPr>
        <w:t>Mytilus</w:t>
      </w:r>
      <w:r w:rsidRPr="00846769">
        <w:t xml:space="preserve">, is the absence of the anterior adductor muscle by the beak, noting that this muscle is very small and hard to locate in </w:t>
      </w:r>
      <w:r w:rsidR="00C9474E">
        <w:t xml:space="preserve">many </w:t>
      </w:r>
      <w:r w:rsidRPr="00846769">
        <w:t>mussels (</w:t>
      </w:r>
      <w:r w:rsidRPr="00F47511">
        <w:t>Richard Willan</w:t>
      </w:r>
      <w:r w:rsidR="00F47511" w:rsidRPr="00F47511">
        <w:t xml:space="preserve"> [MAGNT]</w:t>
      </w:r>
      <w:r w:rsidRPr="00F47511">
        <w:t>, pers. comm., April 2023).</w:t>
      </w:r>
      <w:r w:rsidR="00D70D7C" w:rsidRPr="00F47511">
        <w:rPr>
          <w:rStyle w:val="CommentReference"/>
        </w:rPr>
        <w:t xml:space="preserve"> </w:t>
      </w:r>
      <w:r w:rsidRPr="00F47511">
        <w:rPr>
          <w:i/>
          <w:iCs/>
        </w:rPr>
        <w:t>Perna</w:t>
      </w:r>
      <w:r w:rsidRPr="00846769">
        <w:rPr>
          <w:i/>
          <w:iCs/>
        </w:rPr>
        <w:t xml:space="preserve"> </w:t>
      </w:r>
      <w:proofErr w:type="spellStart"/>
      <w:r w:rsidRPr="00846769">
        <w:rPr>
          <w:i/>
          <w:iCs/>
        </w:rPr>
        <w:t>perna</w:t>
      </w:r>
      <w:proofErr w:type="spellEnd"/>
      <w:r w:rsidRPr="00846769">
        <w:rPr>
          <w:i/>
          <w:iCs/>
        </w:rPr>
        <w:t xml:space="preserve"> </w:t>
      </w:r>
      <w:r w:rsidRPr="00846769">
        <w:t xml:space="preserve">is more rounded than </w:t>
      </w:r>
      <w:r w:rsidRPr="00846769">
        <w:rPr>
          <w:i/>
          <w:iCs/>
        </w:rPr>
        <w:t xml:space="preserve">P. viridis </w:t>
      </w:r>
      <w:r w:rsidRPr="00846769">
        <w:t xml:space="preserve">and </w:t>
      </w:r>
      <w:r w:rsidRPr="00846769">
        <w:rPr>
          <w:i/>
          <w:iCs/>
        </w:rPr>
        <w:t xml:space="preserve">P. canaliculus </w:t>
      </w:r>
      <w:r w:rsidRPr="00846769">
        <w:t>which are more elongate (</w:t>
      </w:r>
      <w:r w:rsidR="00192097" w:rsidRPr="00846769">
        <w:rPr>
          <w:highlight w:val="yellow"/>
        </w:rPr>
        <w:fldChar w:fldCharType="begin"/>
      </w:r>
      <w:r w:rsidR="00192097" w:rsidRPr="00846769">
        <w:instrText xml:space="preserve"> REF _Ref171945037 \h </w:instrText>
      </w:r>
      <w:r w:rsidR="00192097" w:rsidRPr="00846769">
        <w:rPr>
          <w:highlight w:val="yellow"/>
        </w:rPr>
      </w:r>
      <w:r w:rsidR="00192097" w:rsidRPr="00846769">
        <w:rPr>
          <w:highlight w:val="yellow"/>
        </w:rPr>
        <w:fldChar w:fldCharType="separate"/>
      </w:r>
      <w:r w:rsidR="00192097" w:rsidRPr="00846769">
        <w:t>Photo 18</w:t>
      </w:r>
      <w:r w:rsidR="00192097" w:rsidRPr="00846769">
        <w:rPr>
          <w:highlight w:val="yellow"/>
        </w:rPr>
        <w:fldChar w:fldCharType="end"/>
      </w:r>
      <w:r w:rsidRPr="00846769">
        <w:t xml:space="preserve">). </w:t>
      </w:r>
      <w:r w:rsidRPr="00846769">
        <w:rPr>
          <w:i/>
          <w:iCs/>
        </w:rPr>
        <w:t>Perna vir</w:t>
      </w:r>
      <w:r w:rsidR="00DD03FC">
        <w:rPr>
          <w:i/>
          <w:iCs/>
        </w:rPr>
        <w:t>i</w:t>
      </w:r>
      <w:r w:rsidRPr="00846769">
        <w:rPr>
          <w:i/>
          <w:iCs/>
        </w:rPr>
        <w:t xml:space="preserve">dis </w:t>
      </w:r>
      <w:r w:rsidRPr="00846769">
        <w:t xml:space="preserve">has a more downwards curved beak than </w:t>
      </w:r>
      <w:r w:rsidRPr="00846769">
        <w:rPr>
          <w:i/>
          <w:iCs/>
        </w:rPr>
        <w:t xml:space="preserve">P. canaliculus </w:t>
      </w:r>
      <w:r w:rsidRPr="00846769">
        <w:t xml:space="preserve">and </w:t>
      </w:r>
      <w:r w:rsidRPr="00846769">
        <w:rPr>
          <w:i/>
          <w:iCs/>
        </w:rPr>
        <w:t>P. perna</w:t>
      </w:r>
      <w:r w:rsidRPr="00846769">
        <w:t xml:space="preserve"> (</w:t>
      </w:r>
      <w:r w:rsidR="00192097" w:rsidRPr="00846769">
        <w:rPr>
          <w:highlight w:val="yellow"/>
        </w:rPr>
        <w:fldChar w:fldCharType="begin"/>
      </w:r>
      <w:r w:rsidR="00192097" w:rsidRPr="00846769">
        <w:instrText xml:space="preserve"> REF _Ref171945037 \h </w:instrText>
      </w:r>
      <w:r w:rsidR="00192097" w:rsidRPr="00846769">
        <w:rPr>
          <w:highlight w:val="yellow"/>
        </w:rPr>
      </w:r>
      <w:r w:rsidR="00192097" w:rsidRPr="00846769">
        <w:rPr>
          <w:highlight w:val="yellow"/>
        </w:rPr>
        <w:fldChar w:fldCharType="separate"/>
      </w:r>
      <w:r w:rsidR="00192097" w:rsidRPr="00846769">
        <w:t>Photo 18</w:t>
      </w:r>
      <w:r w:rsidR="00192097" w:rsidRPr="00846769">
        <w:rPr>
          <w:highlight w:val="yellow"/>
        </w:rPr>
        <w:fldChar w:fldCharType="end"/>
      </w:r>
      <w:r w:rsidRPr="00846769">
        <w:t xml:space="preserve">). The morphology of the posterior adductor muscles differs slightly between </w:t>
      </w:r>
      <w:r w:rsidRPr="00846769">
        <w:rPr>
          <w:i/>
          <w:iCs/>
        </w:rPr>
        <w:t xml:space="preserve">Perna </w:t>
      </w:r>
      <w:r w:rsidRPr="00846769">
        <w:t xml:space="preserve">spp. The most characteristic feature of </w:t>
      </w:r>
      <w:r w:rsidRPr="00846769">
        <w:rPr>
          <w:i/>
          <w:iCs/>
        </w:rPr>
        <w:t>P.</w:t>
      </w:r>
      <w:r w:rsidR="00070E64">
        <w:rPr>
          <w:i/>
          <w:iCs/>
        </w:rPr>
        <w:t> </w:t>
      </w:r>
      <w:r w:rsidRPr="00846769">
        <w:rPr>
          <w:i/>
          <w:iCs/>
        </w:rPr>
        <w:t xml:space="preserve">canaliculus </w:t>
      </w:r>
      <w:r w:rsidRPr="00846769">
        <w:t>is its convex antero-ventral valve margin (</w:t>
      </w:r>
      <w:r w:rsidR="00192097" w:rsidRPr="00846769">
        <w:rPr>
          <w:highlight w:val="yellow"/>
        </w:rPr>
        <w:fldChar w:fldCharType="begin"/>
      </w:r>
      <w:r w:rsidR="00192097" w:rsidRPr="00846769">
        <w:instrText xml:space="preserve"> REF _Ref171945113 \h </w:instrText>
      </w:r>
      <w:r w:rsidR="00192097" w:rsidRPr="00846769">
        <w:rPr>
          <w:highlight w:val="yellow"/>
        </w:rPr>
      </w:r>
      <w:r w:rsidR="00192097" w:rsidRPr="00846769">
        <w:rPr>
          <w:highlight w:val="yellow"/>
        </w:rPr>
        <w:fldChar w:fldCharType="separate"/>
      </w:r>
      <w:r w:rsidR="00192097" w:rsidRPr="00846769">
        <w:t>Photo 19</w:t>
      </w:r>
      <w:r w:rsidR="00192097" w:rsidRPr="00846769">
        <w:rPr>
          <w:highlight w:val="yellow"/>
        </w:rPr>
        <w:fldChar w:fldCharType="end"/>
      </w:r>
      <w:r w:rsidRPr="00846769">
        <w:t xml:space="preserve">), meanwhile </w:t>
      </w:r>
      <w:r w:rsidRPr="00846769">
        <w:rPr>
          <w:i/>
          <w:iCs/>
        </w:rPr>
        <w:t xml:space="preserve">P. perna </w:t>
      </w:r>
      <w:r w:rsidRPr="00846769">
        <w:t xml:space="preserve">and </w:t>
      </w:r>
      <w:r w:rsidRPr="00846769">
        <w:rPr>
          <w:i/>
          <w:iCs/>
        </w:rPr>
        <w:t xml:space="preserve">P. viridis </w:t>
      </w:r>
      <w:r w:rsidRPr="00846769">
        <w:t xml:space="preserve">have a straight, or slightly concave, </w:t>
      </w:r>
      <w:r w:rsidRPr="00F47511">
        <w:t>margin (Richard Willan</w:t>
      </w:r>
      <w:r w:rsidR="00F47511" w:rsidRPr="00F47511">
        <w:t xml:space="preserve"> [MAGNT]</w:t>
      </w:r>
      <w:r w:rsidRPr="00F47511">
        <w:t>, pers. comm., April 2023).</w:t>
      </w:r>
      <w:r w:rsidRPr="00846769">
        <w:t xml:space="preserve"> </w:t>
      </w:r>
    </w:p>
    <w:p w14:paraId="7885CBCF" w14:textId="4C337222" w:rsidR="00F42923" w:rsidRPr="00846769" w:rsidRDefault="00F42923" w:rsidP="00F42923">
      <w:r w:rsidRPr="00846769">
        <w:t xml:space="preserve">The colour is also a key feature of this genus, with all species being green-brown, although the green colouration may be absent in some </w:t>
      </w:r>
      <w:r w:rsidRPr="00B26DBE">
        <w:t>individuals (</w:t>
      </w:r>
      <w:r w:rsidR="00D70D7C" w:rsidRPr="00B26DBE">
        <w:t>Micklem et al. 2016</w:t>
      </w:r>
      <w:r w:rsidRPr="00B26DBE">
        <w:t xml:space="preserve">). </w:t>
      </w:r>
      <w:r w:rsidR="009D5DA2" w:rsidRPr="00B26DBE">
        <w:t>There</w:t>
      </w:r>
      <w:r w:rsidR="009D5DA2" w:rsidRPr="00846769">
        <w:t xml:space="preserve"> can also be notable colour variation within species, including in juveniles which may display zig-zag patterning (</w:t>
      </w:r>
      <w:r w:rsidR="00192097" w:rsidRPr="00846769">
        <w:rPr>
          <w:highlight w:val="yellow"/>
        </w:rPr>
        <w:fldChar w:fldCharType="begin"/>
      </w:r>
      <w:r w:rsidR="00192097" w:rsidRPr="00846769">
        <w:instrText xml:space="preserve"> REF _Ref171945136 \h </w:instrText>
      </w:r>
      <w:r w:rsidR="00192097" w:rsidRPr="00846769">
        <w:rPr>
          <w:highlight w:val="yellow"/>
        </w:rPr>
      </w:r>
      <w:r w:rsidR="00192097" w:rsidRPr="00846769">
        <w:rPr>
          <w:highlight w:val="yellow"/>
        </w:rPr>
        <w:fldChar w:fldCharType="separate"/>
      </w:r>
      <w:r w:rsidR="00192097" w:rsidRPr="00846769">
        <w:t>Photo 20</w:t>
      </w:r>
      <w:r w:rsidR="00192097" w:rsidRPr="00846769">
        <w:rPr>
          <w:highlight w:val="yellow"/>
        </w:rPr>
        <w:fldChar w:fldCharType="end"/>
      </w:r>
      <w:r w:rsidR="009D5DA2" w:rsidRPr="00846769">
        <w:t xml:space="preserve">). Some very large adults may be covered in epibionts which can prevent the characteristic green valves from being visible. </w:t>
      </w:r>
      <w:r w:rsidRPr="00846769">
        <w:rPr>
          <w:i/>
          <w:iCs/>
        </w:rPr>
        <w:t>P</w:t>
      </w:r>
      <w:r w:rsidR="009D5DA2" w:rsidRPr="00846769">
        <w:rPr>
          <w:i/>
          <w:iCs/>
        </w:rPr>
        <w:t>erna</w:t>
      </w:r>
      <w:r w:rsidRPr="00846769">
        <w:rPr>
          <w:i/>
          <w:iCs/>
        </w:rPr>
        <w:t xml:space="preserve"> viridis </w:t>
      </w:r>
      <w:r w:rsidRPr="00846769">
        <w:t>has a wavy pallial line that is not commonly observed in other the other species (</w:t>
      </w:r>
      <w:r w:rsidR="009D5DA2" w:rsidRPr="004E6582">
        <w:t xml:space="preserve">see </w:t>
      </w:r>
      <w:r w:rsidR="00237DD0" w:rsidRPr="004E6582">
        <w:t>de Messano</w:t>
      </w:r>
      <w:r w:rsidR="009D5DA2" w:rsidRPr="004E6582">
        <w:t xml:space="preserve"> et al. 2019</w:t>
      </w:r>
      <w:r w:rsidRPr="004E6582">
        <w:t>)</w:t>
      </w:r>
      <w:r w:rsidR="009D5DA2" w:rsidRPr="004E6582">
        <w:t>, however</w:t>
      </w:r>
      <w:r w:rsidR="009D5DA2" w:rsidRPr="00846769">
        <w:t xml:space="preserve"> this character is not reliably seen on actual shells because they are nacreous internally (Richard Willan</w:t>
      </w:r>
      <w:r w:rsidR="00F47511">
        <w:t xml:space="preserve"> [MAGNT]</w:t>
      </w:r>
      <w:r w:rsidR="009D5DA2" w:rsidRPr="00846769">
        <w:t>, pers. comm</w:t>
      </w:r>
      <w:r w:rsidR="00F47511">
        <w:t>.</w:t>
      </w:r>
      <w:r w:rsidR="009D5DA2" w:rsidRPr="00846769">
        <w:t xml:space="preserve">, April 2023).  </w:t>
      </w:r>
    </w:p>
    <w:p w14:paraId="7ECB7CC9" w14:textId="77777777" w:rsidR="00C66CF6" w:rsidRPr="00846769" w:rsidRDefault="00C66CF6" w:rsidP="00C66CF6"/>
    <w:p w14:paraId="2E284A2E" w14:textId="20B39755" w:rsidR="00C66CF6" w:rsidRPr="00846769" w:rsidRDefault="00C66CF6" w:rsidP="00C66CF6">
      <w:pPr>
        <w:tabs>
          <w:tab w:val="left" w:pos="1467"/>
        </w:tabs>
      </w:pPr>
      <w:r w:rsidRPr="00846769">
        <w:tab/>
      </w:r>
    </w:p>
    <w:p w14:paraId="24C1655B" w14:textId="77777777" w:rsidR="00C66CF6" w:rsidRPr="00846769" w:rsidRDefault="00C66CF6">
      <w:pPr>
        <w:spacing w:after="160" w:line="259" w:lineRule="auto"/>
      </w:pPr>
      <w:r w:rsidRPr="00846769">
        <w:br w:type="page"/>
      </w:r>
    </w:p>
    <w:p w14:paraId="769CBF42" w14:textId="6B8815A3" w:rsidR="00611CCC" w:rsidRPr="00846769" w:rsidRDefault="00611CCC" w:rsidP="00611CCC">
      <w:pPr>
        <w:pStyle w:val="Caption"/>
        <w:rPr>
          <w:rFonts w:asciiTheme="minorHAnsi" w:hAnsiTheme="minorHAnsi"/>
        </w:rPr>
      </w:pPr>
      <w:bookmarkStart w:id="660" w:name="_Ref171945037"/>
      <w:bookmarkStart w:id="661" w:name="_Toc191999542"/>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18</w:t>
      </w:r>
      <w:r w:rsidRPr="00846769">
        <w:fldChar w:fldCharType="end"/>
      </w:r>
      <w:bookmarkEnd w:id="660"/>
      <w:r w:rsidRPr="00846769">
        <w:t xml:space="preserve"> Adult </w:t>
      </w:r>
      <w:r w:rsidRPr="00846769">
        <w:rPr>
          <w:i/>
          <w:iCs/>
        </w:rPr>
        <w:t xml:space="preserve">Perna canaliculus </w:t>
      </w:r>
      <w:r w:rsidRPr="00846769">
        <w:t xml:space="preserve">(top), </w:t>
      </w:r>
      <w:r w:rsidRPr="00846769">
        <w:rPr>
          <w:i/>
          <w:iCs/>
        </w:rPr>
        <w:t xml:space="preserve">Perna </w:t>
      </w:r>
      <w:proofErr w:type="spellStart"/>
      <w:r w:rsidRPr="00846769">
        <w:rPr>
          <w:i/>
          <w:iCs/>
        </w:rPr>
        <w:t>perna</w:t>
      </w:r>
      <w:proofErr w:type="spellEnd"/>
      <w:r w:rsidRPr="00846769">
        <w:rPr>
          <w:i/>
          <w:iCs/>
        </w:rPr>
        <w:t xml:space="preserve"> </w:t>
      </w:r>
      <w:r w:rsidRPr="00846769">
        <w:t xml:space="preserve">(middle), and </w:t>
      </w:r>
      <w:r w:rsidRPr="00846769">
        <w:rPr>
          <w:i/>
          <w:iCs/>
        </w:rPr>
        <w:t xml:space="preserve">Perna viridis </w:t>
      </w:r>
      <w:r w:rsidRPr="00846769">
        <w:t>(bottom)</w:t>
      </w:r>
      <w:bookmarkEnd w:id="661"/>
    </w:p>
    <w:p w14:paraId="12A67121" w14:textId="08FE751B" w:rsidR="00E55B67" w:rsidRPr="00846769" w:rsidRDefault="00611CCC" w:rsidP="00E55B67">
      <w:r w:rsidRPr="00846769">
        <w:rPr>
          <w:noProof/>
        </w:rPr>
        <w:drawing>
          <wp:inline distT="0" distB="0" distL="0" distR="0" wp14:anchorId="24DF514C" wp14:editId="62F18CDA">
            <wp:extent cx="5343525" cy="8030829"/>
            <wp:effectExtent l="0" t="0" r="0" b="8890"/>
            <wp:docPr id="1297584713" name="Picture 9" descr="Coloured photographs of adult Perna canaliculus (top), Perna perna (middle), and Perna viridis (bottom) showing the inside and outside of the empty shell for each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84713" name="Picture 9" descr="Coloured photographs of adult Perna canaliculus (top), Perna perna (middle), and Perna viridis (bottom) showing the inside and outside of the empty shell for each species. "/>
                    <pic:cNvPicPr/>
                  </pic:nvPicPr>
                  <pic:blipFill>
                    <a:blip r:embed="rId251" cstate="email">
                      <a:extLst>
                        <a:ext uri="{28A0092B-C50C-407E-A947-70E740481C1C}">
                          <a14:useLocalDpi xmlns:a14="http://schemas.microsoft.com/office/drawing/2010/main" val="0"/>
                        </a:ext>
                      </a:extLst>
                    </a:blip>
                    <a:stretch>
                      <a:fillRect/>
                    </a:stretch>
                  </pic:blipFill>
                  <pic:spPr>
                    <a:xfrm>
                      <a:off x="0" y="0"/>
                      <a:ext cx="5347045" cy="8036119"/>
                    </a:xfrm>
                    <a:prstGeom prst="rect">
                      <a:avLst/>
                    </a:prstGeom>
                  </pic:spPr>
                </pic:pic>
              </a:graphicData>
            </a:graphic>
          </wp:inline>
        </w:drawing>
      </w:r>
    </w:p>
    <w:p w14:paraId="164EC726" w14:textId="3F2279CE" w:rsidR="00E55B67" w:rsidRPr="00846769" w:rsidRDefault="00A44534" w:rsidP="00E55B67">
      <w:pPr>
        <w:spacing w:after="0"/>
        <w:rPr>
          <w:sz w:val="18"/>
          <w:szCs w:val="18"/>
        </w:rPr>
      </w:pPr>
      <w:r w:rsidRPr="00846769">
        <w:rPr>
          <w:rStyle w:val="Strong"/>
          <w:sz w:val="18"/>
          <w:szCs w:val="18"/>
        </w:rPr>
        <w:t>A</w:t>
      </w:r>
      <w:r w:rsidR="00E55B67" w:rsidRPr="00846769">
        <w:rPr>
          <w:rStyle w:val="Strong"/>
          <w:sz w:val="18"/>
          <w:szCs w:val="18"/>
        </w:rPr>
        <w:t xml:space="preserve"> </w:t>
      </w:r>
      <w:r w:rsidR="00E55B67" w:rsidRPr="00846769">
        <w:rPr>
          <w:rStyle w:val="Strong"/>
          <w:b w:val="0"/>
          <w:bCs w:val="0"/>
          <w:sz w:val="18"/>
          <w:szCs w:val="18"/>
        </w:rPr>
        <w:t xml:space="preserve">Rounded shell of </w:t>
      </w:r>
      <w:r w:rsidR="00E55B67" w:rsidRPr="00846769">
        <w:rPr>
          <w:rStyle w:val="Strong"/>
          <w:b w:val="0"/>
          <w:bCs w:val="0"/>
          <w:i/>
          <w:iCs/>
          <w:sz w:val="18"/>
          <w:szCs w:val="18"/>
        </w:rPr>
        <w:t xml:space="preserve">P. perna </w:t>
      </w:r>
      <w:r w:rsidR="00E55B67" w:rsidRPr="00846769">
        <w:rPr>
          <w:rStyle w:val="Strong"/>
          <w:b w:val="0"/>
          <w:bCs w:val="0"/>
          <w:sz w:val="18"/>
          <w:szCs w:val="18"/>
        </w:rPr>
        <w:t xml:space="preserve">compared to the elongate </w:t>
      </w:r>
      <w:r w:rsidR="00E55B67" w:rsidRPr="00846769">
        <w:rPr>
          <w:rStyle w:val="Strong"/>
          <w:b w:val="0"/>
          <w:bCs w:val="0"/>
          <w:i/>
          <w:iCs/>
          <w:sz w:val="18"/>
          <w:szCs w:val="18"/>
        </w:rPr>
        <w:t xml:space="preserve">P. canaliculus </w:t>
      </w:r>
      <w:r w:rsidR="00E55B67" w:rsidRPr="00846769">
        <w:rPr>
          <w:rStyle w:val="Strong"/>
          <w:b w:val="0"/>
          <w:bCs w:val="0"/>
          <w:sz w:val="18"/>
          <w:szCs w:val="18"/>
        </w:rPr>
        <w:t xml:space="preserve">and </w:t>
      </w:r>
      <w:r w:rsidR="00E55B67" w:rsidRPr="00846769">
        <w:rPr>
          <w:rStyle w:val="Strong"/>
          <w:b w:val="0"/>
          <w:bCs w:val="0"/>
          <w:i/>
          <w:iCs/>
          <w:sz w:val="18"/>
          <w:szCs w:val="18"/>
        </w:rPr>
        <w:t>P. viridis</w:t>
      </w:r>
      <w:r w:rsidR="00E55B67" w:rsidRPr="00846769">
        <w:rPr>
          <w:rStyle w:val="Strong"/>
          <w:sz w:val="18"/>
          <w:szCs w:val="18"/>
        </w:rPr>
        <w:t>.</w:t>
      </w:r>
      <w:r w:rsidR="00080410" w:rsidRPr="00846769">
        <w:rPr>
          <w:rStyle w:val="Strong"/>
          <w:sz w:val="18"/>
          <w:szCs w:val="18"/>
        </w:rPr>
        <w:t xml:space="preserve"> B </w:t>
      </w:r>
      <w:r w:rsidR="00080410" w:rsidRPr="00846769">
        <w:rPr>
          <w:sz w:val="18"/>
          <w:szCs w:val="18"/>
        </w:rPr>
        <w:t xml:space="preserve">Rounded beak of </w:t>
      </w:r>
      <w:r w:rsidR="00080410" w:rsidRPr="00846769">
        <w:rPr>
          <w:i/>
          <w:iCs/>
          <w:sz w:val="18"/>
          <w:szCs w:val="18"/>
        </w:rPr>
        <w:t>P. viridis</w:t>
      </w:r>
      <w:r w:rsidR="00080410" w:rsidRPr="00846769">
        <w:rPr>
          <w:sz w:val="18"/>
          <w:szCs w:val="18"/>
        </w:rPr>
        <w:t>.</w:t>
      </w:r>
      <w:r w:rsidR="00080410" w:rsidRPr="00846769">
        <w:rPr>
          <w:rStyle w:val="Strong"/>
          <w:sz w:val="18"/>
          <w:szCs w:val="18"/>
        </w:rPr>
        <w:t xml:space="preserve"> </w:t>
      </w:r>
    </w:p>
    <w:p w14:paraId="7E3323D8" w14:textId="2890B04F" w:rsidR="00A44534" w:rsidRPr="00846769" w:rsidRDefault="00E55B67" w:rsidP="00A44534">
      <w:pPr>
        <w:pStyle w:val="FigureTableNoteSource"/>
        <w:spacing w:before="0"/>
      </w:pPr>
      <w:r w:rsidRPr="00846769">
        <w:rPr>
          <w:rStyle w:val="Emphasis"/>
          <w:i w:val="0"/>
          <w:iCs w:val="0"/>
        </w:rPr>
        <w:t>Source:</w:t>
      </w:r>
      <w:r w:rsidRPr="00846769">
        <w:t xml:space="preserve"> </w:t>
      </w:r>
      <w:r w:rsidR="00A44534" w:rsidRPr="00846769">
        <w:t>Ashley Coutts/Biofouling Solutions, for the Marine Pest Photo Album</w:t>
      </w:r>
    </w:p>
    <w:p w14:paraId="4BC7F0AB" w14:textId="1A06853E" w:rsidR="00611CCC" w:rsidRPr="00846769" w:rsidRDefault="00611CCC" w:rsidP="00611CCC">
      <w:pPr>
        <w:pStyle w:val="Caption"/>
      </w:pPr>
      <w:bookmarkStart w:id="662" w:name="_Ref171945113"/>
      <w:bookmarkStart w:id="663" w:name="_Toc191999543"/>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19</w:t>
      </w:r>
      <w:r w:rsidRPr="00846769">
        <w:fldChar w:fldCharType="end"/>
      </w:r>
      <w:bookmarkEnd w:id="662"/>
      <w:r w:rsidRPr="00846769">
        <w:t xml:space="preserve"> Shape of antero-ventral valve margins in </w:t>
      </w:r>
      <w:r w:rsidRPr="00846769">
        <w:rPr>
          <w:i/>
          <w:iCs/>
        </w:rPr>
        <w:t xml:space="preserve">Perna canaliculus </w:t>
      </w:r>
      <w:r w:rsidRPr="00846769">
        <w:t xml:space="preserve">(left), </w:t>
      </w:r>
      <w:r w:rsidRPr="00846769">
        <w:rPr>
          <w:i/>
          <w:iCs/>
        </w:rPr>
        <w:t xml:space="preserve">Perna </w:t>
      </w:r>
      <w:proofErr w:type="spellStart"/>
      <w:r w:rsidRPr="00846769">
        <w:rPr>
          <w:i/>
          <w:iCs/>
        </w:rPr>
        <w:t>perna</w:t>
      </w:r>
      <w:proofErr w:type="spellEnd"/>
      <w:r w:rsidRPr="00846769">
        <w:rPr>
          <w:i/>
          <w:iCs/>
        </w:rPr>
        <w:t xml:space="preserve"> </w:t>
      </w:r>
      <w:r w:rsidRPr="00846769">
        <w:t xml:space="preserve">(middle), and </w:t>
      </w:r>
      <w:r w:rsidRPr="00846769">
        <w:rPr>
          <w:i/>
          <w:iCs/>
        </w:rPr>
        <w:t xml:space="preserve">Perna viridis </w:t>
      </w:r>
      <w:r w:rsidRPr="00846769">
        <w:t>(right)</w:t>
      </w:r>
      <w:bookmarkEnd w:id="663"/>
    </w:p>
    <w:p w14:paraId="5DB548D1" w14:textId="78A2FF73" w:rsidR="00ED1A7D" w:rsidRPr="00846769" w:rsidRDefault="00F42923" w:rsidP="004E1095">
      <w:r w:rsidRPr="00846769">
        <w:rPr>
          <w:noProof/>
        </w:rPr>
        <w:drawing>
          <wp:inline distT="0" distB="0" distL="0" distR="0" wp14:anchorId="202ED278" wp14:editId="338A7D31">
            <wp:extent cx="5731510" cy="3321685"/>
            <wp:effectExtent l="0" t="0" r="2540" b="0"/>
            <wp:docPr id="1149706063" name="Picture 8" descr="Coloured photographs showing close-ups of the antero-ventral valve margin of empty shells for Perna spp. and the morphological differences betwee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06063" name="Picture 8" descr="Coloured photographs showing close-ups of the antero-ventral valve margin of empty shells for Perna spp. and the morphological differences between them. "/>
                    <pic:cNvPicPr/>
                  </pic:nvPicPr>
                  <pic:blipFill>
                    <a:blip r:embed="rId252" cstate="email">
                      <a:extLst>
                        <a:ext uri="{28A0092B-C50C-407E-A947-70E740481C1C}">
                          <a14:useLocalDpi xmlns:a14="http://schemas.microsoft.com/office/drawing/2010/main" val="0"/>
                        </a:ext>
                      </a:extLst>
                    </a:blip>
                    <a:stretch>
                      <a:fillRect/>
                    </a:stretch>
                  </pic:blipFill>
                  <pic:spPr>
                    <a:xfrm>
                      <a:off x="0" y="0"/>
                      <a:ext cx="5731510" cy="3321685"/>
                    </a:xfrm>
                    <a:prstGeom prst="rect">
                      <a:avLst/>
                    </a:prstGeom>
                  </pic:spPr>
                </pic:pic>
              </a:graphicData>
            </a:graphic>
          </wp:inline>
        </w:drawing>
      </w:r>
    </w:p>
    <w:p w14:paraId="4A2B8EA4" w14:textId="23DCAAE2" w:rsidR="00F42923" w:rsidRPr="00846769" w:rsidRDefault="00F42923" w:rsidP="00F42923">
      <w:pPr>
        <w:spacing w:after="0"/>
        <w:rPr>
          <w:sz w:val="18"/>
          <w:szCs w:val="18"/>
        </w:rPr>
      </w:pPr>
      <w:r w:rsidRPr="00846769">
        <w:rPr>
          <w:rStyle w:val="Strong"/>
          <w:sz w:val="18"/>
          <w:szCs w:val="18"/>
        </w:rPr>
        <w:t xml:space="preserve">A </w:t>
      </w:r>
      <w:r w:rsidRPr="00846769">
        <w:rPr>
          <w:rStyle w:val="Strong"/>
          <w:b w:val="0"/>
          <w:bCs w:val="0"/>
          <w:sz w:val="18"/>
          <w:szCs w:val="18"/>
        </w:rPr>
        <w:t xml:space="preserve">Convex antero-ventral valve margin of </w:t>
      </w:r>
      <w:r w:rsidRPr="00846769">
        <w:rPr>
          <w:rStyle w:val="Strong"/>
          <w:b w:val="0"/>
          <w:bCs w:val="0"/>
          <w:i/>
          <w:iCs/>
          <w:sz w:val="18"/>
          <w:szCs w:val="18"/>
        </w:rPr>
        <w:t>P. canaliculus</w:t>
      </w:r>
      <w:r w:rsidRPr="00846769">
        <w:rPr>
          <w:rStyle w:val="Strong"/>
          <w:sz w:val="18"/>
          <w:szCs w:val="18"/>
        </w:rPr>
        <w:t xml:space="preserve"> B </w:t>
      </w:r>
      <w:r w:rsidRPr="00846769">
        <w:rPr>
          <w:sz w:val="18"/>
          <w:szCs w:val="18"/>
        </w:rPr>
        <w:t xml:space="preserve">straight margin of </w:t>
      </w:r>
      <w:r w:rsidRPr="00846769">
        <w:rPr>
          <w:i/>
          <w:iCs/>
          <w:sz w:val="18"/>
          <w:szCs w:val="18"/>
        </w:rPr>
        <w:t xml:space="preserve">P. perna </w:t>
      </w:r>
      <w:r w:rsidRPr="00846769">
        <w:rPr>
          <w:b/>
          <w:bCs/>
          <w:sz w:val="18"/>
          <w:szCs w:val="18"/>
        </w:rPr>
        <w:t xml:space="preserve">C </w:t>
      </w:r>
      <w:r w:rsidRPr="00846769">
        <w:rPr>
          <w:sz w:val="18"/>
          <w:szCs w:val="18"/>
        </w:rPr>
        <w:t xml:space="preserve">straight margin of </w:t>
      </w:r>
      <w:r w:rsidRPr="00846769">
        <w:rPr>
          <w:i/>
          <w:iCs/>
          <w:sz w:val="18"/>
          <w:szCs w:val="18"/>
        </w:rPr>
        <w:t xml:space="preserve">P. viridis. </w:t>
      </w:r>
    </w:p>
    <w:p w14:paraId="69ABF9EA" w14:textId="283FB259" w:rsidR="00F42923" w:rsidRPr="00846769" w:rsidRDefault="00F42923" w:rsidP="00F42923">
      <w:pPr>
        <w:pStyle w:val="FigureTableNoteSource"/>
        <w:spacing w:before="0"/>
      </w:pPr>
      <w:r w:rsidRPr="00846769">
        <w:rPr>
          <w:rStyle w:val="Emphasis"/>
          <w:i w:val="0"/>
          <w:iCs w:val="0"/>
        </w:rPr>
        <w:t>Source:</w:t>
      </w:r>
      <w:r w:rsidRPr="00846769">
        <w:t xml:space="preserve"> Ashley Coutts/Biofouling Solutions, for the Marine Pest Photo Album, modified by Ren</w:t>
      </w:r>
      <w:r w:rsidRPr="00846769">
        <w:rPr>
          <w:rFonts w:ascii="Times New Roman" w:hAnsi="Times New Roman" w:cs="Times New Roman"/>
        </w:rPr>
        <w:t>é</w:t>
      </w:r>
      <w:r w:rsidRPr="00846769">
        <w:t xml:space="preserve"> Campbell (DAFF)</w:t>
      </w:r>
    </w:p>
    <w:p w14:paraId="4ECAE9EC" w14:textId="347D4AB6" w:rsidR="00611CCC" w:rsidRPr="00846769" w:rsidRDefault="00611CCC" w:rsidP="00611CCC">
      <w:pPr>
        <w:pStyle w:val="Caption"/>
      </w:pPr>
      <w:bookmarkStart w:id="664" w:name="_Ref171945136"/>
      <w:bookmarkStart w:id="665" w:name="_Toc191999544"/>
      <w:r w:rsidRPr="00846769">
        <w:t xml:space="preserve">Photo </w:t>
      </w:r>
      <w:r w:rsidRPr="00846769">
        <w:fldChar w:fldCharType="begin"/>
      </w:r>
      <w:r w:rsidRPr="00846769">
        <w:instrText xml:space="preserve"> SEQ Photo \* ARABIC </w:instrText>
      </w:r>
      <w:r w:rsidRPr="00846769">
        <w:fldChar w:fldCharType="separate"/>
      </w:r>
      <w:r w:rsidR="00300312" w:rsidRPr="00846769">
        <w:t>20</w:t>
      </w:r>
      <w:r w:rsidRPr="00846769">
        <w:fldChar w:fldCharType="end"/>
      </w:r>
      <w:bookmarkEnd w:id="664"/>
      <w:r w:rsidRPr="00846769">
        <w:t xml:space="preserve"> </w:t>
      </w:r>
      <w:r w:rsidR="00FC4CEA" w:rsidRPr="00846769">
        <w:t>A</w:t>
      </w:r>
      <w:r w:rsidRPr="00846769">
        <w:t xml:space="preserve">dult </w:t>
      </w:r>
      <w:r w:rsidRPr="00846769">
        <w:rPr>
          <w:i/>
          <w:iCs/>
        </w:rPr>
        <w:t xml:space="preserve">P. viridis </w:t>
      </w:r>
      <w:r w:rsidRPr="00846769">
        <w:t xml:space="preserve">(left) and juvenile </w:t>
      </w:r>
      <w:r w:rsidRPr="00846769">
        <w:rPr>
          <w:i/>
          <w:iCs/>
        </w:rPr>
        <w:t xml:space="preserve">P. viridis </w:t>
      </w:r>
      <w:r w:rsidRPr="00846769">
        <w:t>(right) showing variation in colour and pattern morphology</w:t>
      </w:r>
      <w:bookmarkEnd w:id="665"/>
    </w:p>
    <w:p w14:paraId="52460A4D" w14:textId="7565DCBA" w:rsidR="00F42923" w:rsidRPr="00846769" w:rsidRDefault="00F42923" w:rsidP="00F42923">
      <w:r w:rsidRPr="00846769">
        <w:rPr>
          <w:noProof/>
        </w:rPr>
        <w:drawing>
          <wp:inline distT="0" distB="0" distL="0" distR="0" wp14:anchorId="5FD1D3DD" wp14:editId="5912711E">
            <wp:extent cx="5731510" cy="2280636"/>
            <wp:effectExtent l="0" t="0" r="2540" b="5715"/>
            <wp:docPr id="1533588700" name="Picture 9" descr="A coloured photograph showing an adult Perna viridis shell and the bright green and brown colourations, and juvenile Perna viridis with more subdued green tints and zigzag b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88700" name="Picture 9" descr="A coloured photograph showing an adult Perna viridis shell and the bright green and brown colourations, and juvenile Perna viridis with more subdued green tints and zigzag banding. "/>
                    <pic:cNvPicPr/>
                  </pic:nvPicPr>
                  <pic:blipFill>
                    <a:blip r:embed="rId253" cstate="email">
                      <a:extLst>
                        <a:ext uri="{28A0092B-C50C-407E-A947-70E740481C1C}">
                          <a14:useLocalDpi xmlns:a14="http://schemas.microsoft.com/office/drawing/2010/main" val="0"/>
                        </a:ext>
                      </a:extLst>
                    </a:blip>
                    <a:stretch>
                      <a:fillRect/>
                    </a:stretch>
                  </pic:blipFill>
                  <pic:spPr>
                    <a:xfrm>
                      <a:off x="0" y="0"/>
                      <a:ext cx="5738359" cy="2283361"/>
                    </a:xfrm>
                    <a:prstGeom prst="rect">
                      <a:avLst/>
                    </a:prstGeom>
                  </pic:spPr>
                </pic:pic>
              </a:graphicData>
            </a:graphic>
          </wp:inline>
        </w:drawing>
      </w:r>
    </w:p>
    <w:p w14:paraId="0A192848" w14:textId="3BB06027" w:rsidR="00F42923" w:rsidRPr="00846769" w:rsidRDefault="00F42923" w:rsidP="00F42923">
      <w:pPr>
        <w:pStyle w:val="FigureTableNoteSource"/>
        <w:spacing w:before="0"/>
      </w:pPr>
      <w:r w:rsidRPr="00846769">
        <w:rPr>
          <w:rStyle w:val="Emphasis"/>
          <w:i w:val="0"/>
          <w:iCs w:val="0"/>
        </w:rPr>
        <w:t>Source:</w:t>
      </w:r>
      <w:r w:rsidRPr="00846769">
        <w:t xml:space="preserve"> </w:t>
      </w:r>
      <w:r w:rsidR="009D5DA2" w:rsidRPr="00846769">
        <w:t>Justin McDonald, WA DPIRD</w:t>
      </w:r>
    </w:p>
    <w:p w14:paraId="54D4FCD9" w14:textId="77777777" w:rsidR="00F42923" w:rsidRPr="00846769" w:rsidRDefault="00F42923" w:rsidP="00F42923"/>
    <w:p w14:paraId="149671C1" w14:textId="77777777" w:rsidR="00F42923" w:rsidRPr="00846769" w:rsidRDefault="00F42923" w:rsidP="00F42923"/>
    <w:p w14:paraId="31708E24" w14:textId="77777777" w:rsidR="00F42923" w:rsidRPr="00846769" w:rsidRDefault="00F42923" w:rsidP="00F42923"/>
    <w:p w14:paraId="306D6985" w14:textId="77777777" w:rsidR="00F42923" w:rsidRPr="00846769" w:rsidRDefault="00F42923" w:rsidP="00F42923"/>
    <w:p w14:paraId="2315DC30" w14:textId="77777777" w:rsidR="001C38D8" w:rsidRPr="00846769" w:rsidRDefault="001C38D8" w:rsidP="001C38D8">
      <w:pPr>
        <w:pStyle w:val="Heading6"/>
        <w:spacing w:after="40"/>
        <w:rPr>
          <w:color w:val="262626" w:themeColor="text1" w:themeTint="D9"/>
        </w:rPr>
      </w:pPr>
      <w:r w:rsidRPr="00846769">
        <w:rPr>
          <w:color w:val="262626" w:themeColor="text1" w:themeTint="D9"/>
        </w:rPr>
        <w:lastRenderedPageBreak/>
        <w:t>Similar native species</w:t>
      </w:r>
    </w:p>
    <w:p w14:paraId="18ACE8D1" w14:textId="27AE8BF8" w:rsidR="001C38D8" w:rsidRPr="00846769" w:rsidRDefault="001C38D8" w:rsidP="00D70D7C">
      <w:r w:rsidRPr="00846769">
        <w:t xml:space="preserve">Species of the genus </w:t>
      </w:r>
      <w:r w:rsidRPr="00846769">
        <w:rPr>
          <w:i/>
          <w:iCs/>
        </w:rPr>
        <w:t xml:space="preserve">Perna </w:t>
      </w:r>
      <w:r w:rsidRPr="00846769">
        <w:t xml:space="preserve">appear </w:t>
      </w:r>
      <w:proofErr w:type="gramStart"/>
      <w:r w:rsidRPr="00846769">
        <w:t>similar</w:t>
      </w:r>
      <w:r w:rsidR="00A44534" w:rsidRPr="00846769">
        <w:t xml:space="preserve"> to</w:t>
      </w:r>
      <w:proofErr w:type="gramEnd"/>
      <w:r w:rsidR="00A44534" w:rsidRPr="00846769">
        <w:t xml:space="preserve"> each other, and to some other </w:t>
      </w:r>
      <w:proofErr w:type="spellStart"/>
      <w:r w:rsidR="00A44534" w:rsidRPr="00846769">
        <w:t>mytilids</w:t>
      </w:r>
      <w:proofErr w:type="spellEnd"/>
      <w:r w:rsidRPr="00846769">
        <w:t xml:space="preserve">. </w:t>
      </w:r>
      <w:r w:rsidR="00131E2C" w:rsidRPr="00846769">
        <w:t xml:space="preserve">Adult </w:t>
      </w:r>
      <w:r w:rsidR="00131E2C" w:rsidRPr="00846769">
        <w:rPr>
          <w:i/>
          <w:iCs/>
        </w:rPr>
        <w:t>Perna</w:t>
      </w:r>
      <w:r w:rsidR="00070E64">
        <w:rPr>
          <w:i/>
          <w:iCs/>
        </w:rPr>
        <w:t> </w:t>
      </w:r>
      <w:r w:rsidR="00131E2C" w:rsidRPr="00846769">
        <w:t xml:space="preserve">spp. can resemble </w:t>
      </w:r>
      <w:r w:rsidR="00131E2C" w:rsidRPr="00846769">
        <w:rPr>
          <w:i/>
          <w:iCs/>
        </w:rPr>
        <w:t xml:space="preserve">Mytilus </w:t>
      </w:r>
      <w:r w:rsidR="00131E2C" w:rsidRPr="00846769">
        <w:t xml:space="preserve">spp., meanwhile juvenile </w:t>
      </w:r>
      <w:r w:rsidR="00131E2C" w:rsidRPr="00846769">
        <w:rPr>
          <w:i/>
          <w:iCs/>
        </w:rPr>
        <w:t xml:space="preserve">Perna </w:t>
      </w:r>
      <w:r w:rsidR="00131E2C" w:rsidRPr="00846769">
        <w:t xml:space="preserve">spp. can resemble </w:t>
      </w:r>
      <w:r w:rsidR="00131E2C" w:rsidRPr="00846769">
        <w:rPr>
          <w:i/>
          <w:iCs/>
        </w:rPr>
        <w:t xml:space="preserve">Mytilus </w:t>
      </w:r>
      <w:r w:rsidR="00131E2C" w:rsidRPr="00846769">
        <w:t xml:space="preserve">and </w:t>
      </w:r>
      <w:proofErr w:type="spellStart"/>
      <w:r w:rsidR="00131E2C" w:rsidRPr="00846769">
        <w:rPr>
          <w:i/>
          <w:iCs/>
        </w:rPr>
        <w:t>Xenostrobus</w:t>
      </w:r>
      <w:proofErr w:type="spellEnd"/>
      <w:r w:rsidR="00131E2C" w:rsidRPr="00846769">
        <w:rPr>
          <w:i/>
          <w:iCs/>
        </w:rPr>
        <w:t xml:space="preserve"> </w:t>
      </w:r>
      <w:r w:rsidR="00131E2C" w:rsidRPr="00846769">
        <w:t xml:space="preserve">spp. </w:t>
      </w:r>
    </w:p>
    <w:p w14:paraId="21564776" w14:textId="6CA13C26" w:rsidR="00131E2C" w:rsidRPr="00846769" w:rsidRDefault="00131E2C" w:rsidP="00D70D7C">
      <w:r w:rsidRPr="00846769">
        <w:t xml:space="preserve">Even though live individuals of </w:t>
      </w:r>
      <w:r w:rsidRPr="00846769">
        <w:rPr>
          <w:i/>
          <w:iCs/>
        </w:rPr>
        <w:t xml:space="preserve">P. canaliculus </w:t>
      </w:r>
      <w:r w:rsidRPr="00846769">
        <w:t xml:space="preserve">can occasionally have a black periostracum, it </w:t>
      </w:r>
      <w:r w:rsidR="007E12DF" w:rsidRPr="00846769">
        <w:t>can</w:t>
      </w:r>
      <w:r w:rsidRPr="00846769">
        <w:t xml:space="preserve"> be distinguished from </w:t>
      </w:r>
      <w:r w:rsidRPr="00846769">
        <w:rPr>
          <w:rStyle w:val="Emphasis"/>
        </w:rPr>
        <w:t xml:space="preserve">Mytilus </w:t>
      </w:r>
      <w:proofErr w:type="spellStart"/>
      <w:r w:rsidRPr="00846769">
        <w:rPr>
          <w:rStyle w:val="Emphasis"/>
        </w:rPr>
        <w:t>galloprovincialis</w:t>
      </w:r>
      <w:proofErr w:type="spellEnd"/>
      <w:r w:rsidRPr="00846769">
        <w:t xml:space="preserve"> in Au</w:t>
      </w:r>
      <w:r w:rsidRPr="00E50272">
        <w:t>stralia (MPSC 2018).</w:t>
      </w:r>
      <w:r w:rsidRPr="00846769">
        <w:t xml:space="preserve"> </w:t>
      </w:r>
      <w:r w:rsidR="007E12DF" w:rsidRPr="00846769">
        <w:rPr>
          <w:i/>
          <w:iCs/>
        </w:rPr>
        <w:t xml:space="preserve">Perna </w:t>
      </w:r>
      <w:proofErr w:type="spellStart"/>
      <w:r w:rsidR="007E12DF" w:rsidRPr="00846769">
        <w:rPr>
          <w:i/>
          <w:iCs/>
        </w:rPr>
        <w:t>perna</w:t>
      </w:r>
      <w:proofErr w:type="spellEnd"/>
      <w:r w:rsidR="007E12DF" w:rsidRPr="00846769">
        <w:rPr>
          <w:i/>
          <w:iCs/>
        </w:rPr>
        <w:t xml:space="preserve"> </w:t>
      </w:r>
      <w:r w:rsidR="007E12DF" w:rsidRPr="00846769">
        <w:t xml:space="preserve">can look </w:t>
      </w:r>
      <w:proofErr w:type="gramStart"/>
      <w:r w:rsidR="007E12DF" w:rsidRPr="00846769">
        <w:t>similar to</w:t>
      </w:r>
      <w:proofErr w:type="gramEnd"/>
      <w:r w:rsidR="007E12DF" w:rsidRPr="00846769">
        <w:t xml:space="preserve"> hairy mussel </w:t>
      </w:r>
      <w:proofErr w:type="spellStart"/>
      <w:r w:rsidR="007E12DF" w:rsidRPr="00846769">
        <w:rPr>
          <w:i/>
          <w:iCs/>
        </w:rPr>
        <w:t>Trichomya</w:t>
      </w:r>
      <w:proofErr w:type="spellEnd"/>
      <w:r w:rsidR="007E12DF" w:rsidRPr="00846769">
        <w:rPr>
          <w:i/>
          <w:iCs/>
        </w:rPr>
        <w:t xml:space="preserve"> </w:t>
      </w:r>
      <w:proofErr w:type="spellStart"/>
      <w:r w:rsidR="007E12DF" w:rsidRPr="00846769">
        <w:rPr>
          <w:i/>
          <w:iCs/>
        </w:rPr>
        <w:t>hirsuta</w:t>
      </w:r>
      <w:proofErr w:type="spellEnd"/>
      <w:r w:rsidR="007E12DF" w:rsidRPr="00846769">
        <w:rPr>
          <w:i/>
          <w:iCs/>
        </w:rPr>
        <w:t xml:space="preserve">, </w:t>
      </w:r>
      <w:r w:rsidR="007E12DF" w:rsidRPr="00846769">
        <w:t xml:space="preserve">which is distinguished by its radial ridges and shell bristles. All </w:t>
      </w:r>
      <w:r w:rsidRPr="00846769">
        <w:rPr>
          <w:i/>
          <w:iCs/>
        </w:rPr>
        <w:t xml:space="preserve">Perna </w:t>
      </w:r>
      <w:r w:rsidRPr="00846769">
        <w:t xml:space="preserve">spp. can look similar to </w:t>
      </w:r>
      <w:proofErr w:type="spellStart"/>
      <w:r w:rsidRPr="00846769">
        <w:rPr>
          <w:i/>
          <w:iCs/>
        </w:rPr>
        <w:t>Septifer</w:t>
      </w:r>
      <w:proofErr w:type="spellEnd"/>
      <w:r w:rsidRPr="00846769">
        <w:rPr>
          <w:i/>
          <w:iCs/>
        </w:rPr>
        <w:t xml:space="preserve"> </w:t>
      </w:r>
      <w:proofErr w:type="spellStart"/>
      <w:r w:rsidRPr="00846769">
        <w:rPr>
          <w:i/>
          <w:iCs/>
        </w:rPr>
        <w:t>bilocularis</w:t>
      </w:r>
      <w:proofErr w:type="spellEnd"/>
      <w:r w:rsidRPr="00846769">
        <w:rPr>
          <w:i/>
          <w:iCs/>
        </w:rPr>
        <w:t xml:space="preserve"> </w:t>
      </w:r>
      <w:r w:rsidRPr="00846769">
        <w:t xml:space="preserve">which can have </w:t>
      </w:r>
      <w:proofErr w:type="gramStart"/>
      <w:r w:rsidRPr="00846769">
        <w:t>yellow-green</w:t>
      </w:r>
      <w:proofErr w:type="gramEnd"/>
      <w:r w:rsidRPr="00846769">
        <w:t xml:space="preserve"> colouration, but is distinguished by its strong radial ridges.</w:t>
      </w:r>
    </w:p>
    <w:p w14:paraId="5E6B592F" w14:textId="6E49F623" w:rsidR="00131E2C" w:rsidRPr="00846769" w:rsidRDefault="00131E2C" w:rsidP="00131E2C">
      <w:r w:rsidRPr="00846769">
        <w:t xml:space="preserve">Photographs of some similar native bivalves to </w:t>
      </w:r>
      <w:r w:rsidRPr="00846769">
        <w:rPr>
          <w:i/>
          <w:iCs/>
        </w:rPr>
        <w:t xml:space="preserve">Perna </w:t>
      </w:r>
      <w:r w:rsidRPr="00846769">
        <w:t xml:space="preserve">spp. can be identified via the marine </w:t>
      </w:r>
      <w:proofErr w:type="gramStart"/>
      <w:r w:rsidRPr="00846769">
        <w:t>pests</w:t>
      </w:r>
      <w:proofErr w:type="gramEnd"/>
      <w:r w:rsidRPr="00846769">
        <w:t xml:space="preserve"> website</w:t>
      </w:r>
      <w:r w:rsidR="007E12DF" w:rsidRPr="00846769">
        <w:t xml:space="preserve"> below</w:t>
      </w:r>
      <w:r w:rsidRPr="00846769">
        <w:t>:</w:t>
      </w:r>
    </w:p>
    <w:p w14:paraId="7FAD8ABF" w14:textId="4D4F338C" w:rsidR="00131E2C" w:rsidRPr="00846769" w:rsidRDefault="00131E2C" w:rsidP="000705E5">
      <w:pPr>
        <w:pStyle w:val="ListParagraph"/>
        <w:numPr>
          <w:ilvl w:val="0"/>
          <w:numId w:val="29"/>
        </w:numPr>
        <w:ind w:left="426"/>
      </w:pPr>
      <w:hyperlink r:id="rId254" w:history="1">
        <w:r w:rsidRPr="00846769">
          <w:rPr>
            <w:rStyle w:val="Hyperlink"/>
            <w:i/>
            <w:iCs/>
          </w:rPr>
          <w:t>Perna canaliculus</w:t>
        </w:r>
      </w:hyperlink>
    </w:p>
    <w:p w14:paraId="01FEF2C8" w14:textId="7AC338D5" w:rsidR="00131E2C" w:rsidRPr="00846769" w:rsidRDefault="00131E2C" w:rsidP="000705E5">
      <w:pPr>
        <w:pStyle w:val="ListParagraph"/>
        <w:numPr>
          <w:ilvl w:val="0"/>
          <w:numId w:val="29"/>
        </w:numPr>
        <w:ind w:left="426"/>
      </w:pPr>
      <w:hyperlink r:id="rId255" w:history="1">
        <w:r w:rsidRPr="00846769">
          <w:rPr>
            <w:rStyle w:val="Hyperlink"/>
            <w:i/>
            <w:iCs/>
          </w:rPr>
          <w:t xml:space="preserve">Perna </w:t>
        </w:r>
        <w:proofErr w:type="spellStart"/>
        <w:r w:rsidRPr="00846769">
          <w:rPr>
            <w:rStyle w:val="Hyperlink"/>
            <w:i/>
            <w:iCs/>
          </w:rPr>
          <w:t>perna</w:t>
        </w:r>
        <w:proofErr w:type="spellEnd"/>
      </w:hyperlink>
    </w:p>
    <w:p w14:paraId="591C05C2" w14:textId="19B2384E" w:rsidR="001C38D8" w:rsidRPr="00846769" w:rsidRDefault="00131E2C" w:rsidP="000705E5">
      <w:pPr>
        <w:pStyle w:val="ListParagraph"/>
        <w:numPr>
          <w:ilvl w:val="0"/>
          <w:numId w:val="29"/>
        </w:numPr>
        <w:ind w:left="426"/>
      </w:pPr>
      <w:hyperlink r:id="rId256" w:history="1">
        <w:r w:rsidRPr="00846769">
          <w:rPr>
            <w:rStyle w:val="Hyperlink"/>
            <w:i/>
            <w:iCs/>
          </w:rPr>
          <w:t>Perna viridis</w:t>
        </w:r>
      </w:hyperlink>
    </w:p>
    <w:p w14:paraId="59D33EFE" w14:textId="77777777" w:rsidR="00024764" w:rsidRPr="00846769" w:rsidRDefault="00024764" w:rsidP="00024764">
      <w:pPr>
        <w:pStyle w:val="Heading6"/>
        <w:spacing w:after="40"/>
        <w:rPr>
          <w:color w:val="262626" w:themeColor="text1" w:themeTint="D9"/>
        </w:rPr>
      </w:pPr>
      <w:r w:rsidRPr="00846769">
        <w:rPr>
          <w:color w:val="262626" w:themeColor="text1" w:themeTint="D9"/>
        </w:rPr>
        <w:t>Laboratory and molecular identification</w:t>
      </w:r>
    </w:p>
    <w:p w14:paraId="2C813CED" w14:textId="6E3C8315" w:rsidR="00C9474E" w:rsidRPr="00846769" w:rsidRDefault="00C9474E" w:rsidP="00E55B67">
      <w:r>
        <w:t xml:space="preserve">qPCRs adapted from the literature and validated under Australia conditions exist for all </w:t>
      </w:r>
      <w:r>
        <w:rPr>
          <w:i/>
          <w:iCs/>
        </w:rPr>
        <w:t xml:space="preserve">Perna </w:t>
      </w:r>
      <w:r>
        <w:t xml:space="preserve">spp. </w:t>
      </w:r>
      <w:r w:rsidRPr="004E6582">
        <w:t xml:space="preserve">Dias et al. (2013) developed primers and probe to target COI of each species, while an assay targeting the mitochondrial intergenic spacer (IGS) region for </w:t>
      </w:r>
      <w:r w:rsidRPr="004E6582">
        <w:rPr>
          <w:i/>
          <w:iCs/>
        </w:rPr>
        <w:t xml:space="preserve">P. canaliculus </w:t>
      </w:r>
      <w:r w:rsidRPr="004E6582">
        <w:t>has also been developed (Bott et al. 201</w:t>
      </w:r>
      <w:r w:rsidR="008E057A" w:rsidRPr="004E6582">
        <w:t>1</w:t>
      </w:r>
      <w:r w:rsidRPr="004E6582">
        <w:t>). The Bott et al. (20</w:t>
      </w:r>
      <w:r w:rsidR="00032791" w:rsidRPr="004E6582">
        <w:t>11</w:t>
      </w:r>
      <w:r w:rsidRPr="004E6582">
        <w:t xml:space="preserve">) assay for </w:t>
      </w:r>
      <w:r w:rsidRPr="004E6582">
        <w:rPr>
          <w:i/>
          <w:iCs/>
        </w:rPr>
        <w:t>P. canaliculus</w:t>
      </w:r>
      <w:r w:rsidRPr="004E6582">
        <w:t xml:space="preserve">, and Dias et al. (2013) assays for </w:t>
      </w:r>
      <w:r w:rsidRPr="004E6582">
        <w:rPr>
          <w:i/>
          <w:iCs/>
        </w:rPr>
        <w:t>P.</w:t>
      </w:r>
      <w:r w:rsidR="00070E64">
        <w:rPr>
          <w:i/>
          <w:iCs/>
        </w:rPr>
        <w:t> </w:t>
      </w:r>
      <w:r w:rsidRPr="004E6582">
        <w:rPr>
          <w:i/>
          <w:iCs/>
        </w:rPr>
        <w:t xml:space="preserve">viridis </w:t>
      </w:r>
      <w:r w:rsidRPr="004E6582">
        <w:t xml:space="preserve">and </w:t>
      </w:r>
      <w:r w:rsidRPr="004E6582">
        <w:rPr>
          <w:i/>
          <w:iCs/>
        </w:rPr>
        <w:t xml:space="preserve">P. perna </w:t>
      </w:r>
      <w:r w:rsidRPr="004E6582">
        <w:t>were</w:t>
      </w:r>
      <w:r>
        <w:t xml:space="preserve"> assessed using plankton samples with target tissue added</w:t>
      </w:r>
      <w:r w:rsidR="00DD03FC">
        <w:t xml:space="preserve"> (spiked samples)</w:t>
      </w:r>
      <w:r>
        <w:t xml:space="preserve"> to quantify performance, and testing of archived DNA from plankton samples collected around Australia to verify field specificity (Wiltshire et al. 2023). These assays demonstrated good sensitivity and were specific when applied to Australian plankton samples (Wiltshire et al. 2023). The assay for </w:t>
      </w:r>
      <w:r>
        <w:rPr>
          <w:i/>
          <w:iCs/>
        </w:rPr>
        <w:t>P. perna</w:t>
      </w:r>
      <w:r>
        <w:t xml:space="preserve">, however, cross-reacted with </w:t>
      </w:r>
      <w:r>
        <w:rPr>
          <w:i/>
          <w:iCs/>
        </w:rPr>
        <w:t xml:space="preserve">P. canaliculus </w:t>
      </w:r>
      <w:r>
        <w:t xml:space="preserve">in spiked samples. Given no </w:t>
      </w:r>
      <w:r>
        <w:rPr>
          <w:i/>
          <w:iCs/>
        </w:rPr>
        <w:t xml:space="preserve">Perna </w:t>
      </w:r>
      <w:r>
        <w:t xml:space="preserve">species currently occur in Australia, the </w:t>
      </w:r>
      <w:r>
        <w:rPr>
          <w:i/>
          <w:iCs/>
        </w:rPr>
        <w:t xml:space="preserve">P. perna </w:t>
      </w:r>
      <w:r>
        <w:t xml:space="preserve">assay is still a useful tool, but should be applied in conjunction with testing for </w:t>
      </w:r>
      <w:r>
        <w:rPr>
          <w:i/>
          <w:iCs/>
        </w:rPr>
        <w:t>P. canaliculus</w:t>
      </w:r>
      <w:r w:rsidR="00DD03FC">
        <w:rPr>
          <w:i/>
          <w:iCs/>
        </w:rPr>
        <w:t xml:space="preserve"> </w:t>
      </w:r>
      <w:r w:rsidR="00DD03FC">
        <w:t>or sequencing</w:t>
      </w:r>
      <w:r>
        <w:rPr>
          <w:i/>
          <w:iCs/>
        </w:rPr>
        <w:t xml:space="preserve"> </w:t>
      </w:r>
      <w:r>
        <w:t xml:space="preserve">to clarify the source of any detection. </w:t>
      </w:r>
    </w:p>
    <w:p w14:paraId="7C5E3FE4" w14:textId="16D928F1" w:rsidR="002128D4" w:rsidRPr="00846769" w:rsidRDefault="00BC24CF" w:rsidP="00BC24CF">
      <w:pPr>
        <w:rPr>
          <w:rFonts w:cstheme="minorHAnsi"/>
        </w:rPr>
      </w:pPr>
      <w:r w:rsidRPr="00846769">
        <w:rPr>
          <w:rFonts w:cstheme="minorHAnsi"/>
        </w:rPr>
        <w:t>Refer to the guidelines for development and validation of assays for marine pests</w:t>
      </w:r>
      <w:r w:rsidRPr="00846769">
        <w:t xml:space="preserve"> for further information</w:t>
      </w:r>
      <w:r w:rsidRPr="00846769">
        <w:rPr>
          <w:rFonts w:cstheme="minorHAnsi"/>
        </w:rPr>
        <w:t xml:space="preserve"> and </w:t>
      </w:r>
      <w:hyperlink r:id="rId257" w:anchor=":~:text=Compendium%20of%20introduced%20marine%20pest%20molecular%20studies%20relevant%20to%20Australia,-Department%20of%20Agriculture&amp;text=This%20compendium%20provides%20a%20central,research%20and%20surveillance%20in%20Australia." w:history="1">
        <w:r w:rsidRPr="00846769">
          <w:rPr>
            <w:rStyle w:val="Hyperlink"/>
            <w:rFonts w:cstheme="minorHAnsi"/>
          </w:rPr>
          <w:t>compendium of introduced marine pest molecular studies relevant to Australia</w:t>
        </w:r>
      </w:hyperlink>
      <w:r w:rsidRPr="00846769">
        <w:rPr>
          <w:rFonts w:cstheme="minorHAnsi"/>
        </w:rPr>
        <w:t>.</w:t>
      </w:r>
    </w:p>
    <w:p w14:paraId="57914832" w14:textId="77777777" w:rsidR="00024764" w:rsidRPr="00846769" w:rsidRDefault="00024764" w:rsidP="00024764">
      <w:pPr>
        <w:pStyle w:val="Heading5"/>
        <w:spacing w:after="120"/>
        <w:rPr>
          <w:color w:val="262626" w:themeColor="text1" w:themeTint="D9"/>
          <w:sz w:val="24"/>
          <w:szCs w:val="24"/>
        </w:rPr>
      </w:pPr>
      <w:r w:rsidRPr="00846769">
        <w:rPr>
          <w:color w:val="262626" w:themeColor="text1" w:themeTint="D9"/>
          <w:sz w:val="24"/>
          <w:szCs w:val="24"/>
        </w:rPr>
        <w:t>Life history and ecology</w:t>
      </w:r>
    </w:p>
    <w:p w14:paraId="7B8B91AF" w14:textId="77777777" w:rsidR="00024764" w:rsidRPr="00846769" w:rsidRDefault="00024764" w:rsidP="00024764">
      <w:pPr>
        <w:pStyle w:val="Heading6"/>
        <w:spacing w:after="40"/>
        <w:rPr>
          <w:color w:val="262626" w:themeColor="text1" w:themeTint="D9"/>
        </w:rPr>
      </w:pPr>
      <w:r w:rsidRPr="00846769">
        <w:rPr>
          <w:color w:val="262626" w:themeColor="text1" w:themeTint="D9"/>
        </w:rPr>
        <w:t>Life habit</w:t>
      </w:r>
    </w:p>
    <w:p w14:paraId="1E01D936" w14:textId="5ECA3986" w:rsidR="00530E03" w:rsidRPr="004E6582" w:rsidRDefault="00FF5BB6" w:rsidP="00E55B67">
      <w:pPr>
        <w:rPr>
          <w:rFonts w:cstheme="minorHAnsi"/>
        </w:rPr>
      </w:pPr>
      <w:r w:rsidRPr="00846769">
        <w:rPr>
          <w:i/>
          <w:iCs/>
        </w:rPr>
        <w:t xml:space="preserve">Perna </w:t>
      </w:r>
      <w:r w:rsidRPr="00846769">
        <w:t>spp. have a broad temperature tolerance (</w:t>
      </w:r>
      <w:r w:rsidR="005F7F32">
        <w:rPr>
          <w:highlight w:val="yellow"/>
        </w:rPr>
        <w:fldChar w:fldCharType="begin"/>
      </w:r>
      <w:r w:rsidR="005F7F32">
        <w:instrText xml:space="preserve"> REF _Ref172583571 \h </w:instrText>
      </w:r>
      <w:r w:rsidR="005F7F32">
        <w:rPr>
          <w:highlight w:val="yellow"/>
        </w:rPr>
      </w:r>
      <w:r w:rsidR="005F7F32">
        <w:rPr>
          <w:highlight w:val="yellow"/>
        </w:rPr>
        <w:fldChar w:fldCharType="separate"/>
      </w:r>
      <w:r w:rsidR="005F7F32" w:rsidRPr="00846769">
        <w:t>Table 13</w:t>
      </w:r>
      <w:r w:rsidR="005F7F32">
        <w:rPr>
          <w:highlight w:val="yellow"/>
        </w:rPr>
        <w:fldChar w:fldCharType="end"/>
      </w:r>
      <w:r w:rsidRPr="00846769">
        <w:t xml:space="preserve">). </w:t>
      </w:r>
      <w:r w:rsidR="00530E03" w:rsidRPr="00846769">
        <w:rPr>
          <w:i/>
          <w:iCs/>
        </w:rPr>
        <w:t xml:space="preserve">Perna canaliculus </w:t>
      </w:r>
      <w:r w:rsidR="00530E03" w:rsidRPr="00846769">
        <w:t xml:space="preserve">has a temperature tolerance between 5 and </w:t>
      </w:r>
      <w:r w:rsidR="00530E03" w:rsidRPr="005F7F32">
        <w:t>33</w:t>
      </w:r>
      <w:r w:rsidR="00530E03" w:rsidRPr="005F7F32">
        <w:rPr>
          <w:rFonts w:cstheme="minorHAnsi"/>
        </w:rPr>
        <w:t xml:space="preserve">°C (Jeffs </w:t>
      </w:r>
      <w:r w:rsidR="005F7F32" w:rsidRPr="005F7F32">
        <w:rPr>
          <w:rFonts w:cstheme="minorHAnsi"/>
        </w:rPr>
        <w:t xml:space="preserve">et al. </w:t>
      </w:r>
      <w:r w:rsidR="00530E03" w:rsidRPr="005F7F32">
        <w:rPr>
          <w:rFonts w:cstheme="minorHAnsi"/>
        </w:rPr>
        <w:t xml:space="preserve">1999). </w:t>
      </w:r>
      <w:r w:rsidR="00530E03" w:rsidRPr="005F7F32">
        <w:t>It</w:t>
      </w:r>
      <w:r w:rsidR="00530E03" w:rsidRPr="00846769">
        <w:t xml:space="preserve"> is more likely to survive in cooler temperate waters</w:t>
      </w:r>
      <w:r w:rsidR="00530E03" w:rsidRPr="004E6582">
        <w:t xml:space="preserve">, as the normal temperature tolerance range of the species is between 10°C and 19°C (Ogilvie et al. 2004). </w:t>
      </w:r>
      <w:r w:rsidRPr="004E6582">
        <w:t xml:space="preserve">Long-term lower and upper thermal limits for </w:t>
      </w:r>
      <w:r w:rsidRPr="004E6582">
        <w:rPr>
          <w:i/>
          <w:iCs/>
        </w:rPr>
        <w:t xml:space="preserve">P. perna </w:t>
      </w:r>
      <w:r w:rsidR="00C9474E" w:rsidRPr="004E6582">
        <w:t>are</w:t>
      </w:r>
      <w:r w:rsidRPr="004E6582">
        <w:t xml:space="preserve"> 7.5</w:t>
      </w:r>
      <w:r w:rsidRPr="004E6582">
        <w:rPr>
          <w:rFonts w:cstheme="minorHAnsi"/>
        </w:rPr>
        <w:t>°C and 30°C, respectively, congruent with seasonal ambient water temperature reported in other populations worldwide (Hicks &amp; McMahon 200</w:t>
      </w:r>
      <w:r w:rsidR="005F7F32" w:rsidRPr="004E6582">
        <w:rPr>
          <w:rFonts w:cstheme="minorHAnsi"/>
        </w:rPr>
        <w:t>3</w:t>
      </w:r>
      <w:r w:rsidRPr="004E6582">
        <w:rPr>
          <w:rFonts w:cstheme="minorHAnsi"/>
        </w:rPr>
        <w:t xml:space="preserve">). Short-term survival in </w:t>
      </w:r>
      <w:r w:rsidRPr="004E6582">
        <w:rPr>
          <w:rFonts w:cstheme="minorHAnsi"/>
          <w:i/>
          <w:iCs/>
        </w:rPr>
        <w:t xml:space="preserve">P. perna </w:t>
      </w:r>
      <w:r w:rsidRPr="004E6582">
        <w:rPr>
          <w:rFonts w:cstheme="minorHAnsi"/>
        </w:rPr>
        <w:t>has been observed at 42°C (</w:t>
      </w:r>
      <w:proofErr w:type="spellStart"/>
      <w:r w:rsidRPr="004E6582">
        <w:rPr>
          <w:rFonts w:cstheme="minorHAnsi"/>
        </w:rPr>
        <w:t>Vakily</w:t>
      </w:r>
      <w:proofErr w:type="spellEnd"/>
      <w:r w:rsidRPr="004E6582">
        <w:rPr>
          <w:rFonts w:cstheme="minorHAnsi"/>
        </w:rPr>
        <w:t xml:space="preserve"> 1989). </w:t>
      </w:r>
      <w:r w:rsidRPr="004E6582">
        <w:rPr>
          <w:rFonts w:cstheme="minorHAnsi"/>
          <w:i/>
          <w:iCs/>
        </w:rPr>
        <w:t xml:space="preserve">Perna viridis </w:t>
      </w:r>
      <w:r w:rsidRPr="004E6582">
        <w:rPr>
          <w:rFonts w:cstheme="minorHAnsi"/>
        </w:rPr>
        <w:t>has a temperature tolerance between 12 and 35°C (McFarland et al. 2015).</w:t>
      </w:r>
    </w:p>
    <w:p w14:paraId="49BBAB3F" w14:textId="0F0DBB20" w:rsidR="00E55B67" w:rsidRPr="00846769" w:rsidRDefault="00E55B67" w:rsidP="00E55B67">
      <w:r w:rsidRPr="004E6582">
        <w:rPr>
          <w:i/>
          <w:iCs/>
        </w:rPr>
        <w:t xml:space="preserve">Perna </w:t>
      </w:r>
      <w:r w:rsidRPr="004E6582">
        <w:t xml:space="preserve">spp. are marine bivalves that can withstand some brackish salinities. The lower salinity range of </w:t>
      </w:r>
      <w:r w:rsidRPr="004E6582">
        <w:rPr>
          <w:i/>
          <w:iCs/>
        </w:rPr>
        <w:t>P</w:t>
      </w:r>
      <w:r w:rsidR="00B72940" w:rsidRPr="004E6582">
        <w:rPr>
          <w:i/>
          <w:iCs/>
        </w:rPr>
        <w:t>.</w:t>
      </w:r>
      <w:r w:rsidRPr="004E6582">
        <w:rPr>
          <w:i/>
          <w:iCs/>
        </w:rPr>
        <w:t xml:space="preserve"> perna </w:t>
      </w:r>
      <w:r w:rsidRPr="004E6582">
        <w:t xml:space="preserve">is 15 ppt whereas </w:t>
      </w:r>
      <w:r w:rsidRPr="004E6582">
        <w:rPr>
          <w:i/>
          <w:iCs/>
        </w:rPr>
        <w:t xml:space="preserve">P. canaliculus </w:t>
      </w:r>
      <w:r w:rsidRPr="004E6582">
        <w:t xml:space="preserve">cannot withstand salinities below 24 ppt for a long </w:t>
      </w:r>
      <w:r w:rsidRPr="004E6582">
        <w:lastRenderedPageBreak/>
        <w:t>period (</w:t>
      </w:r>
      <w:r w:rsidR="00032791" w:rsidRPr="004E6582">
        <w:fldChar w:fldCharType="begin"/>
      </w:r>
      <w:r w:rsidR="00032791" w:rsidRPr="004E6582">
        <w:instrText xml:space="preserve"> REF _Ref172583571 \h </w:instrText>
      </w:r>
      <w:r w:rsidR="004E6582">
        <w:instrText xml:space="preserve"> \* MERGEFORMAT </w:instrText>
      </w:r>
      <w:r w:rsidR="00032791" w:rsidRPr="004E6582">
        <w:fldChar w:fldCharType="separate"/>
      </w:r>
      <w:r w:rsidR="00032791" w:rsidRPr="004E6582">
        <w:t>Table 13</w:t>
      </w:r>
      <w:r w:rsidR="00032791" w:rsidRPr="004E6582">
        <w:fldChar w:fldCharType="end"/>
      </w:r>
      <w:r w:rsidRPr="004E6582">
        <w:t xml:space="preserve">). </w:t>
      </w:r>
      <w:r w:rsidRPr="004E6582">
        <w:rPr>
          <w:i/>
          <w:iCs/>
        </w:rPr>
        <w:t xml:space="preserve">Perna viridis </w:t>
      </w:r>
      <w:r w:rsidRPr="004E6582">
        <w:t xml:space="preserve">has been shown to tolerate 0 ppt salinities for up to 11 days, however, it is naturally found in salinities between 18 and 33 ppt. </w:t>
      </w:r>
      <w:r w:rsidRPr="004E6582">
        <w:rPr>
          <w:i/>
          <w:iCs/>
        </w:rPr>
        <w:t xml:space="preserve">Perna viridis </w:t>
      </w:r>
      <w:r w:rsidRPr="004E6582">
        <w:t>can also tolerate high salinity environments and is present in a hypersaline lagoon (58 ppt) in Venezuela (Seg</w:t>
      </w:r>
      <w:r w:rsidR="004E6582" w:rsidRPr="004E6582">
        <w:t>n</w:t>
      </w:r>
      <w:r w:rsidRPr="004E6582">
        <w:t>ini de Bra</w:t>
      </w:r>
      <w:r w:rsidR="00046E18" w:rsidRPr="004E6582">
        <w:t>v</w:t>
      </w:r>
      <w:r w:rsidRPr="004E6582">
        <w:t>o et al. 199</w:t>
      </w:r>
      <w:r w:rsidR="00046E18" w:rsidRPr="004E6582">
        <w:t>8</w:t>
      </w:r>
      <w:r w:rsidRPr="004E6582">
        <w:t xml:space="preserve">). </w:t>
      </w:r>
      <w:r w:rsidRPr="004E6582">
        <w:rPr>
          <w:i/>
          <w:iCs/>
        </w:rPr>
        <w:t xml:space="preserve">Perna </w:t>
      </w:r>
      <w:r w:rsidRPr="004E6582">
        <w:t xml:space="preserve">spp. can be found in the intertidal and subtidal. </w:t>
      </w:r>
      <w:r w:rsidRPr="004E6582">
        <w:rPr>
          <w:i/>
          <w:iCs/>
        </w:rPr>
        <w:t xml:space="preserve">Perna canaliculus </w:t>
      </w:r>
      <w:r w:rsidRPr="004E6582">
        <w:t>has been recorded up to 50 metres</w:t>
      </w:r>
      <w:r w:rsidRPr="00846769">
        <w:t xml:space="preserve"> </w:t>
      </w:r>
      <w:r w:rsidRPr="005F7F32">
        <w:t>deep (Jeffs et al. 1999),</w:t>
      </w:r>
      <w:r w:rsidRPr="00846769">
        <w:t xml:space="preserve"> whereas </w:t>
      </w:r>
      <w:r w:rsidRPr="00846769">
        <w:rPr>
          <w:i/>
          <w:iCs/>
        </w:rPr>
        <w:t xml:space="preserve">P. perna </w:t>
      </w:r>
      <w:r w:rsidRPr="00846769">
        <w:t xml:space="preserve">and </w:t>
      </w:r>
      <w:r w:rsidRPr="00846769">
        <w:rPr>
          <w:i/>
          <w:iCs/>
        </w:rPr>
        <w:t xml:space="preserve">P. viridis </w:t>
      </w:r>
      <w:r w:rsidRPr="00846769">
        <w:t xml:space="preserve">are limited to around 10 metres deep.  </w:t>
      </w:r>
    </w:p>
    <w:p w14:paraId="3FA56F6C" w14:textId="27AC71C4" w:rsidR="00E55B67" w:rsidRPr="00846769" w:rsidRDefault="00E55B67" w:rsidP="00E55B67">
      <w:r w:rsidRPr="00846769">
        <w:rPr>
          <w:i/>
          <w:iCs/>
        </w:rPr>
        <w:t xml:space="preserve">Perna </w:t>
      </w:r>
      <w:r w:rsidRPr="00846769">
        <w:t>spp. have strong byssal threads allowing them to attach to substrates and withstand high wave energy environments</w:t>
      </w:r>
      <w:r w:rsidR="00B72940" w:rsidRPr="00846769">
        <w:t xml:space="preserve">. Laboratory </w:t>
      </w:r>
      <w:r w:rsidR="00B72940" w:rsidRPr="00E50272">
        <w:t>exper</w:t>
      </w:r>
      <w:r w:rsidR="00B72940" w:rsidRPr="004E6582">
        <w:t>iments by Alfaro (2006) observed</w:t>
      </w:r>
      <w:r w:rsidR="00B72940" w:rsidRPr="00846769">
        <w:t xml:space="preserve"> that </w:t>
      </w:r>
      <w:r w:rsidRPr="00846769">
        <w:rPr>
          <w:i/>
          <w:iCs/>
        </w:rPr>
        <w:t xml:space="preserve">P. canaliculus </w:t>
      </w:r>
      <w:r w:rsidR="00B72940" w:rsidRPr="00846769">
        <w:t>produced more byssal threads and had fewer mussel detachments under high water flow conditions compared to lower flows</w:t>
      </w:r>
      <w:r w:rsidRPr="00846769">
        <w:t xml:space="preserve">. </w:t>
      </w:r>
      <w:r w:rsidRPr="00846769">
        <w:rPr>
          <w:i/>
          <w:iCs/>
        </w:rPr>
        <w:t xml:space="preserve">Perna </w:t>
      </w:r>
      <w:r w:rsidRPr="00846769">
        <w:t>spp. attach to hard substrate, such as rocky reef, vessels</w:t>
      </w:r>
      <w:r w:rsidR="00B72940" w:rsidRPr="00846769">
        <w:t>,</w:t>
      </w:r>
      <w:r w:rsidRPr="00846769">
        <w:t xml:space="preserve"> or other marine infrastructure. These mussels are rarely found on soft substrate</w:t>
      </w:r>
      <w:r w:rsidR="00B72940" w:rsidRPr="00846769">
        <w:t>,</w:t>
      </w:r>
      <w:r w:rsidRPr="00846769">
        <w:t xml:space="preserve"> and they are all suspension feeders.</w:t>
      </w:r>
    </w:p>
    <w:p w14:paraId="2789BD2B" w14:textId="440C37A5" w:rsidR="00611CCC" w:rsidRPr="00846769" w:rsidRDefault="00E55B67" w:rsidP="0090794A">
      <w:r w:rsidRPr="00846769">
        <w:rPr>
          <w:i/>
          <w:iCs/>
        </w:rPr>
        <w:t xml:space="preserve">Perna </w:t>
      </w:r>
      <w:r w:rsidRPr="00846769">
        <w:t xml:space="preserve">spp. can all settle in high densities. For instance, </w:t>
      </w:r>
      <w:r w:rsidRPr="00846769">
        <w:rPr>
          <w:i/>
          <w:iCs/>
        </w:rPr>
        <w:t xml:space="preserve">P. viridis </w:t>
      </w:r>
      <w:r w:rsidRPr="00846769">
        <w:t>can form populations up to 35,000 individuals per m</w:t>
      </w:r>
      <w:r w:rsidRPr="00846769">
        <w:rPr>
          <w:vertAlign w:val="superscript"/>
        </w:rPr>
        <w:t>2</w:t>
      </w:r>
      <w:r w:rsidRPr="00846769">
        <w:t xml:space="preserve">. Predators of </w:t>
      </w:r>
      <w:r w:rsidRPr="00846769">
        <w:rPr>
          <w:i/>
          <w:iCs/>
        </w:rPr>
        <w:t xml:space="preserve">Perna </w:t>
      </w:r>
      <w:r w:rsidRPr="00846769">
        <w:t xml:space="preserve">spp. include fish, </w:t>
      </w:r>
      <w:r w:rsidR="00B72940" w:rsidRPr="00846769">
        <w:t>seastars</w:t>
      </w:r>
      <w:r w:rsidRPr="00846769">
        <w:t xml:space="preserve">, crabs, and octopuses. All </w:t>
      </w:r>
      <w:r w:rsidRPr="00846769">
        <w:rPr>
          <w:i/>
          <w:iCs/>
        </w:rPr>
        <w:t xml:space="preserve">Perna </w:t>
      </w:r>
      <w:r w:rsidRPr="00846769">
        <w:t>spp. are an important human food source.</w:t>
      </w:r>
    </w:p>
    <w:p w14:paraId="52399231" w14:textId="22D57367" w:rsidR="0090794A" w:rsidRPr="00846769" w:rsidRDefault="0090794A" w:rsidP="0090794A">
      <w:pPr>
        <w:pStyle w:val="Caption"/>
      </w:pPr>
      <w:bookmarkStart w:id="666" w:name="_Ref172583571"/>
      <w:bookmarkStart w:id="667" w:name="_Toc191999508"/>
      <w:r w:rsidRPr="00846769">
        <w:t xml:space="preserve">Table </w:t>
      </w:r>
      <w:r w:rsidRPr="00846769">
        <w:fldChar w:fldCharType="begin"/>
      </w:r>
      <w:r w:rsidRPr="00846769">
        <w:instrText xml:space="preserve"> SEQ Table \* ARABIC </w:instrText>
      </w:r>
      <w:r w:rsidRPr="00846769">
        <w:fldChar w:fldCharType="separate"/>
      </w:r>
      <w:r w:rsidR="005E4F41">
        <w:rPr>
          <w:noProof/>
        </w:rPr>
        <w:t>13</w:t>
      </w:r>
      <w:r w:rsidRPr="00846769">
        <w:fldChar w:fldCharType="end"/>
      </w:r>
      <w:bookmarkEnd w:id="666"/>
      <w:r w:rsidRPr="00846769">
        <w:t xml:space="preserve"> </w:t>
      </w:r>
      <w:r w:rsidRPr="00846769">
        <w:rPr>
          <w:lang w:eastAsia="ja-JP"/>
        </w:rPr>
        <w:t xml:space="preserve">Temperature and salinity ranges of adult </w:t>
      </w:r>
      <w:r w:rsidRPr="00846769">
        <w:rPr>
          <w:i/>
          <w:iCs/>
          <w:lang w:eastAsia="ja-JP"/>
        </w:rPr>
        <w:t>P. canaliculus</w:t>
      </w:r>
      <w:r w:rsidRPr="00846769">
        <w:rPr>
          <w:lang w:eastAsia="ja-JP"/>
        </w:rPr>
        <w:t xml:space="preserve">, </w:t>
      </w:r>
      <w:r w:rsidRPr="00846769">
        <w:rPr>
          <w:i/>
          <w:iCs/>
          <w:lang w:eastAsia="ja-JP"/>
        </w:rPr>
        <w:t>P. perna,</w:t>
      </w:r>
      <w:r w:rsidRPr="00846769">
        <w:rPr>
          <w:lang w:eastAsia="ja-JP"/>
        </w:rPr>
        <w:t xml:space="preserve"> and </w:t>
      </w:r>
      <w:r w:rsidRPr="00846769">
        <w:rPr>
          <w:i/>
          <w:iCs/>
          <w:lang w:eastAsia="ja-JP"/>
        </w:rPr>
        <w:t>P. viridis</w:t>
      </w:r>
      <w:bookmarkEnd w:id="66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09"/>
        <w:gridCol w:w="2533"/>
        <w:gridCol w:w="2492"/>
        <w:gridCol w:w="2492"/>
      </w:tblGrid>
      <w:tr w:rsidR="00E55B67" w:rsidRPr="00846769" w14:paraId="0DC995D3" w14:textId="77777777" w:rsidTr="00A04E26">
        <w:trPr>
          <w:cantSplit/>
          <w:tblHeader/>
        </w:trPr>
        <w:tc>
          <w:tcPr>
            <w:tcW w:w="1509" w:type="dxa"/>
            <w:shd w:val="clear" w:color="auto" w:fill="FFFFFF" w:themeFill="background1"/>
          </w:tcPr>
          <w:p w14:paraId="25F76BA5" w14:textId="6B9CBD70" w:rsidR="00E55B67" w:rsidRPr="00846769" w:rsidRDefault="00173D35" w:rsidP="00A67BBE">
            <w:pPr>
              <w:pStyle w:val="TableText"/>
              <w:rPr>
                <w:rFonts w:cstheme="minorHAnsi"/>
                <w:b/>
                <w:bCs/>
              </w:rPr>
            </w:pPr>
            <w:bookmarkStart w:id="668" w:name="Table_13"/>
            <w:bookmarkEnd w:id="668"/>
            <w:r w:rsidRPr="00846769">
              <w:rPr>
                <w:rFonts w:cstheme="minorHAnsi"/>
                <w:b/>
                <w:bCs/>
              </w:rPr>
              <w:t>Variable</w:t>
            </w:r>
          </w:p>
        </w:tc>
        <w:tc>
          <w:tcPr>
            <w:tcW w:w="2533" w:type="dxa"/>
            <w:shd w:val="clear" w:color="auto" w:fill="FFFFFF" w:themeFill="background1"/>
          </w:tcPr>
          <w:p w14:paraId="1FE96598" w14:textId="77777777" w:rsidR="00E55B67" w:rsidRPr="00846769" w:rsidRDefault="00E55B67" w:rsidP="00A67BBE">
            <w:pPr>
              <w:pStyle w:val="TableText"/>
              <w:rPr>
                <w:rFonts w:cstheme="minorHAnsi"/>
                <w:b/>
                <w:bCs/>
                <w:i/>
                <w:iCs/>
              </w:rPr>
            </w:pPr>
            <w:r w:rsidRPr="00846769">
              <w:rPr>
                <w:rFonts w:cstheme="minorHAnsi"/>
                <w:b/>
                <w:bCs/>
                <w:i/>
                <w:iCs/>
              </w:rPr>
              <w:t>Perna canaliculus</w:t>
            </w:r>
          </w:p>
        </w:tc>
        <w:tc>
          <w:tcPr>
            <w:tcW w:w="2492" w:type="dxa"/>
            <w:shd w:val="clear" w:color="auto" w:fill="FFFFFF" w:themeFill="background1"/>
          </w:tcPr>
          <w:p w14:paraId="57EB4B17" w14:textId="77777777" w:rsidR="00E55B67" w:rsidRPr="00846769" w:rsidRDefault="00E55B67" w:rsidP="00A67BBE">
            <w:pPr>
              <w:pStyle w:val="TableText"/>
              <w:rPr>
                <w:rFonts w:cstheme="minorHAnsi"/>
                <w:b/>
                <w:bCs/>
                <w:i/>
                <w:iCs/>
              </w:rPr>
            </w:pPr>
            <w:r w:rsidRPr="00846769">
              <w:rPr>
                <w:rFonts w:cstheme="minorHAnsi"/>
                <w:b/>
                <w:bCs/>
                <w:i/>
                <w:iCs/>
              </w:rPr>
              <w:t xml:space="preserve">Perna </w:t>
            </w:r>
            <w:proofErr w:type="spellStart"/>
            <w:r w:rsidRPr="00846769">
              <w:rPr>
                <w:rFonts w:cstheme="minorHAnsi"/>
                <w:b/>
                <w:bCs/>
                <w:i/>
                <w:iCs/>
              </w:rPr>
              <w:t>perna</w:t>
            </w:r>
            <w:proofErr w:type="spellEnd"/>
          </w:p>
        </w:tc>
        <w:tc>
          <w:tcPr>
            <w:tcW w:w="2492" w:type="dxa"/>
            <w:shd w:val="clear" w:color="auto" w:fill="FFFFFF" w:themeFill="background1"/>
          </w:tcPr>
          <w:p w14:paraId="78AC8725" w14:textId="77777777" w:rsidR="00E55B67" w:rsidRPr="00846769" w:rsidRDefault="00E55B67" w:rsidP="00A67BBE">
            <w:pPr>
              <w:pStyle w:val="TableText"/>
              <w:rPr>
                <w:rFonts w:cstheme="minorHAnsi"/>
                <w:b/>
                <w:bCs/>
                <w:i/>
                <w:iCs/>
              </w:rPr>
            </w:pPr>
            <w:r w:rsidRPr="00846769">
              <w:rPr>
                <w:rFonts w:cstheme="minorHAnsi"/>
                <w:b/>
                <w:bCs/>
                <w:i/>
                <w:iCs/>
              </w:rPr>
              <w:t>Perna viridis</w:t>
            </w:r>
          </w:p>
        </w:tc>
      </w:tr>
      <w:tr w:rsidR="00E55B67" w:rsidRPr="00846769" w14:paraId="585EB7C9" w14:textId="77777777" w:rsidTr="00A04E26">
        <w:trPr>
          <w:cantSplit/>
          <w:tblHeader/>
        </w:trPr>
        <w:tc>
          <w:tcPr>
            <w:tcW w:w="1509" w:type="dxa"/>
            <w:shd w:val="clear" w:color="auto" w:fill="FFFFFF" w:themeFill="background1"/>
          </w:tcPr>
          <w:p w14:paraId="09856B0A" w14:textId="77777777" w:rsidR="00E55B67" w:rsidRPr="00846769" w:rsidRDefault="00E55B67" w:rsidP="00A67BBE">
            <w:pPr>
              <w:pStyle w:val="TableText"/>
              <w:rPr>
                <w:rFonts w:cstheme="minorHAnsi"/>
              </w:rPr>
            </w:pPr>
            <w:r w:rsidRPr="00846769">
              <w:rPr>
                <w:rFonts w:cstheme="minorHAnsi"/>
              </w:rPr>
              <w:t>Water temperature minimum</w:t>
            </w:r>
          </w:p>
        </w:tc>
        <w:tc>
          <w:tcPr>
            <w:tcW w:w="2533" w:type="dxa"/>
            <w:shd w:val="clear" w:color="auto" w:fill="FFFFFF" w:themeFill="background1"/>
          </w:tcPr>
          <w:p w14:paraId="5E6818A0" w14:textId="77777777" w:rsidR="00E55B67" w:rsidRPr="00846769" w:rsidRDefault="00E55B67" w:rsidP="00A67BBE">
            <w:pPr>
              <w:pStyle w:val="TableText"/>
              <w:rPr>
                <w:rFonts w:cstheme="minorHAnsi"/>
              </w:rPr>
            </w:pPr>
            <w:r w:rsidRPr="00846769">
              <w:rPr>
                <w:rFonts w:cstheme="minorHAnsi"/>
              </w:rPr>
              <w:t>5°C</w:t>
            </w:r>
          </w:p>
        </w:tc>
        <w:tc>
          <w:tcPr>
            <w:tcW w:w="2492" w:type="dxa"/>
            <w:shd w:val="clear" w:color="auto" w:fill="FFFFFF" w:themeFill="background1"/>
          </w:tcPr>
          <w:p w14:paraId="5A85A297" w14:textId="77777777" w:rsidR="00E55B67" w:rsidRPr="00846769" w:rsidRDefault="00E55B67" w:rsidP="00A67BBE">
            <w:pPr>
              <w:pStyle w:val="TableText"/>
              <w:rPr>
                <w:rFonts w:cstheme="minorHAnsi"/>
              </w:rPr>
            </w:pPr>
            <w:r w:rsidRPr="00846769">
              <w:rPr>
                <w:rFonts w:cstheme="minorHAnsi"/>
              </w:rPr>
              <w:t>7.5°C</w:t>
            </w:r>
          </w:p>
        </w:tc>
        <w:tc>
          <w:tcPr>
            <w:tcW w:w="2492" w:type="dxa"/>
            <w:shd w:val="clear" w:color="auto" w:fill="FFFFFF" w:themeFill="background1"/>
          </w:tcPr>
          <w:p w14:paraId="53BB6D58" w14:textId="77777777" w:rsidR="00E55B67" w:rsidRPr="00846769" w:rsidRDefault="00E55B67" w:rsidP="00A67BBE">
            <w:pPr>
              <w:pStyle w:val="TableText"/>
              <w:rPr>
                <w:rFonts w:cstheme="minorHAnsi"/>
              </w:rPr>
            </w:pPr>
            <w:r w:rsidRPr="00846769">
              <w:rPr>
                <w:rFonts w:cstheme="minorHAnsi"/>
              </w:rPr>
              <w:t>12°C</w:t>
            </w:r>
          </w:p>
        </w:tc>
      </w:tr>
      <w:tr w:rsidR="00E55B67" w:rsidRPr="00846769" w14:paraId="1413E086" w14:textId="77777777" w:rsidTr="00A04E26">
        <w:trPr>
          <w:cantSplit/>
          <w:tblHeader/>
        </w:trPr>
        <w:tc>
          <w:tcPr>
            <w:tcW w:w="1509" w:type="dxa"/>
            <w:shd w:val="clear" w:color="auto" w:fill="FFFFFF" w:themeFill="background1"/>
          </w:tcPr>
          <w:p w14:paraId="44BD8CA9" w14:textId="77777777" w:rsidR="00E55B67" w:rsidRPr="00846769" w:rsidRDefault="00E55B67" w:rsidP="00A67BBE">
            <w:pPr>
              <w:pStyle w:val="TableText"/>
              <w:rPr>
                <w:rFonts w:cstheme="minorHAnsi"/>
              </w:rPr>
            </w:pPr>
            <w:r w:rsidRPr="00846769">
              <w:rPr>
                <w:rFonts w:cstheme="minorHAnsi"/>
              </w:rPr>
              <w:t>Water temperature maximum</w:t>
            </w:r>
          </w:p>
        </w:tc>
        <w:tc>
          <w:tcPr>
            <w:tcW w:w="2533" w:type="dxa"/>
            <w:shd w:val="clear" w:color="auto" w:fill="FFFFFF" w:themeFill="background1"/>
          </w:tcPr>
          <w:p w14:paraId="36CA05CA" w14:textId="77777777" w:rsidR="00E55B67" w:rsidRPr="00846769" w:rsidRDefault="00E55B67" w:rsidP="00A67BBE">
            <w:pPr>
              <w:pStyle w:val="TableText"/>
              <w:rPr>
                <w:rFonts w:cstheme="minorHAnsi"/>
              </w:rPr>
            </w:pPr>
            <w:r w:rsidRPr="00846769">
              <w:rPr>
                <w:rFonts w:cstheme="minorHAnsi"/>
              </w:rPr>
              <w:t>33°C</w:t>
            </w:r>
          </w:p>
        </w:tc>
        <w:tc>
          <w:tcPr>
            <w:tcW w:w="2492" w:type="dxa"/>
            <w:shd w:val="clear" w:color="auto" w:fill="FFFFFF" w:themeFill="background1"/>
          </w:tcPr>
          <w:p w14:paraId="7F4CDA6A" w14:textId="77777777" w:rsidR="00E55B67" w:rsidRPr="00846769" w:rsidRDefault="00E55B67" w:rsidP="00A67BBE">
            <w:pPr>
              <w:pStyle w:val="TableText"/>
              <w:rPr>
                <w:rFonts w:cstheme="minorHAnsi"/>
              </w:rPr>
            </w:pPr>
            <w:r w:rsidRPr="00846769">
              <w:rPr>
                <w:rFonts w:cstheme="minorHAnsi"/>
              </w:rPr>
              <w:t>42°C</w:t>
            </w:r>
          </w:p>
        </w:tc>
        <w:tc>
          <w:tcPr>
            <w:tcW w:w="2492" w:type="dxa"/>
            <w:shd w:val="clear" w:color="auto" w:fill="FFFFFF" w:themeFill="background1"/>
          </w:tcPr>
          <w:p w14:paraId="42641203" w14:textId="77777777" w:rsidR="00E55B67" w:rsidRPr="00846769" w:rsidRDefault="00E55B67" w:rsidP="00A67BBE">
            <w:pPr>
              <w:pStyle w:val="TableText"/>
              <w:rPr>
                <w:rFonts w:cstheme="minorHAnsi"/>
              </w:rPr>
            </w:pPr>
            <w:r w:rsidRPr="00846769">
              <w:rPr>
                <w:rFonts w:cstheme="minorHAnsi"/>
              </w:rPr>
              <w:t>35°C</w:t>
            </w:r>
          </w:p>
        </w:tc>
      </w:tr>
      <w:tr w:rsidR="00E55B67" w:rsidRPr="00846769" w14:paraId="3C762B5E" w14:textId="77777777" w:rsidTr="00A04E26">
        <w:trPr>
          <w:cantSplit/>
          <w:tblHeader/>
        </w:trPr>
        <w:tc>
          <w:tcPr>
            <w:tcW w:w="1509" w:type="dxa"/>
            <w:shd w:val="clear" w:color="auto" w:fill="FFFFFF" w:themeFill="background1"/>
          </w:tcPr>
          <w:p w14:paraId="59992994" w14:textId="77777777" w:rsidR="00E55B67" w:rsidRPr="00846769" w:rsidRDefault="00E55B67" w:rsidP="00C0239D">
            <w:pPr>
              <w:pStyle w:val="TableText"/>
              <w:rPr>
                <w:rFonts w:cstheme="minorHAnsi"/>
              </w:rPr>
            </w:pPr>
            <w:r w:rsidRPr="00846769">
              <w:rPr>
                <w:rFonts w:cstheme="minorHAnsi"/>
              </w:rPr>
              <w:t>Salinity minimum</w:t>
            </w:r>
          </w:p>
        </w:tc>
        <w:tc>
          <w:tcPr>
            <w:tcW w:w="2533" w:type="dxa"/>
            <w:shd w:val="clear" w:color="auto" w:fill="FFFFFF" w:themeFill="background1"/>
          </w:tcPr>
          <w:p w14:paraId="63DCF5BE" w14:textId="77777777" w:rsidR="00E55B67" w:rsidRPr="00846769" w:rsidRDefault="00E55B67" w:rsidP="00A67BBE">
            <w:pPr>
              <w:pStyle w:val="TableText"/>
              <w:rPr>
                <w:rFonts w:cstheme="minorHAnsi"/>
              </w:rPr>
            </w:pPr>
            <w:r w:rsidRPr="00846769">
              <w:rPr>
                <w:rFonts w:cstheme="minorHAnsi"/>
              </w:rPr>
              <w:t>25 ppt</w:t>
            </w:r>
          </w:p>
        </w:tc>
        <w:tc>
          <w:tcPr>
            <w:tcW w:w="2492" w:type="dxa"/>
            <w:shd w:val="clear" w:color="auto" w:fill="FFFFFF" w:themeFill="background1"/>
          </w:tcPr>
          <w:p w14:paraId="2ECC7834" w14:textId="77777777" w:rsidR="00E55B67" w:rsidRPr="00846769" w:rsidRDefault="00E55B67" w:rsidP="00A67BBE">
            <w:pPr>
              <w:pStyle w:val="TableText"/>
              <w:rPr>
                <w:rFonts w:cstheme="minorHAnsi"/>
              </w:rPr>
            </w:pPr>
            <w:r w:rsidRPr="00846769">
              <w:rPr>
                <w:rFonts w:cstheme="minorHAnsi"/>
              </w:rPr>
              <w:t>15 ppt</w:t>
            </w:r>
          </w:p>
        </w:tc>
        <w:tc>
          <w:tcPr>
            <w:tcW w:w="2492" w:type="dxa"/>
            <w:shd w:val="clear" w:color="auto" w:fill="FFFFFF" w:themeFill="background1"/>
          </w:tcPr>
          <w:p w14:paraId="752C383B" w14:textId="56D1E5C8" w:rsidR="00E55B67" w:rsidRPr="00846769" w:rsidRDefault="003F65AA" w:rsidP="00A67BBE">
            <w:pPr>
              <w:pStyle w:val="TableText"/>
              <w:rPr>
                <w:rFonts w:cstheme="minorBidi"/>
              </w:rPr>
            </w:pPr>
            <w:r w:rsidRPr="00846769">
              <w:rPr>
                <w:rFonts w:cstheme="minorBidi"/>
              </w:rPr>
              <w:t>0</w:t>
            </w:r>
            <w:r w:rsidR="00E55B67" w:rsidRPr="00846769">
              <w:rPr>
                <w:rFonts w:cstheme="minorBidi"/>
              </w:rPr>
              <w:t xml:space="preserve"> ppt</w:t>
            </w:r>
          </w:p>
        </w:tc>
      </w:tr>
      <w:tr w:rsidR="00E55B67" w:rsidRPr="00846769" w14:paraId="54088BFA" w14:textId="77777777" w:rsidTr="00A04E26">
        <w:trPr>
          <w:cantSplit/>
          <w:tblHeader/>
        </w:trPr>
        <w:tc>
          <w:tcPr>
            <w:tcW w:w="1509" w:type="dxa"/>
            <w:shd w:val="clear" w:color="auto" w:fill="FFFFFF" w:themeFill="background1"/>
          </w:tcPr>
          <w:p w14:paraId="1C6A7969" w14:textId="77777777" w:rsidR="00E55B67" w:rsidRPr="00846769" w:rsidRDefault="00E55B67" w:rsidP="00A67BBE">
            <w:pPr>
              <w:pStyle w:val="TableText"/>
              <w:rPr>
                <w:rFonts w:cstheme="minorHAnsi"/>
              </w:rPr>
            </w:pPr>
            <w:r w:rsidRPr="00846769">
              <w:rPr>
                <w:rFonts w:cstheme="minorHAnsi"/>
              </w:rPr>
              <w:t>Salinity maximum</w:t>
            </w:r>
          </w:p>
        </w:tc>
        <w:tc>
          <w:tcPr>
            <w:tcW w:w="2533" w:type="dxa"/>
            <w:shd w:val="clear" w:color="auto" w:fill="FFFFFF" w:themeFill="background1"/>
          </w:tcPr>
          <w:p w14:paraId="3BC076D4" w14:textId="77777777" w:rsidR="00E55B67" w:rsidRPr="00846769" w:rsidRDefault="00E55B67" w:rsidP="00A67BBE">
            <w:pPr>
              <w:pStyle w:val="TableText"/>
              <w:rPr>
                <w:rFonts w:cstheme="minorHAnsi"/>
              </w:rPr>
            </w:pPr>
            <w:r w:rsidRPr="00846769">
              <w:rPr>
                <w:rFonts w:cstheme="minorHAnsi"/>
              </w:rPr>
              <w:t>35 ppt</w:t>
            </w:r>
          </w:p>
        </w:tc>
        <w:tc>
          <w:tcPr>
            <w:tcW w:w="2492" w:type="dxa"/>
            <w:shd w:val="clear" w:color="auto" w:fill="FFFFFF" w:themeFill="background1"/>
          </w:tcPr>
          <w:p w14:paraId="619B7A01" w14:textId="77777777" w:rsidR="00E55B67" w:rsidRPr="00846769" w:rsidRDefault="00E55B67" w:rsidP="00A67BBE">
            <w:pPr>
              <w:pStyle w:val="TableText"/>
              <w:rPr>
                <w:rFonts w:cstheme="minorHAnsi"/>
              </w:rPr>
            </w:pPr>
            <w:r w:rsidRPr="00846769">
              <w:rPr>
                <w:rFonts w:cstheme="minorHAnsi"/>
              </w:rPr>
              <w:t>55 ppt</w:t>
            </w:r>
          </w:p>
        </w:tc>
        <w:tc>
          <w:tcPr>
            <w:tcW w:w="2492" w:type="dxa"/>
            <w:shd w:val="clear" w:color="auto" w:fill="FFFFFF" w:themeFill="background1"/>
          </w:tcPr>
          <w:p w14:paraId="24A47426" w14:textId="77777777" w:rsidR="00E55B67" w:rsidRPr="00846769" w:rsidRDefault="00E55B67" w:rsidP="00A67BBE">
            <w:pPr>
              <w:pStyle w:val="TableText"/>
              <w:rPr>
                <w:rFonts w:cstheme="minorHAnsi"/>
              </w:rPr>
            </w:pPr>
            <w:r w:rsidRPr="00846769">
              <w:rPr>
                <w:rFonts w:cstheme="minorHAnsi"/>
              </w:rPr>
              <w:t>&gt;58 ppt</w:t>
            </w:r>
          </w:p>
        </w:tc>
      </w:tr>
    </w:tbl>
    <w:p w14:paraId="02856902" w14:textId="77777777" w:rsidR="00024764" w:rsidRPr="00846769" w:rsidRDefault="00024764" w:rsidP="00173D35">
      <w:pPr>
        <w:pStyle w:val="Heading6"/>
        <w:spacing w:before="120" w:after="40"/>
        <w:rPr>
          <w:color w:val="262626" w:themeColor="text1" w:themeTint="D9"/>
        </w:rPr>
      </w:pPr>
      <w:r w:rsidRPr="00846769">
        <w:rPr>
          <w:color w:val="262626" w:themeColor="text1" w:themeTint="D9"/>
        </w:rPr>
        <w:t>Reproduction and growth</w:t>
      </w:r>
    </w:p>
    <w:p w14:paraId="2CFF1CCF" w14:textId="693C22AC" w:rsidR="0092138D" w:rsidRPr="00846769" w:rsidRDefault="00E55B67" w:rsidP="00E55B67">
      <w:r w:rsidRPr="00846769">
        <w:rPr>
          <w:i/>
          <w:iCs/>
        </w:rPr>
        <w:t xml:space="preserve">Perna </w:t>
      </w:r>
      <w:r w:rsidRPr="00846769">
        <w:t xml:space="preserve">spp. have separate sexes and are broadcast spawners. Note, that </w:t>
      </w:r>
      <w:r w:rsidRPr="00846769">
        <w:rPr>
          <w:i/>
          <w:iCs/>
        </w:rPr>
        <w:t xml:space="preserve">P. canaliculus </w:t>
      </w:r>
      <w:r w:rsidRPr="00846769">
        <w:t>has been observed changing sex, but this is very uncommon in the wild (&gt;0.1%). Spawning can occur year</w:t>
      </w:r>
      <w:r w:rsidR="003F65AA" w:rsidRPr="00846769">
        <w:t>-</w:t>
      </w:r>
      <w:r w:rsidRPr="00846769">
        <w:t xml:space="preserve">round or at certain times of the year. </w:t>
      </w:r>
      <w:r w:rsidRPr="00846769">
        <w:rPr>
          <w:i/>
          <w:iCs/>
        </w:rPr>
        <w:t xml:space="preserve">Perna canaliculus </w:t>
      </w:r>
      <w:r w:rsidRPr="00846769">
        <w:t xml:space="preserve">in its native range spawn from June to December when the water temperature is between 15 and 20°C. </w:t>
      </w:r>
      <w:r w:rsidR="007D11A1">
        <w:rPr>
          <w:i/>
          <w:iCs/>
        </w:rPr>
        <w:t xml:space="preserve">Perna </w:t>
      </w:r>
      <w:proofErr w:type="spellStart"/>
      <w:r w:rsidRPr="00846769">
        <w:rPr>
          <w:i/>
          <w:iCs/>
        </w:rPr>
        <w:t>perna</w:t>
      </w:r>
      <w:proofErr w:type="spellEnd"/>
      <w:r w:rsidRPr="00846769">
        <w:rPr>
          <w:i/>
          <w:iCs/>
        </w:rPr>
        <w:t xml:space="preserve"> </w:t>
      </w:r>
      <w:r w:rsidRPr="00846769">
        <w:t xml:space="preserve">and </w:t>
      </w:r>
      <w:r w:rsidRPr="00846769">
        <w:rPr>
          <w:i/>
          <w:iCs/>
        </w:rPr>
        <w:t xml:space="preserve">P. viridis </w:t>
      </w:r>
      <w:r w:rsidRPr="00846769">
        <w:t>spawn when the water is warmer (</w:t>
      </w:r>
      <w:r w:rsidR="00032791">
        <w:fldChar w:fldCharType="begin"/>
      </w:r>
      <w:r w:rsidR="00032791">
        <w:instrText xml:space="preserve"> REF _Ref189517984 \h </w:instrText>
      </w:r>
      <w:r w:rsidR="00032791">
        <w:fldChar w:fldCharType="separate"/>
      </w:r>
      <w:r w:rsidR="00032791" w:rsidRPr="00846769">
        <w:t>Table 14</w:t>
      </w:r>
      <w:r w:rsidR="00032791">
        <w:fldChar w:fldCharType="end"/>
      </w:r>
      <w:r w:rsidR="00611CCC" w:rsidRPr="00846769">
        <w:rPr>
          <w:highlight w:val="yellow"/>
        </w:rPr>
        <w:fldChar w:fldCharType="begin"/>
      </w:r>
      <w:r w:rsidR="00611CCC" w:rsidRPr="00846769">
        <w:instrText xml:space="preserve"> REF _Ref171945231 \h </w:instrText>
      </w:r>
      <w:r w:rsidR="00611CCC" w:rsidRPr="00846769">
        <w:rPr>
          <w:highlight w:val="yellow"/>
        </w:rPr>
      </w:r>
      <w:r w:rsidR="00611CCC" w:rsidRPr="00846769">
        <w:rPr>
          <w:highlight w:val="yellow"/>
        </w:rPr>
        <w:fldChar w:fldCharType="separate"/>
      </w:r>
      <w:r w:rsidR="00611CCC" w:rsidRPr="00846769">
        <w:rPr>
          <w:highlight w:val="yellow"/>
        </w:rPr>
        <w:fldChar w:fldCharType="end"/>
      </w:r>
      <w:r w:rsidRPr="00846769">
        <w:t>).</w:t>
      </w:r>
      <w:r w:rsidR="003F65AA" w:rsidRPr="00846769">
        <w:t xml:space="preserve"> </w:t>
      </w:r>
      <w:r w:rsidR="0092138D" w:rsidRPr="00846769">
        <w:t xml:space="preserve">All species can grow very quickly, with </w:t>
      </w:r>
      <w:r w:rsidR="0092138D" w:rsidRPr="00846769">
        <w:rPr>
          <w:i/>
          <w:iCs/>
        </w:rPr>
        <w:t xml:space="preserve">P. viridis </w:t>
      </w:r>
      <w:r w:rsidR="0092138D" w:rsidRPr="00846769">
        <w:t>capable of growing up to 120 mm per year</w:t>
      </w:r>
      <w:r w:rsidR="00611CCC" w:rsidRPr="00846769">
        <w:t>.</w:t>
      </w:r>
    </w:p>
    <w:p w14:paraId="13B6A4C5" w14:textId="1F8E0166" w:rsidR="00611CCC" w:rsidRPr="00846769" w:rsidRDefault="00E55B67" w:rsidP="0090794A">
      <w:r w:rsidRPr="00846769">
        <w:t>The typical life</w:t>
      </w:r>
      <w:r w:rsidR="007E11FA" w:rsidRPr="00846769">
        <w:t xml:space="preserve"> </w:t>
      </w:r>
      <w:r w:rsidRPr="00846769">
        <w:t xml:space="preserve">cycle for a </w:t>
      </w:r>
      <w:r w:rsidRPr="00846769">
        <w:rPr>
          <w:i/>
          <w:iCs/>
        </w:rPr>
        <w:t xml:space="preserve">Perna </w:t>
      </w:r>
      <w:r w:rsidRPr="00846769">
        <w:t xml:space="preserve">sp. includes external fertilisation of the egg which develops into veliger larvae and remains in the water column for around two weeks before settling as juveniles. However, </w:t>
      </w:r>
      <w:r w:rsidRPr="00846769">
        <w:rPr>
          <w:i/>
          <w:iCs/>
        </w:rPr>
        <w:t xml:space="preserve">P. canaliculus </w:t>
      </w:r>
      <w:r w:rsidRPr="00846769">
        <w:t xml:space="preserve">differs by having two settlement periods. Primary settlement involves larvae attaching to fixed or free floating macroalgae </w:t>
      </w:r>
      <w:r w:rsidR="003F65AA" w:rsidRPr="00846769">
        <w:t xml:space="preserve">or hydroid </w:t>
      </w:r>
      <w:r w:rsidRPr="00846769">
        <w:t>before undergoing metamorphos</w:t>
      </w:r>
      <w:r w:rsidRPr="00046E18">
        <w:t>is</w:t>
      </w:r>
      <w:r w:rsidR="003F65AA" w:rsidRPr="00046E18">
        <w:t xml:space="preserve"> (Alfaro et al. 2004)</w:t>
      </w:r>
      <w:r w:rsidRPr="00046E18">
        <w:t>. This is thought to provide a transport mechanism</w:t>
      </w:r>
      <w:r w:rsidRPr="00846769">
        <w:t xml:space="preserve"> for juveniles to more suitable habitat such as rocky shores. The secondary settlement involves juvenile mussels detaching from the macroalgae and settling or a hard surface where they remain for the rest of their life.  </w:t>
      </w:r>
    </w:p>
    <w:p w14:paraId="0AE1C23A" w14:textId="75545AEE" w:rsidR="0090794A" w:rsidRPr="00846769" w:rsidRDefault="0090794A" w:rsidP="0090794A">
      <w:pPr>
        <w:pStyle w:val="Caption"/>
      </w:pPr>
      <w:bookmarkStart w:id="669" w:name="_Ref189517984"/>
      <w:bookmarkStart w:id="670" w:name="_Toc191999509"/>
      <w:r w:rsidRPr="00846769">
        <w:lastRenderedPageBreak/>
        <w:t xml:space="preserve">Table </w:t>
      </w:r>
      <w:r w:rsidRPr="00846769">
        <w:fldChar w:fldCharType="begin"/>
      </w:r>
      <w:r w:rsidRPr="00846769">
        <w:instrText xml:space="preserve"> SEQ Table \* ARABIC </w:instrText>
      </w:r>
      <w:r w:rsidRPr="00846769">
        <w:fldChar w:fldCharType="separate"/>
      </w:r>
      <w:r w:rsidR="005E4F41">
        <w:rPr>
          <w:noProof/>
        </w:rPr>
        <w:t>14</w:t>
      </w:r>
      <w:r w:rsidRPr="00846769">
        <w:fldChar w:fldCharType="end"/>
      </w:r>
      <w:bookmarkEnd w:id="669"/>
      <w:r w:rsidRPr="00846769">
        <w:t xml:space="preserve"> </w:t>
      </w:r>
      <w:r w:rsidRPr="00846769">
        <w:rPr>
          <w:lang w:eastAsia="ja-JP"/>
        </w:rPr>
        <w:t xml:space="preserve">Reproduction and growth of adult </w:t>
      </w:r>
      <w:r w:rsidRPr="00846769">
        <w:rPr>
          <w:i/>
          <w:iCs/>
          <w:lang w:eastAsia="ja-JP"/>
        </w:rPr>
        <w:t>P. canaliculus</w:t>
      </w:r>
      <w:r w:rsidRPr="00846769">
        <w:rPr>
          <w:lang w:eastAsia="ja-JP"/>
        </w:rPr>
        <w:t xml:space="preserve">, </w:t>
      </w:r>
      <w:r w:rsidRPr="00846769">
        <w:rPr>
          <w:i/>
          <w:iCs/>
          <w:lang w:eastAsia="ja-JP"/>
        </w:rPr>
        <w:t>P. perna,</w:t>
      </w:r>
      <w:r w:rsidRPr="00846769">
        <w:rPr>
          <w:lang w:eastAsia="ja-JP"/>
        </w:rPr>
        <w:t xml:space="preserve"> and </w:t>
      </w:r>
      <w:r w:rsidRPr="00846769">
        <w:rPr>
          <w:i/>
          <w:iCs/>
          <w:lang w:eastAsia="ja-JP"/>
        </w:rPr>
        <w:t>P. viridis</w:t>
      </w:r>
      <w:bookmarkEnd w:id="670"/>
    </w:p>
    <w:tbl>
      <w:tblPr>
        <w:tblStyle w:val="TableGrid"/>
        <w:tblW w:w="0" w:type="auto"/>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1509"/>
        <w:gridCol w:w="2533"/>
        <w:gridCol w:w="2492"/>
        <w:gridCol w:w="2492"/>
      </w:tblGrid>
      <w:tr w:rsidR="00E55B67" w:rsidRPr="00846769" w14:paraId="6C6B7596" w14:textId="77777777" w:rsidTr="00A04E26">
        <w:trPr>
          <w:cantSplit/>
          <w:tblHeader/>
        </w:trPr>
        <w:tc>
          <w:tcPr>
            <w:tcW w:w="1509" w:type="dxa"/>
            <w:shd w:val="clear" w:color="auto" w:fill="FFFFFF" w:themeFill="background1"/>
          </w:tcPr>
          <w:p w14:paraId="5185F5D6" w14:textId="7FB94F7A" w:rsidR="00E55B67" w:rsidRPr="00846769" w:rsidRDefault="00173D35" w:rsidP="00A67BBE">
            <w:pPr>
              <w:pStyle w:val="TableText"/>
              <w:rPr>
                <w:rFonts w:cstheme="minorHAnsi"/>
                <w:b/>
                <w:bCs/>
              </w:rPr>
            </w:pPr>
            <w:bookmarkStart w:id="671" w:name="Table_14"/>
            <w:bookmarkEnd w:id="671"/>
            <w:r w:rsidRPr="00846769">
              <w:rPr>
                <w:rFonts w:cstheme="minorHAnsi"/>
                <w:b/>
                <w:bCs/>
              </w:rPr>
              <w:t>Variable</w:t>
            </w:r>
          </w:p>
        </w:tc>
        <w:tc>
          <w:tcPr>
            <w:tcW w:w="2533" w:type="dxa"/>
            <w:shd w:val="clear" w:color="auto" w:fill="FFFFFF" w:themeFill="background1"/>
          </w:tcPr>
          <w:p w14:paraId="1B34F98C" w14:textId="77777777" w:rsidR="00E55B67" w:rsidRPr="00846769" w:rsidRDefault="00E55B67" w:rsidP="00A67BBE">
            <w:pPr>
              <w:pStyle w:val="TableText"/>
              <w:rPr>
                <w:rFonts w:cstheme="minorHAnsi"/>
                <w:b/>
                <w:bCs/>
                <w:i/>
                <w:iCs/>
              </w:rPr>
            </w:pPr>
            <w:r w:rsidRPr="00846769">
              <w:rPr>
                <w:rFonts w:cstheme="minorHAnsi"/>
                <w:b/>
                <w:bCs/>
                <w:i/>
                <w:iCs/>
              </w:rPr>
              <w:t>Perna canaliculus</w:t>
            </w:r>
          </w:p>
        </w:tc>
        <w:tc>
          <w:tcPr>
            <w:tcW w:w="2492" w:type="dxa"/>
            <w:shd w:val="clear" w:color="auto" w:fill="FFFFFF" w:themeFill="background1"/>
          </w:tcPr>
          <w:p w14:paraId="5A562B6D" w14:textId="77777777" w:rsidR="00E55B67" w:rsidRPr="00846769" w:rsidRDefault="00E55B67" w:rsidP="00A67BBE">
            <w:pPr>
              <w:pStyle w:val="TableText"/>
              <w:rPr>
                <w:rFonts w:cstheme="minorHAnsi"/>
                <w:b/>
                <w:bCs/>
                <w:i/>
                <w:iCs/>
              </w:rPr>
            </w:pPr>
            <w:r w:rsidRPr="00846769">
              <w:rPr>
                <w:rFonts w:cstheme="minorHAnsi"/>
                <w:b/>
                <w:bCs/>
                <w:i/>
                <w:iCs/>
              </w:rPr>
              <w:t xml:space="preserve">Perna </w:t>
            </w:r>
            <w:proofErr w:type="spellStart"/>
            <w:r w:rsidRPr="00846769">
              <w:rPr>
                <w:rFonts w:cstheme="minorHAnsi"/>
                <w:b/>
                <w:bCs/>
                <w:i/>
                <w:iCs/>
              </w:rPr>
              <w:t>perna</w:t>
            </w:r>
            <w:proofErr w:type="spellEnd"/>
          </w:p>
        </w:tc>
        <w:tc>
          <w:tcPr>
            <w:tcW w:w="2492" w:type="dxa"/>
            <w:shd w:val="clear" w:color="auto" w:fill="FFFFFF" w:themeFill="background1"/>
          </w:tcPr>
          <w:p w14:paraId="36CCDDF3" w14:textId="77777777" w:rsidR="00E55B67" w:rsidRPr="00846769" w:rsidRDefault="00E55B67" w:rsidP="00A67BBE">
            <w:pPr>
              <w:pStyle w:val="TableText"/>
              <w:rPr>
                <w:rFonts w:cstheme="minorHAnsi"/>
                <w:b/>
                <w:bCs/>
                <w:i/>
                <w:iCs/>
              </w:rPr>
            </w:pPr>
            <w:r w:rsidRPr="00846769">
              <w:rPr>
                <w:rFonts w:cstheme="minorHAnsi"/>
                <w:b/>
                <w:bCs/>
                <w:i/>
                <w:iCs/>
              </w:rPr>
              <w:t>Perna viridis</w:t>
            </w:r>
          </w:p>
        </w:tc>
      </w:tr>
      <w:tr w:rsidR="00E55B67" w:rsidRPr="00846769" w14:paraId="61CEDAEA" w14:textId="77777777" w:rsidTr="00A04E26">
        <w:trPr>
          <w:cantSplit/>
          <w:tblHeader/>
        </w:trPr>
        <w:tc>
          <w:tcPr>
            <w:tcW w:w="1509" w:type="dxa"/>
            <w:shd w:val="clear" w:color="auto" w:fill="FFFFFF" w:themeFill="background1"/>
          </w:tcPr>
          <w:p w14:paraId="718AF22D" w14:textId="77777777" w:rsidR="00E55B67" w:rsidRPr="00846769" w:rsidRDefault="00E55B67" w:rsidP="00A67BBE">
            <w:pPr>
              <w:pStyle w:val="TableText"/>
              <w:rPr>
                <w:rFonts w:cstheme="minorHAnsi"/>
              </w:rPr>
            </w:pPr>
            <w:r w:rsidRPr="00846769">
              <w:rPr>
                <w:rFonts w:cstheme="minorHAnsi"/>
              </w:rPr>
              <w:t>Water temperature range for spawning</w:t>
            </w:r>
          </w:p>
        </w:tc>
        <w:tc>
          <w:tcPr>
            <w:tcW w:w="2533" w:type="dxa"/>
            <w:shd w:val="clear" w:color="auto" w:fill="FFFFFF" w:themeFill="background1"/>
          </w:tcPr>
          <w:p w14:paraId="7A799DC2" w14:textId="77777777" w:rsidR="00E55B67" w:rsidRPr="00846769" w:rsidRDefault="00E55B67" w:rsidP="00A67BBE">
            <w:pPr>
              <w:pStyle w:val="TableText"/>
              <w:rPr>
                <w:rFonts w:cstheme="minorHAnsi"/>
              </w:rPr>
            </w:pPr>
            <w:r w:rsidRPr="00846769">
              <w:rPr>
                <w:rFonts w:cstheme="minorHAnsi"/>
              </w:rPr>
              <w:t>Between 15 and 20°C</w:t>
            </w:r>
          </w:p>
        </w:tc>
        <w:tc>
          <w:tcPr>
            <w:tcW w:w="2492" w:type="dxa"/>
            <w:shd w:val="clear" w:color="auto" w:fill="FFFFFF" w:themeFill="background1"/>
          </w:tcPr>
          <w:p w14:paraId="26A60D98" w14:textId="77777777" w:rsidR="00E55B67" w:rsidRPr="00846769" w:rsidRDefault="00E55B67" w:rsidP="00A67BBE">
            <w:pPr>
              <w:pStyle w:val="TableText"/>
              <w:rPr>
                <w:rFonts w:cstheme="minorHAnsi"/>
              </w:rPr>
            </w:pPr>
            <w:r w:rsidRPr="00846769">
              <w:rPr>
                <w:rFonts w:cstheme="minorHAnsi"/>
              </w:rPr>
              <w:t>Between 20 and 30°C</w:t>
            </w:r>
          </w:p>
        </w:tc>
        <w:tc>
          <w:tcPr>
            <w:tcW w:w="2492" w:type="dxa"/>
            <w:shd w:val="clear" w:color="auto" w:fill="FFFFFF" w:themeFill="background1"/>
          </w:tcPr>
          <w:p w14:paraId="4B644C45" w14:textId="77777777" w:rsidR="00E55B67" w:rsidRPr="00846769" w:rsidRDefault="00E55B67" w:rsidP="00A67BBE">
            <w:pPr>
              <w:pStyle w:val="TableText"/>
              <w:rPr>
                <w:rFonts w:cstheme="minorHAnsi"/>
              </w:rPr>
            </w:pPr>
            <w:r w:rsidRPr="00846769">
              <w:rPr>
                <w:rFonts w:cstheme="minorHAnsi"/>
              </w:rPr>
              <w:t>Between 21 and 28°C</w:t>
            </w:r>
          </w:p>
        </w:tc>
      </w:tr>
      <w:tr w:rsidR="00E55B67" w:rsidRPr="00846769" w14:paraId="58ACE770" w14:textId="77777777" w:rsidTr="00A04E26">
        <w:trPr>
          <w:cantSplit/>
          <w:tblHeader/>
        </w:trPr>
        <w:tc>
          <w:tcPr>
            <w:tcW w:w="1509" w:type="dxa"/>
            <w:shd w:val="clear" w:color="auto" w:fill="FFFFFF" w:themeFill="background1"/>
          </w:tcPr>
          <w:p w14:paraId="57B139C5" w14:textId="77777777" w:rsidR="00E55B67" w:rsidRPr="00846769" w:rsidRDefault="00E55B67" w:rsidP="00A67BBE">
            <w:pPr>
              <w:pStyle w:val="TableText"/>
              <w:rPr>
                <w:rFonts w:cstheme="minorHAnsi"/>
              </w:rPr>
            </w:pPr>
            <w:r w:rsidRPr="00846769">
              <w:rPr>
                <w:rFonts w:cstheme="minorHAnsi"/>
              </w:rPr>
              <w:t>Age at sexual maturity</w:t>
            </w:r>
          </w:p>
        </w:tc>
        <w:tc>
          <w:tcPr>
            <w:tcW w:w="2533" w:type="dxa"/>
            <w:shd w:val="clear" w:color="auto" w:fill="FFFFFF" w:themeFill="background1"/>
          </w:tcPr>
          <w:p w14:paraId="45021096" w14:textId="77777777" w:rsidR="00E55B67" w:rsidRPr="00846769" w:rsidRDefault="00E55B67" w:rsidP="00A67BBE">
            <w:pPr>
              <w:pStyle w:val="TableText"/>
              <w:rPr>
                <w:rFonts w:cstheme="minorHAnsi"/>
              </w:rPr>
            </w:pPr>
            <w:r w:rsidRPr="00846769">
              <w:rPr>
                <w:rFonts w:cstheme="minorHAnsi"/>
              </w:rPr>
              <w:t>Unknown</w:t>
            </w:r>
          </w:p>
        </w:tc>
        <w:tc>
          <w:tcPr>
            <w:tcW w:w="2492" w:type="dxa"/>
            <w:shd w:val="clear" w:color="auto" w:fill="FFFFFF" w:themeFill="background1"/>
          </w:tcPr>
          <w:p w14:paraId="7B43120C" w14:textId="77777777" w:rsidR="00E55B67" w:rsidRPr="00846769" w:rsidRDefault="00E55B67" w:rsidP="00A67BBE">
            <w:pPr>
              <w:pStyle w:val="TableText"/>
              <w:rPr>
                <w:rFonts w:cstheme="minorHAnsi"/>
              </w:rPr>
            </w:pPr>
            <w:r w:rsidRPr="00846769">
              <w:rPr>
                <w:rFonts w:cstheme="minorHAnsi"/>
              </w:rPr>
              <w:t>Unknown</w:t>
            </w:r>
          </w:p>
        </w:tc>
        <w:tc>
          <w:tcPr>
            <w:tcW w:w="2492" w:type="dxa"/>
            <w:shd w:val="clear" w:color="auto" w:fill="FFFFFF" w:themeFill="background1"/>
          </w:tcPr>
          <w:p w14:paraId="5718421B" w14:textId="77777777" w:rsidR="00E55B67" w:rsidRPr="00846769" w:rsidRDefault="00E55B67" w:rsidP="00A67BBE">
            <w:pPr>
              <w:pStyle w:val="TableText"/>
              <w:rPr>
                <w:rFonts w:cstheme="minorHAnsi"/>
              </w:rPr>
            </w:pPr>
            <w:r w:rsidRPr="00846769">
              <w:rPr>
                <w:rFonts w:cstheme="minorHAnsi"/>
              </w:rPr>
              <w:t>60 days</w:t>
            </w:r>
          </w:p>
        </w:tc>
      </w:tr>
      <w:tr w:rsidR="00E55B67" w:rsidRPr="00846769" w14:paraId="6A4D61B7" w14:textId="77777777" w:rsidTr="00A04E26">
        <w:trPr>
          <w:cantSplit/>
          <w:tblHeader/>
        </w:trPr>
        <w:tc>
          <w:tcPr>
            <w:tcW w:w="1509" w:type="dxa"/>
            <w:shd w:val="clear" w:color="auto" w:fill="FFFFFF" w:themeFill="background1"/>
          </w:tcPr>
          <w:p w14:paraId="7C37A786" w14:textId="77777777" w:rsidR="00E55B67" w:rsidRPr="00846769" w:rsidRDefault="00E55B67" w:rsidP="00A67BBE">
            <w:pPr>
              <w:pStyle w:val="TableText"/>
              <w:rPr>
                <w:rFonts w:cstheme="minorHAnsi"/>
              </w:rPr>
            </w:pPr>
            <w:r w:rsidRPr="00846769">
              <w:rPr>
                <w:rFonts w:cstheme="minorHAnsi"/>
              </w:rPr>
              <w:t>Size at sexual maturity</w:t>
            </w:r>
          </w:p>
        </w:tc>
        <w:tc>
          <w:tcPr>
            <w:tcW w:w="2533" w:type="dxa"/>
            <w:shd w:val="clear" w:color="auto" w:fill="FFFFFF" w:themeFill="background1"/>
          </w:tcPr>
          <w:p w14:paraId="7E22B8D6" w14:textId="77777777" w:rsidR="00E55B67" w:rsidRPr="00846769" w:rsidRDefault="00E55B67" w:rsidP="00A67BBE">
            <w:pPr>
              <w:pStyle w:val="TableText"/>
              <w:rPr>
                <w:rFonts w:cstheme="minorHAnsi"/>
              </w:rPr>
            </w:pPr>
            <w:r w:rsidRPr="00846769">
              <w:rPr>
                <w:rFonts w:cstheme="minorHAnsi"/>
              </w:rPr>
              <w:t>Between 27 and 50 mm</w:t>
            </w:r>
          </w:p>
        </w:tc>
        <w:tc>
          <w:tcPr>
            <w:tcW w:w="2492" w:type="dxa"/>
            <w:shd w:val="clear" w:color="auto" w:fill="FFFFFF" w:themeFill="background1"/>
          </w:tcPr>
          <w:p w14:paraId="1519DF02" w14:textId="77777777" w:rsidR="00E55B67" w:rsidRPr="00846769" w:rsidRDefault="00E55B67" w:rsidP="00A67BBE">
            <w:pPr>
              <w:pStyle w:val="TableText"/>
              <w:rPr>
                <w:rFonts w:ascii="Calibri" w:hAnsi="Calibri" w:cs="Calibri"/>
              </w:rPr>
            </w:pPr>
            <w:r w:rsidRPr="00846769">
              <w:rPr>
                <w:rFonts w:ascii="Calibri" w:hAnsi="Calibri" w:cs="Calibri"/>
              </w:rPr>
              <w:t>Unknown</w:t>
            </w:r>
          </w:p>
        </w:tc>
        <w:tc>
          <w:tcPr>
            <w:tcW w:w="2492" w:type="dxa"/>
            <w:shd w:val="clear" w:color="auto" w:fill="FFFFFF" w:themeFill="background1"/>
          </w:tcPr>
          <w:p w14:paraId="1C8D0D8B" w14:textId="77777777" w:rsidR="00E55B67" w:rsidRPr="00846769" w:rsidRDefault="00E55B67" w:rsidP="00A67BBE">
            <w:pPr>
              <w:pStyle w:val="TableText"/>
              <w:rPr>
                <w:rFonts w:cstheme="minorHAnsi"/>
              </w:rPr>
            </w:pPr>
            <w:r w:rsidRPr="00846769">
              <w:rPr>
                <w:rFonts w:cstheme="minorHAnsi"/>
              </w:rPr>
              <w:t>Between 15 and 30 mm</w:t>
            </w:r>
          </w:p>
        </w:tc>
      </w:tr>
      <w:tr w:rsidR="00E55B67" w:rsidRPr="00846769" w14:paraId="7B662DA3" w14:textId="77777777" w:rsidTr="00A04E26">
        <w:trPr>
          <w:cantSplit/>
          <w:tblHeader/>
        </w:trPr>
        <w:tc>
          <w:tcPr>
            <w:tcW w:w="1509" w:type="dxa"/>
            <w:shd w:val="clear" w:color="auto" w:fill="FFFFFF" w:themeFill="background1"/>
          </w:tcPr>
          <w:p w14:paraId="35AA899D" w14:textId="77777777" w:rsidR="00E55B67" w:rsidRPr="00846769" w:rsidRDefault="00E55B67" w:rsidP="00A67BBE">
            <w:pPr>
              <w:pStyle w:val="TableText"/>
              <w:rPr>
                <w:rFonts w:cstheme="minorHAnsi"/>
              </w:rPr>
            </w:pPr>
            <w:r w:rsidRPr="00846769">
              <w:rPr>
                <w:rFonts w:cstheme="minorHAnsi"/>
              </w:rPr>
              <w:t>Growth rate</w:t>
            </w:r>
          </w:p>
        </w:tc>
        <w:tc>
          <w:tcPr>
            <w:tcW w:w="2533" w:type="dxa"/>
            <w:shd w:val="clear" w:color="auto" w:fill="FFFFFF" w:themeFill="background1"/>
          </w:tcPr>
          <w:p w14:paraId="6A6E2798" w14:textId="77777777" w:rsidR="00E55B67" w:rsidRPr="00846769" w:rsidRDefault="00E55B67" w:rsidP="00A67BBE">
            <w:pPr>
              <w:pStyle w:val="TableText"/>
              <w:rPr>
                <w:rFonts w:cstheme="minorHAnsi"/>
              </w:rPr>
            </w:pPr>
            <w:r w:rsidRPr="00846769">
              <w:rPr>
                <w:rFonts w:cstheme="minorHAnsi"/>
              </w:rPr>
              <w:t>60 mm per year</w:t>
            </w:r>
          </w:p>
        </w:tc>
        <w:tc>
          <w:tcPr>
            <w:tcW w:w="2492" w:type="dxa"/>
            <w:shd w:val="clear" w:color="auto" w:fill="FFFFFF" w:themeFill="background1"/>
          </w:tcPr>
          <w:p w14:paraId="1EF1F113" w14:textId="77777777" w:rsidR="00E55B67" w:rsidRPr="00846769" w:rsidRDefault="00E55B67" w:rsidP="00A67BBE">
            <w:pPr>
              <w:pStyle w:val="TableText"/>
              <w:rPr>
                <w:rFonts w:cstheme="minorHAnsi"/>
              </w:rPr>
            </w:pPr>
            <w:r w:rsidRPr="00846769">
              <w:rPr>
                <w:rFonts w:cstheme="minorHAnsi"/>
              </w:rPr>
              <w:t>79 mm per year</w:t>
            </w:r>
          </w:p>
        </w:tc>
        <w:tc>
          <w:tcPr>
            <w:tcW w:w="2492" w:type="dxa"/>
            <w:shd w:val="clear" w:color="auto" w:fill="FFFFFF" w:themeFill="background1"/>
          </w:tcPr>
          <w:p w14:paraId="42BA2D3C" w14:textId="77777777" w:rsidR="00E55B67" w:rsidRPr="00846769" w:rsidRDefault="00E55B67" w:rsidP="00A67BBE">
            <w:pPr>
              <w:pStyle w:val="TableText"/>
              <w:rPr>
                <w:rFonts w:cstheme="minorHAnsi"/>
              </w:rPr>
            </w:pPr>
            <w:r w:rsidRPr="00846769">
              <w:rPr>
                <w:rFonts w:cstheme="minorHAnsi"/>
              </w:rPr>
              <w:t>120 mm per year</w:t>
            </w:r>
          </w:p>
        </w:tc>
      </w:tr>
    </w:tbl>
    <w:p w14:paraId="2F2B9562" w14:textId="77777777" w:rsidR="00024764" w:rsidRPr="00846769" w:rsidRDefault="00024764" w:rsidP="00173D35">
      <w:pPr>
        <w:pStyle w:val="Heading6"/>
        <w:spacing w:before="120" w:after="40"/>
        <w:rPr>
          <w:color w:val="262626" w:themeColor="text1" w:themeTint="D9"/>
        </w:rPr>
      </w:pPr>
      <w:r w:rsidRPr="00846769">
        <w:rPr>
          <w:color w:val="262626" w:themeColor="text1" w:themeTint="D9"/>
        </w:rPr>
        <w:t>Pathways and vectors</w:t>
      </w:r>
    </w:p>
    <w:p w14:paraId="143E8A0A" w14:textId="77777777" w:rsidR="00173D35" w:rsidRPr="00846769" w:rsidRDefault="00E55B67" w:rsidP="00E55B67">
      <w:r w:rsidRPr="00846769">
        <w:rPr>
          <w:i/>
          <w:iCs/>
        </w:rPr>
        <w:t xml:space="preserve">Perna </w:t>
      </w:r>
      <w:r w:rsidRPr="00846769">
        <w:t xml:space="preserve">spp. are fouling species and are commonly transported on vessels or attached to other substrate. </w:t>
      </w:r>
      <w:r w:rsidRPr="00846769">
        <w:rPr>
          <w:i/>
          <w:iCs/>
        </w:rPr>
        <w:t xml:space="preserve">Perna </w:t>
      </w:r>
      <w:r w:rsidRPr="00846769">
        <w:t>spp. have been reported on vessels, on floating debris of unknown origin</w:t>
      </w:r>
      <w:r w:rsidR="00173D35" w:rsidRPr="00846769">
        <w:t>,</w:t>
      </w:r>
      <w:r w:rsidRPr="00846769">
        <w:t xml:space="preserve"> and on natural and artificial substrates</w:t>
      </w:r>
      <w:r w:rsidR="00173D35" w:rsidRPr="00846769">
        <w:t>.</w:t>
      </w:r>
    </w:p>
    <w:p w14:paraId="4B9DBE6A" w14:textId="6773180B" w:rsidR="00E55B67" w:rsidRPr="00846769" w:rsidRDefault="00FF5BB6" w:rsidP="00E55B67">
      <w:r w:rsidRPr="00846769">
        <w:t>No known</w:t>
      </w:r>
      <w:r w:rsidR="00E55B67" w:rsidRPr="00846769">
        <w:t xml:space="preserve"> </w:t>
      </w:r>
      <w:r w:rsidR="00E55B67" w:rsidRPr="00846769">
        <w:rPr>
          <w:i/>
          <w:iCs/>
        </w:rPr>
        <w:t xml:space="preserve">Perna </w:t>
      </w:r>
      <w:r w:rsidR="00E55B67" w:rsidRPr="00846769">
        <w:t>spp. have become established in Australia</w:t>
      </w:r>
      <w:r w:rsidRPr="00846769">
        <w:t xml:space="preserve"> to-date.</w:t>
      </w:r>
      <w:r w:rsidR="00E55B67" w:rsidRPr="00846769">
        <w:t xml:space="preserve"> The relatively long larval period of </w:t>
      </w:r>
      <w:r w:rsidR="00E55B67" w:rsidRPr="00846769">
        <w:rPr>
          <w:i/>
          <w:iCs/>
        </w:rPr>
        <w:t xml:space="preserve">Perna </w:t>
      </w:r>
      <w:r w:rsidR="00E55B67" w:rsidRPr="00846769">
        <w:t xml:space="preserve">spp. suggests they could also be spread by ballast water, particularly over short to moderate distances. </w:t>
      </w:r>
      <w:r w:rsidR="00E55B67" w:rsidRPr="00846769">
        <w:rPr>
          <w:i/>
          <w:iCs/>
        </w:rPr>
        <w:t xml:space="preserve">Perna </w:t>
      </w:r>
      <w:r w:rsidR="00E55B67" w:rsidRPr="00846769">
        <w:t xml:space="preserve">spp. are an important food item in their native ranges and intentional transportation to establish aquaculture could be an important secondary pathway in Australia. </w:t>
      </w:r>
    </w:p>
    <w:p w14:paraId="68CDA3D4" w14:textId="77777777" w:rsidR="00024764" w:rsidRPr="00846769" w:rsidRDefault="00024764" w:rsidP="00024764">
      <w:pPr>
        <w:pStyle w:val="Heading6"/>
        <w:spacing w:after="40"/>
        <w:rPr>
          <w:color w:val="262626" w:themeColor="text1" w:themeTint="D9"/>
        </w:rPr>
      </w:pPr>
      <w:r w:rsidRPr="00846769">
        <w:rPr>
          <w:color w:val="262626" w:themeColor="text1" w:themeTint="D9"/>
        </w:rPr>
        <w:t>Potential impacts</w:t>
      </w:r>
    </w:p>
    <w:p w14:paraId="73F69D03" w14:textId="5A94D69C" w:rsidR="000705E5" w:rsidRPr="004E6582" w:rsidRDefault="00970C0A" w:rsidP="00E55B67">
      <w:r w:rsidRPr="00846769">
        <w:t xml:space="preserve">The main impacts associated with </w:t>
      </w:r>
      <w:r w:rsidRPr="00846769">
        <w:rPr>
          <w:i/>
          <w:iCs/>
        </w:rPr>
        <w:t xml:space="preserve">Perna </w:t>
      </w:r>
      <w:r w:rsidRPr="00846769">
        <w:t>spp. are via biofouling, as they can foul structures at high densities (</w:t>
      </w:r>
      <w:r w:rsidR="00192097" w:rsidRPr="00846769">
        <w:rPr>
          <w:highlight w:val="yellow"/>
        </w:rPr>
        <w:fldChar w:fldCharType="begin"/>
      </w:r>
      <w:r w:rsidR="00192097" w:rsidRPr="00846769">
        <w:instrText xml:space="preserve"> REF _Ref171945272 \h </w:instrText>
      </w:r>
      <w:r w:rsidR="00192097" w:rsidRPr="00846769">
        <w:rPr>
          <w:highlight w:val="yellow"/>
        </w:rPr>
      </w:r>
      <w:r w:rsidR="00192097" w:rsidRPr="00846769">
        <w:rPr>
          <w:highlight w:val="yellow"/>
        </w:rPr>
        <w:fldChar w:fldCharType="separate"/>
      </w:r>
      <w:r w:rsidR="00192097" w:rsidRPr="00846769">
        <w:t>Photo 21</w:t>
      </w:r>
      <w:r w:rsidR="00192097" w:rsidRPr="00846769">
        <w:rPr>
          <w:highlight w:val="yellow"/>
        </w:rPr>
        <w:fldChar w:fldCharType="end"/>
      </w:r>
      <w:r w:rsidRPr="00846769">
        <w:t xml:space="preserve">). </w:t>
      </w:r>
      <w:r w:rsidR="00E55B67" w:rsidRPr="00846769">
        <w:t xml:space="preserve">Heavy fouling of marine infrastructure </w:t>
      </w:r>
      <w:r w:rsidRPr="00846769">
        <w:t xml:space="preserve">and vessels </w:t>
      </w:r>
      <w:r w:rsidR="00E55B67" w:rsidRPr="00846769">
        <w:t>creates costs associated with control</w:t>
      </w:r>
      <w:r w:rsidRPr="00846769">
        <w:t xml:space="preserve">. </w:t>
      </w:r>
      <w:r w:rsidR="00E55B67" w:rsidRPr="00846769">
        <w:rPr>
          <w:i/>
          <w:iCs/>
        </w:rPr>
        <w:t xml:space="preserve">Perna </w:t>
      </w:r>
      <w:r w:rsidR="00E55B67" w:rsidRPr="00846769">
        <w:t xml:space="preserve">spp. have also been </w:t>
      </w:r>
      <w:r w:rsidR="00E55B67" w:rsidRPr="004E6582">
        <w:t>reported clogging intake pipes of land-based facilities. High density populations can also outcompete native species for space and food.</w:t>
      </w:r>
      <w:r w:rsidR="002C3B5E" w:rsidRPr="004E6582">
        <w:t xml:space="preserve"> </w:t>
      </w:r>
      <w:r w:rsidR="002C3B5E" w:rsidRPr="004E6582">
        <w:rPr>
          <w:i/>
          <w:iCs/>
        </w:rPr>
        <w:t xml:space="preserve">Perna </w:t>
      </w:r>
      <w:proofErr w:type="spellStart"/>
      <w:r w:rsidR="002C3B5E" w:rsidRPr="004E6582">
        <w:rPr>
          <w:i/>
          <w:iCs/>
        </w:rPr>
        <w:t>perna</w:t>
      </w:r>
      <w:proofErr w:type="spellEnd"/>
      <w:r w:rsidR="002C3B5E" w:rsidRPr="004E6582">
        <w:rPr>
          <w:i/>
          <w:iCs/>
        </w:rPr>
        <w:t xml:space="preserve"> </w:t>
      </w:r>
      <w:r w:rsidR="002C3B5E" w:rsidRPr="004E6582">
        <w:t>can both displace and facilitate other sedentary species (Hicks &amp; Tunnell 1995).</w:t>
      </w:r>
      <w:r w:rsidR="00E55B67" w:rsidRPr="004E6582">
        <w:t xml:space="preserve"> </w:t>
      </w:r>
    </w:p>
    <w:p w14:paraId="4F16DC0E" w14:textId="686D3960" w:rsidR="00E55B67" w:rsidRPr="004E6582" w:rsidRDefault="000705E5" w:rsidP="00E55B67">
      <w:r w:rsidRPr="004E6582">
        <w:rPr>
          <w:i/>
          <w:iCs/>
        </w:rPr>
        <w:t xml:space="preserve">Perna </w:t>
      </w:r>
      <w:r w:rsidRPr="004E6582">
        <w:t xml:space="preserve">spp. </w:t>
      </w:r>
      <w:r w:rsidR="00E55B67" w:rsidRPr="004E6582">
        <w:t xml:space="preserve">can also become a nuisance species on existing aquaculture establishments through fouling of stock. </w:t>
      </w:r>
      <w:r w:rsidR="002C3B5E" w:rsidRPr="004E6582">
        <w:t xml:space="preserve">In addition, as </w:t>
      </w:r>
      <w:r w:rsidR="002C3B5E" w:rsidRPr="004E6582">
        <w:rPr>
          <w:i/>
          <w:iCs/>
        </w:rPr>
        <w:t xml:space="preserve">Perna </w:t>
      </w:r>
      <w:r w:rsidR="002C3B5E" w:rsidRPr="004E6582">
        <w:t xml:space="preserve">spp. are now cultivated globally, there have been observed impacts of mussel rafts on surrounding benthic environments. For example, </w:t>
      </w:r>
      <w:r w:rsidR="002C3B5E" w:rsidRPr="004E6582">
        <w:rPr>
          <w:i/>
          <w:iCs/>
        </w:rPr>
        <w:t xml:space="preserve">P. viridis </w:t>
      </w:r>
      <w:r w:rsidR="002C3B5E" w:rsidRPr="004E6582">
        <w:t>raft-culture in Thailand resulted in changes in sediment organic matter where rafts were located compared to reference locations (</w:t>
      </w:r>
      <w:proofErr w:type="spellStart"/>
      <w:r w:rsidR="002C3B5E" w:rsidRPr="004E6582">
        <w:t>Vichkovitten</w:t>
      </w:r>
      <w:proofErr w:type="spellEnd"/>
      <w:r w:rsidR="002C3B5E" w:rsidRPr="004E6582">
        <w:t xml:space="preserve"> et al. 2017). </w:t>
      </w:r>
    </w:p>
    <w:p w14:paraId="4A733D30" w14:textId="225F75B2" w:rsidR="000705E5" w:rsidRPr="00846769" w:rsidRDefault="000705E5" w:rsidP="000705E5">
      <w:r w:rsidRPr="004E6582">
        <w:t xml:space="preserve">As a human food item, </w:t>
      </w:r>
      <w:r w:rsidRPr="004E6582">
        <w:rPr>
          <w:i/>
          <w:iCs/>
        </w:rPr>
        <w:t xml:space="preserve">Perna </w:t>
      </w:r>
      <w:r w:rsidRPr="004E6582">
        <w:t>spp. can create human health impacts when consumed</w:t>
      </w:r>
      <w:r w:rsidR="007D11A1">
        <w:t>, common with many other bivalves</w:t>
      </w:r>
      <w:r w:rsidRPr="004E6582">
        <w:t xml:space="preserve">. </w:t>
      </w:r>
      <w:r w:rsidRPr="004E6582">
        <w:rPr>
          <w:i/>
          <w:iCs/>
        </w:rPr>
        <w:t xml:space="preserve">Perna viridis </w:t>
      </w:r>
      <w:r w:rsidRPr="004E6582">
        <w:t xml:space="preserve">has been recorded with high levels of accumulated toxins and heavy metals associated with poisoning in humans. </w:t>
      </w:r>
      <w:r w:rsidRPr="004E6582">
        <w:rPr>
          <w:i/>
          <w:iCs/>
        </w:rPr>
        <w:t xml:space="preserve">Perna </w:t>
      </w:r>
      <w:r w:rsidRPr="004E6582">
        <w:t xml:space="preserve">spp. like other filter feeding shellfish can bioaccumulate and retain human viruses and other pathogens that may be present in their growing waters, for example hepatitis A virus has been reported from </w:t>
      </w:r>
      <w:r w:rsidRPr="004E6582">
        <w:rPr>
          <w:i/>
          <w:iCs/>
        </w:rPr>
        <w:t xml:space="preserve">P. viridis </w:t>
      </w:r>
      <w:r w:rsidRPr="004E6582">
        <w:t>collected from Asia (Lee et al. 1999). Faecal</w:t>
      </w:r>
      <w:r w:rsidRPr="00846769">
        <w:t xml:space="preserve"> contaminants have also been reported from </w:t>
      </w:r>
      <w:r w:rsidRPr="00846769">
        <w:rPr>
          <w:i/>
          <w:iCs/>
        </w:rPr>
        <w:t xml:space="preserve">P. perna </w:t>
      </w:r>
      <w:r w:rsidRPr="00846769">
        <w:t>from the Gulf of Annaba, in northeastern Algeria (</w:t>
      </w:r>
      <w:proofErr w:type="spellStart"/>
      <w:r w:rsidRPr="00846769">
        <w:t>Boufafa</w:t>
      </w:r>
      <w:proofErr w:type="spellEnd"/>
      <w:r w:rsidRPr="00846769">
        <w:t xml:space="preserve"> et al. 2021).</w:t>
      </w:r>
    </w:p>
    <w:p w14:paraId="524F6219" w14:textId="77777777" w:rsidR="000705E5" w:rsidRPr="00846769" w:rsidRDefault="000705E5" w:rsidP="00E55B67"/>
    <w:p w14:paraId="5CFE953A" w14:textId="522E41A5" w:rsidR="00611CCC" w:rsidRPr="00846769" w:rsidRDefault="00611CCC" w:rsidP="00611CCC">
      <w:pPr>
        <w:pStyle w:val="Caption"/>
      </w:pPr>
      <w:bookmarkStart w:id="672" w:name="_Ref171945272"/>
      <w:bookmarkStart w:id="673" w:name="_Toc191999545"/>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21</w:t>
      </w:r>
      <w:r w:rsidRPr="00846769">
        <w:fldChar w:fldCharType="end"/>
      </w:r>
      <w:bookmarkEnd w:id="672"/>
      <w:r w:rsidRPr="00846769">
        <w:t xml:space="preserve"> </w:t>
      </w:r>
      <w:r w:rsidRPr="00846769">
        <w:rPr>
          <w:i/>
          <w:iCs/>
        </w:rPr>
        <w:t xml:space="preserve">Perna viridis </w:t>
      </w:r>
      <w:r w:rsidRPr="00846769">
        <w:t>fouling on a rope</w:t>
      </w:r>
      <w:bookmarkEnd w:id="673"/>
    </w:p>
    <w:p w14:paraId="10124F51" w14:textId="36C6136D" w:rsidR="00970C0A" w:rsidRPr="00846769" w:rsidRDefault="00970C0A" w:rsidP="00E55B67">
      <w:r w:rsidRPr="00846769">
        <w:rPr>
          <w:noProof/>
        </w:rPr>
        <w:drawing>
          <wp:inline distT="0" distB="0" distL="0" distR="0" wp14:anchorId="67E41742" wp14:editId="207C3BE5">
            <wp:extent cx="4285735" cy="5714471"/>
            <wp:effectExtent l="0" t="9525" r="0" b="0"/>
            <wp:docPr id="1350210447" name="Picture 13" descr="A coloured photograph showing dense biofouling of Perna viridis on a rope near a jetty, showing the bright green margins of the sh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10447" name="Picture 13" descr="A coloured photograph showing dense biofouling of Perna viridis on a rope near a jetty, showing the bright green margins of the shells. "/>
                    <pic:cNvPicPr/>
                  </pic:nvPicPr>
                  <pic:blipFill>
                    <a:blip r:embed="rId258" cstate="email">
                      <a:extLst>
                        <a:ext uri="{28A0092B-C50C-407E-A947-70E740481C1C}">
                          <a14:useLocalDpi xmlns:a14="http://schemas.microsoft.com/office/drawing/2010/main" val="0"/>
                        </a:ext>
                      </a:extLst>
                    </a:blip>
                    <a:stretch>
                      <a:fillRect/>
                    </a:stretch>
                  </pic:blipFill>
                  <pic:spPr>
                    <a:xfrm rot="16200000">
                      <a:off x="0" y="0"/>
                      <a:ext cx="4288734" cy="5718470"/>
                    </a:xfrm>
                    <a:prstGeom prst="rect">
                      <a:avLst/>
                    </a:prstGeom>
                  </pic:spPr>
                </pic:pic>
              </a:graphicData>
            </a:graphic>
          </wp:inline>
        </w:drawing>
      </w:r>
    </w:p>
    <w:p w14:paraId="120D01CA" w14:textId="0E41390C" w:rsidR="002C3B5E" w:rsidRPr="00846769" w:rsidRDefault="00970C0A" w:rsidP="000705E5">
      <w:pPr>
        <w:pStyle w:val="FigureTableNoteSource"/>
        <w:spacing w:before="0"/>
      </w:pPr>
      <w:r w:rsidRPr="00846769">
        <w:rPr>
          <w:rStyle w:val="Emphasis"/>
          <w:i w:val="0"/>
          <w:iCs w:val="0"/>
        </w:rPr>
        <w:t>Source:</w:t>
      </w:r>
      <w:r w:rsidRPr="00846769">
        <w:t xml:space="preserve"> Justin McDonald, WA DPIRD</w:t>
      </w:r>
    </w:p>
    <w:p w14:paraId="5471A3E6" w14:textId="77777777" w:rsidR="00024764" w:rsidRPr="00846769" w:rsidRDefault="00024764" w:rsidP="00024764">
      <w:pPr>
        <w:pStyle w:val="Heading5"/>
        <w:spacing w:after="40"/>
        <w:rPr>
          <w:color w:val="262626" w:themeColor="text1" w:themeTint="D9"/>
          <w:sz w:val="24"/>
          <w:szCs w:val="24"/>
        </w:rPr>
      </w:pPr>
      <w:r w:rsidRPr="00846769">
        <w:rPr>
          <w:color w:val="262626" w:themeColor="text1" w:themeTint="D9"/>
          <w:sz w:val="24"/>
          <w:szCs w:val="24"/>
        </w:rPr>
        <w:t>Global and Australian distribution</w:t>
      </w:r>
    </w:p>
    <w:p w14:paraId="0FA97B56" w14:textId="430B0B8F" w:rsidR="00E55B67" w:rsidRPr="00846769" w:rsidRDefault="00E55B67" w:rsidP="00E55B67">
      <w:r w:rsidRPr="00846769">
        <w:rPr>
          <w:i/>
          <w:iCs/>
        </w:rPr>
        <w:t xml:space="preserve">Perna canaliculus </w:t>
      </w:r>
      <w:r w:rsidRPr="00846769">
        <w:t>is native to New Zealand and has not established in other locations</w:t>
      </w:r>
      <w:r w:rsidR="008D33DC" w:rsidRPr="00846769">
        <w:t xml:space="preserve"> </w:t>
      </w:r>
      <w:r w:rsidR="00032791" w:rsidRPr="00846769">
        <w:t>globally</w:t>
      </w:r>
      <w:r w:rsidR="00032791">
        <w:t xml:space="preserve"> but has been detected in Australia on multiple occasions (</w:t>
      </w:r>
      <w:r w:rsidR="00032791">
        <w:fldChar w:fldCharType="begin"/>
      </w:r>
      <w:r w:rsidR="00032791">
        <w:instrText xml:space="preserve"> REF _Ref189518101 \h </w:instrText>
      </w:r>
      <w:r w:rsidR="00032791">
        <w:fldChar w:fldCharType="separate"/>
      </w:r>
      <w:r w:rsidR="00032791">
        <w:t xml:space="preserve">Map </w:t>
      </w:r>
      <w:r w:rsidR="00032791">
        <w:rPr>
          <w:noProof/>
        </w:rPr>
        <w:t>13</w:t>
      </w:r>
      <w:r w:rsidR="00032791">
        <w:fldChar w:fldCharType="end"/>
      </w:r>
      <w:r w:rsidR="00032791">
        <w:t>)</w:t>
      </w:r>
      <w:r w:rsidR="008D33DC" w:rsidRPr="00846769">
        <w:t>.</w:t>
      </w:r>
      <w:r w:rsidRPr="00846769">
        <w:t xml:space="preserve"> The first Australian record of </w:t>
      </w:r>
      <w:r w:rsidRPr="00846769">
        <w:rPr>
          <w:rStyle w:val="Emphasis"/>
        </w:rPr>
        <w:t>P. canaliculus</w:t>
      </w:r>
      <w:r w:rsidRPr="00846769">
        <w:t xml:space="preserve"> was in Bridport, Tasmania</w:t>
      </w:r>
      <w:r w:rsidR="008D33DC" w:rsidRPr="00846769">
        <w:t>,</w:t>
      </w:r>
      <w:r w:rsidRPr="00846769">
        <w:t xml:space="preserve"> in 1876 but the </w:t>
      </w:r>
      <w:r w:rsidRPr="004E6582">
        <w:t>species failed to establish there. There have since been numerous interceptions over the last 20 years (Wilkens &amp; Allen 2015)</w:t>
      </w:r>
      <w:r w:rsidR="008D33DC" w:rsidRPr="004E6582">
        <w:t xml:space="preserve">. One </w:t>
      </w:r>
      <w:r w:rsidRPr="004E6582">
        <w:t>population establish</w:t>
      </w:r>
      <w:r w:rsidR="008D33DC" w:rsidRPr="004E6582">
        <w:t xml:space="preserve">ed </w:t>
      </w:r>
      <w:r w:rsidRPr="004E6582">
        <w:t xml:space="preserve">in the wild in </w:t>
      </w:r>
      <w:r w:rsidR="008D33DC" w:rsidRPr="004E6582">
        <w:t xml:space="preserve">Port </w:t>
      </w:r>
      <w:r w:rsidRPr="004E6582">
        <w:t>Adelaide, South Australia</w:t>
      </w:r>
      <w:r w:rsidR="008D33DC" w:rsidRPr="004E6582">
        <w:t>,</w:t>
      </w:r>
      <w:r w:rsidRPr="004E6582">
        <w:t xml:space="preserve"> in 1996. It is not known whether this population died </w:t>
      </w:r>
      <w:r w:rsidR="008D33DC" w:rsidRPr="004E6582">
        <w:t>out naturally</w:t>
      </w:r>
      <w:r w:rsidRPr="004E6582">
        <w:t xml:space="preserve"> or was completely removed during the eradication campaign.</w:t>
      </w:r>
      <w:r w:rsidR="008D33DC" w:rsidRPr="004E6582">
        <w:t xml:space="preserve"> A single individual was also detected in Westernport, Victoria, in 2021.</w:t>
      </w:r>
      <w:r w:rsidRPr="004E6582">
        <w:t xml:space="preserve"> It is likely that </w:t>
      </w:r>
      <w:r w:rsidRPr="004E6582">
        <w:rPr>
          <w:rStyle w:val="Emphasis"/>
        </w:rPr>
        <w:t>P. canaliculus</w:t>
      </w:r>
      <w:r w:rsidRPr="004E6582">
        <w:t xml:space="preserve"> may survive in the cooler temperate waters of Australia, as the normal temperature tolerance range of the species is between 10°C and 19°C (Ogilvie et al. 2004), particularly if deliberately imported for aquaculture. However, as Glasby </w:t>
      </w:r>
      <w:r w:rsidR="00933093" w:rsidRPr="004E6582">
        <w:t>and</w:t>
      </w:r>
      <w:r w:rsidRPr="004E6582">
        <w:t xml:space="preserve"> Lobb (2008) noted, it would be unlikely to survive and reproduce in the Sydney estuaries (or further north) when water</w:t>
      </w:r>
      <w:r w:rsidRPr="00846769">
        <w:t xml:space="preserve"> temperatures are warm.</w:t>
      </w:r>
      <w:r w:rsidR="00032791">
        <w:t xml:space="preserve"> Species range mapping from ABARES shows that the whole of Australia is potentially suitable for </w:t>
      </w:r>
      <w:r w:rsidR="00032791">
        <w:rPr>
          <w:i/>
          <w:iCs/>
        </w:rPr>
        <w:t>P.</w:t>
      </w:r>
      <w:r w:rsidR="00070E64">
        <w:rPr>
          <w:i/>
          <w:iCs/>
        </w:rPr>
        <w:t> </w:t>
      </w:r>
      <w:r w:rsidR="00032791">
        <w:rPr>
          <w:i/>
          <w:iCs/>
        </w:rPr>
        <w:t xml:space="preserve">canaliculus </w:t>
      </w:r>
      <w:r w:rsidR="00032791">
        <w:t>establishment (</w:t>
      </w:r>
      <w:r w:rsidR="00032791">
        <w:fldChar w:fldCharType="begin"/>
      </w:r>
      <w:r w:rsidR="00032791">
        <w:instrText xml:space="preserve"> REF _Ref189518254 \h </w:instrText>
      </w:r>
      <w:r w:rsidR="00032791">
        <w:fldChar w:fldCharType="separate"/>
      </w:r>
      <w:r w:rsidR="00032791">
        <w:t xml:space="preserve">Map </w:t>
      </w:r>
      <w:r w:rsidR="00032791">
        <w:rPr>
          <w:noProof/>
        </w:rPr>
        <w:t>14</w:t>
      </w:r>
      <w:r w:rsidR="00032791">
        <w:fldChar w:fldCharType="end"/>
      </w:r>
      <w:r w:rsidR="00032791">
        <w:t>).</w:t>
      </w:r>
    </w:p>
    <w:p w14:paraId="73ED4318" w14:textId="19C73615" w:rsidR="00E55B67" w:rsidRPr="00846769" w:rsidRDefault="00E55B67" w:rsidP="00E55B67">
      <w:r w:rsidRPr="00846769">
        <w:rPr>
          <w:i/>
          <w:iCs/>
        </w:rPr>
        <w:t xml:space="preserve">Perna </w:t>
      </w:r>
      <w:proofErr w:type="spellStart"/>
      <w:r w:rsidRPr="00846769">
        <w:rPr>
          <w:i/>
          <w:iCs/>
        </w:rPr>
        <w:t>perna</w:t>
      </w:r>
      <w:proofErr w:type="spellEnd"/>
      <w:r w:rsidRPr="00846769">
        <w:rPr>
          <w:i/>
          <w:iCs/>
        </w:rPr>
        <w:t xml:space="preserve"> </w:t>
      </w:r>
      <w:r w:rsidRPr="00846769">
        <w:t>has a more complex geographic range</w:t>
      </w:r>
      <w:r w:rsidR="007A61DC">
        <w:t xml:space="preserve"> (</w:t>
      </w:r>
      <w:r w:rsidR="007A61DC">
        <w:fldChar w:fldCharType="begin"/>
      </w:r>
      <w:r w:rsidR="007A61DC">
        <w:instrText xml:space="preserve"> REF _Ref189518423 \h </w:instrText>
      </w:r>
      <w:r w:rsidR="007A61DC">
        <w:fldChar w:fldCharType="separate"/>
      </w:r>
      <w:r w:rsidR="007A61DC">
        <w:t xml:space="preserve">Map </w:t>
      </w:r>
      <w:r w:rsidR="007A61DC">
        <w:rPr>
          <w:noProof/>
        </w:rPr>
        <w:t>15</w:t>
      </w:r>
      <w:r w:rsidR="007A61DC">
        <w:fldChar w:fldCharType="end"/>
      </w:r>
      <w:r w:rsidR="007A61DC">
        <w:t>)</w:t>
      </w:r>
      <w:r w:rsidRPr="00846769">
        <w:t>.</w:t>
      </w:r>
      <w:r w:rsidR="0055107B" w:rsidRPr="00846769">
        <w:t xml:space="preserve"> It</w:t>
      </w:r>
      <w:r w:rsidRPr="00846769">
        <w:rPr>
          <w:i/>
          <w:iCs/>
        </w:rPr>
        <w:t xml:space="preserve"> </w:t>
      </w:r>
      <w:r w:rsidRPr="00846769">
        <w:t>is native to the western Indian Ocean (</w:t>
      </w:r>
      <w:r w:rsidR="0055107B" w:rsidRPr="00846769">
        <w:t>from the Bay of Bengal and the Red Sea</w:t>
      </w:r>
      <w:r w:rsidRPr="00846769">
        <w:t xml:space="preserve"> to the tip of South Africa and as far north as Congo on the Atlantic coast of Africa). </w:t>
      </w:r>
      <w:r w:rsidR="0055107B" w:rsidRPr="00846769">
        <w:t xml:space="preserve">The populations of </w:t>
      </w:r>
      <w:r w:rsidR="0055107B" w:rsidRPr="00846769">
        <w:rPr>
          <w:i/>
          <w:iCs/>
        </w:rPr>
        <w:t xml:space="preserve">P. perna </w:t>
      </w:r>
      <w:r w:rsidR="0055107B" w:rsidRPr="00846769">
        <w:t>in Brazil and north Africa is uncertain and are classified as cryptogenic. E</w:t>
      </w:r>
      <w:r w:rsidRPr="00846769">
        <w:t>stablished populations occur in the Caribbean, Venezuela</w:t>
      </w:r>
      <w:r w:rsidR="0055107B" w:rsidRPr="00846769">
        <w:t>,</w:t>
      </w:r>
      <w:r w:rsidRPr="00846769">
        <w:t xml:space="preserve"> and Israel. </w:t>
      </w:r>
      <w:r w:rsidR="0055107B" w:rsidRPr="00846769">
        <w:t xml:space="preserve">Genetic </w:t>
      </w:r>
      <w:r w:rsidR="0055107B" w:rsidRPr="004E6582">
        <w:t>research by Gardner et al. (2016) identified</w:t>
      </w:r>
      <w:r w:rsidR="0055107B" w:rsidRPr="00846769">
        <w:t xml:space="preserve"> that </w:t>
      </w:r>
      <w:r w:rsidR="0055107B" w:rsidRPr="00846769">
        <w:rPr>
          <w:i/>
          <w:iCs/>
        </w:rPr>
        <w:t xml:space="preserve">P. perna </w:t>
      </w:r>
      <w:r w:rsidR="0055107B" w:rsidRPr="00846769">
        <w:t xml:space="preserve">was introduced to southern India </w:t>
      </w:r>
      <w:r w:rsidR="0055107B" w:rsidRPr="00846769">
        <w:lastRenderedPageBreak/>
        <w:t>from the Oman region.</w:t>
      </w:r>
      <w:r w:rsidR="0055107B" w:rsidRPr="00846769">
        <w:rPr>
          <w:i/>
          <w:iCs/>
        </w:rPr>
        <w:t xml:space="preserve"> </w:t>
      </w:r>
      <w:r w:rsidR="0055107B" w:rsidRPr="00846769">
        <w:t xml:space="preserve">A population of </w:t>
      </w:r>
      <w:r w:rsidR="0055107B" w:rsidRPr="00846769">
        <w:rPr>
          <w:i/>
          <w:iCs/>
        </w:rPr>
        <w:t xml:space="preserve">P. perna </w:t>
      </w:r>
      <w:r w:rsidR="0055107B" w:rsidRPr="00846769">
        <w:t xml:space="preserve">was accidentally introduced to Tasman Bay, New Zealand, in 2007, </w:t>
      </w:r>
      <w:r w:rsidR="007D11A1">
        <w:t>but was subsequently eradicated</w:t>
      </w:r>
      <w:r w:rsidR="007D11A1" w:rsidRPr="00846769">
        <w:t xml:space="preserve"> </w:t>
      </w:r>
      <w:r w:rsidR="0055107B" w:rsidRPr="00846769">
        <w:t>(</w:t>
      </w:r>
      <w:r w:rsidR="0055107B" w:rsidRPr="005F7F32">
        <w:t>Hopkins et al. 2011). This species</w:t>
      </w:r>
      <w:r w:rsidR="0055107B" w:rsidRPr="00846769">
        <w:t xml:space="preserve"> has not yet been detected in the marine environment in </w:t>
      </w:r>
      <w:r w:rsidR="00530E03" w:rsidRPr="00846769">
        <w:t>Australia but</w:t>
      </w:r>
      <w:r w:rsidR="0055107B" w:rsidRPr="00846769">
        <w:t xml:space="preserve"> has been removed from vessels. </w:t>
      </w:r>
      <w:r w:rsidR="007A61DC">
        <w:t xml:space="preserve">Species range mapping from ABARES shows that the whole of Australia is potentially suitable for </w:t>
      </w:r>
      <w:r w:rsidR="007A61DC">
        <w:rPr>
          <w:i/>
          <w:iCs/>
        </w:rPr>
        <w:t xml:space="preserve">P. perna </w:t>
      </w:r>
      <w:r w:rsidR="007A61DC">
        <w:t>establishment</w:t>
      </w:r>
      <w:r w:rsidR="0021767E">
        <w:t>, however most of the Tiwi Islands, NT, and inlets of the Prince Regent National Park region, WA, are potentially unsuitable</w:t>
      </w:r>
      <w:r w:rsidR="007A61DC">
        <w:t xml:space="preserve"> (</w:t>
      </w:r>
      <w:r w:rsidR="007A61DC">
        <w:fldChar w:fldCharType="begin"/>
      </w:r>
      <w:r w:rsidR="007A61DC">
        <w:instrText xml:space="preserve"> REF _Ref189518571 \h </w:instrText>
      </w:r>
      <w:r w:rsidR="007A61DC">
        <w:fldChar w:fldCharType="separate"/>
      </w:r>
      <w:r w:rsidR="007A61DC">
        <w:t xml:space="preserve">Map </w:t>
      </w:r>
      <w:r w:rsidR="007A61DC">
        <w:rPr>
          <w:noProof/>
        </w:rPr>
        <w:t>16</w:t>
      </w:r>
      <w:r w:rsidR="007A61DC">
        <w:fldChar w:fldCharType="end"/>
      </w:r>
      <w:r w:rsidR="007A61DC">
        <w:t>).</w:t>
      </w:r>
    </w:p>
    <w:p w14:paraId="7033DA0A" w14:textId="0A7281E6" w:rsidR="00E55B67" w:rsidRPr="00846769" w:rsidRDefault="00E55B67" w:rsidP="00E55B67">
      <w:r w:rsidRPr="00846769">
        <w:rPr>
          <w:i/>
          <w:iCs/>
        </w:rPr>
        <w:t xml:space="preserve">Perna viridis </w:t>
      </w:r>
      <w:r w:rsidRPr="00846769">
        <w:t>is native to the Indo-Pacific, from India to Thailand and south through Indonesia. It has been introduced to several parts of the world, including China, Japan, Pacific islands, the Caribbean</w:t>
      </w:r>
      <w:r w:rsidR="003F65AA" w:rsidRPr="00846769">
        <w:t>,</w:t>
      </w:r>
      <w:r w:rsidRPr="00846769">
        <w:t xml:space="preserve"> and southeast USA. It has been recorded in Australia several times, but no </w:t>
      </w:r>
      <w:r w:rsidR="00033A70">
        <w:t xml:space="preserve">known </w:t>
      </w:r>
      <w:r w:rsidRPr="00846769">
        <w:t>established populations exist</w:t>
      </w:r>
      <w:r w:rsidR="007A61DC">
        <w:t xml:space="preserve"> (</w:t>
      </w:r>
      <w:r w:rsidR="007A61DC">
        <w:fldChar w:fldCharType="begin"/>
      </w:r>
      <w:r w:rsidR="007A61DC">
        <w:instrText xml:space="preserve"> REF _Ref189518611 \h </w:instrText>
      </w:r>
      <w:r w:rsidR="007A61DC">
        <w:fldChar w:fldCharType="separate"/>
      </w:r>
      <w:r w:rsidR="007A61DC">
        <w:t xml:space="preserve">Map </w:t>
      </w:r>
      <w:r w:rsidR="007A61DC">
        <w:rPr>
          <w:noProof/>
        </w:rPr>
        <w:t>17</w:t>
      </w:r>
      <w:r w:rsidR="007A61DC">
        <w:fldChar w:fldCharType="end"/>
      </w:r>
      <w:r w:rsidR="007A61DC">
        <w:t>)</w:t>
      </w:r>
      <w:r w:rsidRPr="00846769">
        <w:t xml:space="preserve">. </w:t>
      </w:r>
      <w:r w:rsidRPr="00846769">
        <w:rPr>
          <w:i/>
          <w:iCs/>
        </w:rPr>
        <w:t xml:space="preserve">Perna viridis </w:t>
      </w:r>
      <w:r w:rsidRPr="00846769">
        <w:t xml:space="preserve">are regularly found fouling </w:t>
      </w:r>
      <w:r w:rsidR="00160093">
        <w:t>vessels</w:t>
      </w:r>
      <w:r w:rsidR="00160093" w:rsidRPr="00846769">
        <w:t xml:space="preserve"> </w:t>
      </w:r>
      <w:r w:rsidRPr="00846769">
        <w:t xml:space="preserve">arriving </w:t>
      </w:r>
      <w:r w:rsidR="00033A70">
        <w:t xml:space="preserve">in Australia </w:t>
      </w:r>
      <w:r w:rsidRPr="00846769">
        <w:t xml:space="preserve">from Asia. Some specimens have also been recorded on driftwood, for example on Mornington Island, Queensland, and around the north coast of Australia. A small population briefly appeared in Cairns in </w:t>
      </w:r>
      <w:r w:rsidR="007A61DC" w:rsidRPr="00846769">
        <w:t>2001,</w:t>
      </w:r>
      <w:r w:rsidRPr="00846769">
        <w:t xml:space="preserve"> but the infestation died out </w:t>
      </w:r>
      <w:r w:rsidRPr="00634A79">
        <w:t>naturally (Stafford et al. 2007)</w:t>
      </w:r>
      <w:r w:rsidR="00DA2417">
        <w:t>.</w:t>
      </w:r>
      <w:r w:rsidR="00033A70">
        <w:t xml:space="preserve"> In 2024, some </w:t>
      </w:r>
      <w:r w:rsidR="00033A70">
        <w:rPr>
          <w:i/>
          <w:iCs/>
        </w:rPr>
        <w:t xml:space="preserve">P. viridis </w:t>
      </w:r>
      <w:r w:rsidR="00033A70">
        <w:t>were detected in Weipa, North Queensland</w:t>
      </w:r>
      <w:r w:rsidR="00DA2417">
        <w:t>, and investigations on the Weipa detection are ongoing</w:t>
      </w:r>
      <w:r w:rsidR="00033A70">
        <w:t xml:space="preserve"> (Queensland Government 2025).</w:t>
      </w:r>
      <w:r w:rsidRPr="00634A79">
        <w:t xml:space="preserve"> </w:t>
      </w:r>
      <w:r w:rsidR="007A61DC" w:rsidRPr="00634A79">
        <w:t>Species</w:t>
      </w:r>
      <w:r w:rsidR="007A61DC">
        <w:t xml:space="preserve"> range mapping from ABARES shows that the northern half of Australia, from Shark Bay in WA to Port Macquarie in NSW, is potentially suitable for </w:t>
      </w:r>
      <w:r w:rsidR="007A61DC">
        <w:rPr>
          <w:i/>
          <w:iCs/>
        </w:rPr>
        <w:t xml:space="preserve">P. viridis </w:t>
      </w:r>
      <w:r w:rsidR="007A61DC">
        <w:t>establishment (</w:t>
      </w:r>
      <w:r w:rsidR="007A61DC">
        <w:fldChar w:fldCharType="begin"/>
      </w:r>
      <w:r w:rsidR="007A61DC">
        <w:instrText xml:space="preserve"> REF _Ref189518760 \h </w:instrText>
      </w:r>
      <w:r w:rsidR="007A61DC">
        <w:fldChar w:fldCharType="separate"/>
      </w:r>
      <w:r w:rsidR="007A61DC">
        <w:t xml:space="preserve">Map </w:t>
      </w:r>
      <w:r w:rsidR="007A61DC">
        <w:rPr>
          <w:noProof/>
        </w:rPr>
        <w:t>18</w:t>
      </w:r>
      <w:r w:rsidR="007A61DC">
        <w:fldChar w:fldCharType="end"/>
      </w:r>
      <w:r w:rsidR="007A61DC">
        <w:t>).</w:t>
      </w:r>
    </w:p>
    <w:p w14:paraId="62BFA611" w14:textId="62806CCD" w:rsidR="008E057A" w:rsidRPr="00A04E26" w:rsidRDefault="008E057A" w:rsidP="008E057A">
      <w:pPr>
        <w:pStyle w:val="Caption"/>
        <w:rPr>
          <w:rFonts w:asciiTheme="minorHAnsi" w:hAnsiTheme="minorHAnsi"/>
          <w:i/>
          <w:iCs/>
        </w:rPr>
      </w:pPr>
      <w:bookmarkStart w:id="674" w:name="_Ref189518101"/>
      <w:bookmarkStart w:id="675" w:name="_Toc191999567"/>
      <w:r>
        <w:t xml:space="preserve">Map </w:t>
      </w:r>
      <w:r>
        <w:fldChar w:fldCharType="begin"/>
      </w:r>
      <w:r>
        <w:instrText xml:space="preserve"> SEQ Map \* ARABIC </w:instrText>
      </w:r>
      <w:r>
        <w:fldChar w:fldCharType="separate"/>
      </w:r>
      <w:r>
        <w:rPr>
          <w:noProof/>
        </w:rPr>
        <w:t>13</w:t>
      </w:r>
      <w:r>
        <w:fldChar w:fldCharType="end"/>
      </w:r>
      <w:bookmarkEnd w:id="674"/>
      <w:r>
        <w:t xml:space="preserve"> </w:t>
      </w:r>
      <w:r w:rsidRPr="00846769">
        <w:t xml:space="preserve">Known global distribution of </w:t>
      </w:r>
      <w:r w:rsidRPr="00846769">
        <w:rPr>
          <w:rStyle w:val="Emphasis"/>
        </w:rPr>
        <w:t>Perna canaliculus</w:t>
      </w:r>
      <w:bookmarkEnd w:id="675"/>
    </w:p>
    <w:p w14:paraId="1B83410C" w14:textId="35304063" w:rsidR="00E55B67" w:rsidRPr="00846769" w:rsidRDefault="004E5649" w:rsidP="00E55B67">
      <w:r w:rsidRPr="00846769">
        <w:rPr>
          <w:noProof/>
        </w:rPr>
        <w:drawing>
          <wp:inline distT="0" distB="0" distL="0" distR="0" wp14:anchorId="1722ED69" wp14:editId="0CF4A575">
            <wp:extent cx="5619750" cy="2773141"/>
            <wp:effectExtent l="0" t="0" r="0" b="8255"/>
            <wp:docPr id="944329529" name="Picture 6" descr="Greyscale world map for the known global distribution of Perna canaliculus. Distribution is shown in blue circles and yellow diam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29529" name="Picture 6" descr="Greyscale world map for the known global distribution of Perna canaliculus. Distribution is shown in blue circles and yellow diamonds. "/>
                    <pic:cNvPicPr/>
                  </pic:nvPicPr>
                  <pic:blipFill>
                    <a:blip r:embed="rId259" cstate="email">
                      <a:extLst>
                        <a:ext uri="{28A0092B-C50C-407E-A947-70E740481C1C}">
                          <a14:useLocalDpi xmlns:a14="http://schemas.microsoft.com/office/drawing/2010/main" val="0"/>
                        </a:ext>
                      </a:extLst>
                    </a:blip>
                    <a:stretch>
                      <a:fillRect/>
                    </a:stretch>
                  </pic:blipFill>
                  <pic:spPr>
                    <a:xfrm>
                      <a:off x="0" y="0"/>
                      <a:ext cx="5622137" cy="2774319"/>
                    </a:xfrm>
                    <a:prstGeom prst="rect">
                      <a:avLst/>
                    </a:prstGeom>
                  </pic:spPr>
                </pic:pic>
              </a:graphicData>
            </a:graphic>
          </wp:inline>
        </w:drawing>
      </w:r>
    </w:p>
    <w:p w14:paraId="1C94DB8C" w14:textId="1BE77824" w:rsidR="00611CCC" w:rsidRPr="00846769" w:rsidRDefault="00E55B67" w:rsidP="00A04E26">
      <w:pPr>
        <w:pStyle w:val="FigureTableNoteSource"/>
      </w:pPr>
      <w:r w:rsidRPr="00846769">
        <w:rPr>
          <w:rStyle w:val="Emphasis"/>
          <w:b/>
          <w:bCs/>
          <w:i w:val="0"/>
          <w:iCs w:val="0"/>
        </w:rPr>
        <w:t>Data source:</w:t>
      </w:r>
      <w:r w:rsidRPr="00846769">
        <w:rPr>
          <w:rStyle w:val="Emphasis"/>
        </w:rPr>
        <w:t xml:space="preserve"> </w:t>
      </w:r>
      <w:r w:rsidRPr="00846769">
        <w:t>GBIF.org (2</w:t>
      </w:r>
      <w:r w:rsidR="00340E51" w:rsidRPr="00846769">
        <w:t>6</w:t>
      </w:r>
      <w:r w:rsidRPr="00846769">
        <w:t xml:space="preserve"> May 202</w:t>
      </w:r>
      <w:r w:rsidR="00340E51" w:rsidRPr="00846769">
        <w:t>4</w:t>
      </w:r>
      <w:r w:rsidRPr="00846769">
        <w:t>)</w:t>
      </w:r>
      <w:r w:rsidR="00340E51" w:rsidRPr="00846769">
        <w:t xml:space="preserve">. </w:t>
      </w:r>
      <w:r w:rsidRPr="00846769">
        <w:t>GBIF Occurrence Download</w:t>
      </w:r>
      <w:r w:rsidR="00340E51" w:rsidRPr="00846769">
        <w:t>:</w:t>
      </w:r>
      <w:r w:rsidRPr="00846769">
        <w:t> </w:t>
      </w:r>
      <w:hyperlink r:id="rId260" w:history="1">
        <w:r w:rsidR="00F95AEC" w:rsidRPr="00E642E2">
          <w:rPr>
            <w:rStyle w:val="Hyperlink"/>
            <w:sz w:val="18"/>
          </w:rPr>
          <w:t>https://doi.org/10.15468/dl.aeuyf7</w:t>
        </w:r>
      </w:hyperlink>
      <w:r w:rsidR="00F95AEC">
        <w:t xml:space="preserve"> </w:t>
      </w:r>
    </w:p>
    <w:p w14:paraId="2D6D5FB3" w14:textId="1A55088C" w:rsidR="00F95AEC" w:rsidRDefault="00F95AEC" w:rsidP="00F95AEC">
      <w:pPr>
        <w:pStyle w:val="Caption"/>
      </w:pPr>
      <w:bookmarkStart w:id="676" w:name="_Ref189518254"/>
      <w:bookmarkStart w:id="677" w:name="_Toc191999568"/>
      <w:r>
        <w:lastRenderedPageBreak/>
        <w:t xml:space="preserve">Map </w:t>
      </w:r>
      <w:r>
        <w:fldChar w:fldCharType="begin"/>
      </w:r>
      <w:r>
        <w:instrText xml:space="preserve"> SEQ Map \* ARABIC </w:instrText>
      </w:r>
      <w:r>
        <w:fldChar w:fldCharType="separate"/>
      </w:r>
      <w:r>
        <w:rPr>
          <w:noProof/>
        </w:rPr>
        <w:t>14</w:t>
      </w:r>
      <w:r>
        <w:fldChar w:fldCharType="end"/>
      </w:r>
      <w:bookmarkEnd w:id="676"/>
      <w:r w:rsidR="00032791">
        <w:t xml:space="preserve"> Maximum potential range of </w:t>
      </w:r>
      <w:r w:rsidR="00032791">
        <w:rPr>
          <w:i/>
          <w:iCs/>
        </w:rPr>
        <w:t xml:space="preserve">Perna canaliculus </w:t>
      </w:r>
      <w:r w:rsidR="00032791">
        <w:t>in Australian waters, indicating areas of potential suitability in red</w:t>
      </w:r>
      <w:bookmarkEnd w:id="677"/>
    </w:p>
    <w:p w14:paraId="60991D81" w14:textId="5FF77876" w:rsidR="00F95AEC" w:rsidRDefault="00F95AEC" w:rsidP="008E057A">
      <w:pPr>
        <w:pStyle w:val="Caption"/>
      </w:pPr>
      <w:r>
        <w:rPr>
          <w:noProof/>
        </w:rPr>
        <w:drawing>
          <wp:inline distT="0" distB="0" distL="0" distR="0" wp14:anchorId="33997AFE" wp14:editId="480F45C6">
            <wp:extent cx="5581650" cy="3886200"/>
            <wp:effectExtent l="0" t="0" r="0" b="0"/>
            <wp:docPr id="522703787" name="Picture 8" descr="Red map of Australia showing the potential range for Perna canalic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03787" name="Picture 8" descr="Red map of Australia showing the potential range for Perna canaliculus."/>
                    <pic:cNvPicPr>
                      <a:picLocks noChangeAspect="1" noChangeArrowheads="1"/>
                    </pic:cNvPicPr>
                  </pic:nvPicPr>
                  <pic:blipFill rotWithShape="1">
                    <a:blip r:embed="rId261" cstate="email">
                      <a:extLst>
                        <a:ext uri="{28A0092B-C50C-407E-A947-70E740481C1C}">
                          <a14:useLocalDpi xmlns:a14="http://schemas.microsoft.com/office/drawing/2010/main" val="0"/>
                        </a:ext>
                      </a:extLst>
                    </a:blip>
                    <a:srcRect/>
                    <a:stretch/>
                  </pic:blipFill>
                  <pic:spPr bwMode="auto">
                    <a:xfrm>
                      <a:off x="0" y="0"/>
                      <a:ext cx="5581650" cy="3886200"/>
                    </a:xfrm>
                    <a:prstGeom prst="rect">
                      <a:avLst/>
                    </a:prstGeom>
                    <a:noFill/>
                    <a:ln>
                      <a:noFill/>
                    </a:ln>
                    <a:extLst>
                      <a:ext uri="{53640926-AAD7-44D8-BBD7-CCE9431645EC}">
                        <a14:shadowObscured xmlns:a14="http://schemas.microsoft.com/office/drawing/2010/main"/>
                      </a:ext>
                    </a:extLst>
                  </pic:spPr>
                </pic:pic>
              </a:graphicData>
            </a:graphic>
          </wp:inline>
        </w:drawing>
      </w:r>
    </w:p>
    <w:p w14:paraId="7162306F" w14:textId="67A8841B" w:rsidR="00F95AEC" w:rsidRPr="00F95AEC" w:rsidRDefault="00032791" w:rsidP="00A04E26">
      <w:pPr>
        <w:pStyle w:val="FigureTableNoteSource"/>
      </w:pPr>
      <w:r w:rsidRPr="00846769">
        <w:rPr>
          <w:rStyle w:val="Emphasis"/>
          <w:b/>
          <w:bCs/>
          <w:i w:val="0"/>
          <w:iCs w:val="0"/>
        </w:rPr>
        <w:t>Data source</w:t>
      </w:r>
      <w:r w:rsidRPr="00846769">
        <w:rPr>
          <w:rStyle w:val="Emphasis"/>
          <w:i w:val="0"/>
          <w:iCs w:val="0"/>
        </w:rPr>
        <w:t>:</w:t>
      </w:r>
      <w:r w:rsidRPr="00846769">
        <w:rPr>
          <w:rStyle w:val="Emphasis"/>
        </w:rPr>
        <w:t xml:space="preserve"> </w:t>
      </w:r>
      <w:r>
        <w:rPr>
          <w:rStyle w:val="Emphasis"/>
          <w:i w:val="0"/>
          <w:iCs w:val="0"/>
        </w:rPr>
        <w:t>Australian Bureau of Agricultural and Resource Economics and Sciences (</w:t>
      </w:r>
      <w:r>
        <w:t>ABARES) 2021</w:t>
      </w:r>
    </w:p>
    <w:p w14:paraId="391781BB" w14:textId="5CC63D3D" w:rsidR="00F95AEC" w:rsidRDefault="00F95AEC" w:rsidP="00F95AEC">
      <w:pPr>
        <w:pStyle w:val="Caption"/>
      </w:pPr>
      <w:bookmarkStart w:id="678" w:name="_Ref189518423"/>
      <w:bookmarkStart w:id="679" w:name="_Toc191999569"/>
      <w:r>
        <w:t xml:space="preserve">Map </w:t>
      </w:r>
      <w:r>
        <w:fldChar w:fldCharType="begin"/>
      </w:r>
      <w:r>
        <w:instrText xml:space="preserve"> SEQ Map \* ARABIC </w:instrText>
      </w:r>
      <w:r>
        <w:fldChar w:fldCharType="separate"/>
      </w:r>
      <w:r>
        <w:rPr>
          <w:noProof/>
        </w:rPr>
        <w:t>15</w:t>
      </w:r>
      <w:r>
        <w:fldChar w:fldCharType="end"/>
      </w:r>
      <w:bookmarkEnd w:id="678"/>
      <w:r>
        <w:t xml:space="preserve"> </w:t>
      </w:r>
      <w:r w:rsidRPr="00987F71">
        <w:t xml:space="preserve">Known global distribution of </w:t>
      </w:r>
      <w:r w:rsidRPr="00A04E26">
        <w:rPr>
          <w:i/>
          <w:iCs/>
        </w:rPr>
        <w:t xml:space="preserve">Perna </w:t>
      </w:r>
      <w:proofErr w:type="spellStart"/>
      <w:r w:rsidRPr="00A04E26">
        <w:rPr>
          <w:i/>
          <w:iCs/>
        </w:rPr>
        <w:t>perna</w:t>
      </w:r>
      <w:bookmarkEnd w:id="679"/>
      <w:proofErr w:type="spellEnd"/>
    </w:p>
    <w:p w14:paraId="55533961" w14:textId="5179DB2E" w:rsidR="00E55B67" w:rsidRPr="00846769" w:rsidRDefault="00BA1E65" w:rsidP="00E55B67">
      <w:r w:rsidRPr="00846769">
        <w:rPr>
          <w:noProof/>
        </w:rPr>
        <w:drawing>
          <wp:inline distT="0" distB="0" distL="0" distR="0" wp14:anchorId="4ADA48AE" wp14:editId="6985AB73">
            <wp:extent cx="5534025" cy="2747393"/>
            <wp:effectExtent l="0" t="0" r="0" b="0"/>
            <wp:docPr id="874352916" name="Picture 8" descr="Greyscale world map for the known global distribution of Perna perna. Distribution is shown in blue circles, green squares, red triangles and yellow diam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52916" name="Picture 8" descr="Greyscale world map for the known global distribution of Perna perna. Distribution is shown in blue circles, green squares, red triangles and yellow diamonds. "/>
                    <pic:cNvPicPr/>
                  </pic:nvPicPr>
                  <pic:blipFill>
                    <a:blip r:embed="rId262" cstate="email">
                      <a:extLst>
                        <a:ext uri="{28A0092B-C50C-407E-A947-70E740481C1C}">
                          <a14:useLocalDpi xmlns:a14="http://schemas.microsoft.com/office/drawing/2010/main" val="0"/>
                        </a:ext>
                      </a:extLst>
                    </a:blip>
                    <a:stretch>
                      <a:fillRect/>
                    </a:stretch>
                  </pic:blipFill>
                  <pic:spPr>
                    <a:xfrm>
                      <a:off x="0" y="0"/>
                      <a:ext cx="5539053" cy="2749889"/>
                    </a:xfrm>
                    <a:prstGeom prst="rect">
                      <a:avLst/>
                    </a:prstGeom>
                  </pic:spPr>
                </pic:pic>
              </a:graphicData>
            </a:graphic>
          </wp:inline>
        </w:drawing>
      </w:r>
    </w:p>
    <w:p w14:paraId="52A4A423" w14:textId="7AFDA015" w:rsidR="00611CCC" w:rsidRPr="00846769" w:rsidRDefault="00E55B67" w:rsidP="00A04E26">
      <w:pPr>
        <w:pStyle w:val="FigureTableNoteSource"/>
      </w:pPr>
      <w:r w:rsidRPr="00846769">
        <w:rPr>
          <w:rStyle w:val="Emphasis"/>
          <w:b/>
          <w:bCs/>
          <w:i w:val="0"/>
          <w:iCs w:val="0"/>
        </w:rPr>
        <w:t>Data source:</w:t>
      </w:r>
      <w:r w:rsidRPr="00846769">
        <w:rPr>
          <w:rStyle w:val="Emphasis"/>
        </w:rPr>
        <w:t xml:space="preserve"> </w:t>
      </w:r>
      <w:r w:rsidRPr="00846769">
        <w:t>GBIF.org (2</w:t>
      </w:r>
      <w:r w:rsidR="00340E51" w:rsidRPr="00846769">
        <w:t>6</w:t>
      </w:r>
      <w:r w:rsidRPr="00846769">
        <w:t xml:space="preserve"> May 202</w:t>
      </w:r>
      <w:r w:rsidR="00340E51" w:rsidRPr="00846769">
        <w:t>4).</w:t>
      </w:r>
      <w:r w:rsidRPr="00846769">
        <w:t xml:space="preserve"> GBIF Occurrence Download</w:t>
      </w:r>
      <w:r w:rsidR="00340E51" w:rsidRPr="00846769">
        <w:t xml:space="preserve">: </w:t>
      </w:r>
      <w:hyperlink r:id="rId263" w:history="1">
        <w:r w:rsidR="00F95AEC" w:rsidRPr="00E642E2">
          <w:rPr>
            <w:rStyle w:val="Hyperlink"/>
            <w:sz w:val="18"/>
          </w:rPr>
          <w:t>https://doi.org/10.15468/dl.uajk3x</w:t>
        </w:r>
      </w:hyperlink>
      <w:r w:rsidR="00F95AEC">
        <w:t xml:space="preserve"> </w:t>
      </w:r>
    </w:p>
    <w:p w14:paraId="1485AE92" w14:textId="5A35B675" w:rsidR="00F95AEC" w:rsidRDefault="00F95AEC" w:rsidP="00F95AEC">
      <w:pPr>
        <w:pStyle w:val="Caption"/>
      </w:pPr>
      <w:bookmarkStart w:id="680" w:name="_Ref189518571"/>
      <w:bookmarkStart w:id="681" w:name="_Toc191999570"/>
      <w:r>
        <w:lastRenderedPageBreak/>
        <w:t xml:space="preserve">Map </w:t>
      </w:r>
      <w:r>
        <w:fldChar w:fldCharType="begin"/>
      </w:r>
      <w:r>
        <w:instrText xml:space="preserve"> SEQ Map \* ARABIC </w:instrText>
      </w:r>
      <w:r>
        <w:fldChar w:fldCharType="separate"/>
      </w:r>
      <w:r>
        <w:rPr>
          <w:noProof/>
        </w:rPr>
        <w:t>16</w:t>
      </w:r>
      <w:r>
        <w:fldChar w:fldCharType="end"/>
      </w:r>
      <w:bookmarkEnd w:id="680"/>
      <w:r w:rsidR="007A61DC">
        <w:t xml:space="preserve"> Maximum potential range of </w:t>
      </w:r>
      <w:r w:rsidR="007A61DC">
        <w:rPr>
          <w:i/>
          <w:iCs/>
        </w:rPr>
        <w:t xml:space="preserve">Perna </w:t>
      </w:r>
      <w:proofErr w:type="spellStart"/>
      <w:r w:rsidR="007A61DC">
        <w:rPr>
          <w:i/>
          <w:iCs/>
        </w:rPr>
        <w:t>perna</w:t>
      </w:r>
      <w:proofErr w:type="spellEnd"/>
      <w:r w:rsidR="007A61DC">
        <w:rPr>
          <w:i/>
          <w:iCs/>
        </w:rPr>
        <w:t xml:space="preserve"> </w:t>
      </w:r>
      <w:r w:rsidR="007A61DC">
        <w:t>in Australian waters, indicating areas of potential suitability in red, and potential unsuitability in green</w:t>
      </w:r>
      <w:bookmarkEnd w:id="681"/>
    </w:p>
    <w:p w14:paraId="69A35C3E" w14:textId="6646F98F" w:rsidR="00F95AEC" w:rsidRDefault="00F95AEC" w:rsidP="008E057A">
      <w:pPr>
        <w:pStyle w:val="Caption"/>
      </w:pPr>
      <w:r>
        <w:rPr>
          <w:noProof/>
        </w:rPr>
        <w:drawing>
          <wp:inline distT="0" distB="0" distL="0" distR="0" wp14:anchorId="44EB18C6" wp14:editId="221061D3">
            <wp:extent cx="5572125" cy="3886200"/>
            <wp:effectExtent l="0" t="0" r="9525" b="0"/>
            <wp:docPr id="246713854" name="Picture 9" descr="Red and green map of Australia showing the potential range for Perna vir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13854" name="Picture 9" descr="Red and green map of Australia showing the potential range for Perna viridis."/>
                    <pic:cNvPicPr>
                      <a:picLocks noChangeAspect="1" noChangeArrowheads="1"/>
                    </pic:cNvPicPr>
                  </pic:nvPicPr>
                  <pic:blipFill rotWithShape="1">
                    <a:blip r:embed="rId264" cstate="email">
                      <a:extLst>
                        <a:ext uri="{28A0092B-C50C-407E-A947-70E740481C1C}">
                          <a14:useLocalDpi xmlns:a14="http://schemas.microsoft.com/office/drawing/2010/main" val="0"/>
                        </a:ext>
                      </a:extLst>
                    </a:blip>
                    <a:srcRect/>
                    <a:stretch/>
                  </pic:blipFill>
                  <pic:spPr bwMode="auto">
                    <a:xfrm>
                      <a:off x="0" y="0"/>
                      <a:ext cx="5572125" cy="3886200"/>
                    </a:xfrm>
                    <a:prstGeom prst="rect">
                      <a:avLst/>
                    </a:prstGeom>
                    <a:noFill/>
                    <a:ln>
                      <a:noFill/>
                    </a:ln>
                    <a:extLst>
                      <a:ext uri="{53640926-AAD7-44D8-BBD7-CCE9431645EC}">
                        <a14:shadowObscured xmlns:a14="http://schemas.microsoft.com/office/drawing/2010/main"/>
                      </a:ext>
                    </a:extLst>
                  </pic:spPr>
                </pic:pic>
              </a:graphicData>
            </a:graphic>
          </wp:inline>
        </w:drawing>
      </w:r>
    </w:p>
    <w:p w14:paraId="0FE4B2E7" w14:textId="045CE054" w:rsidR="00F95AEC" w:rsidRPr="00F95AEC" w:rsidRDefault="007A61DC" w:rsidP="00A04E26">
      <w:pPr>
        <w:pStyle w:val="FigureTableNoteSource"/>
      </w:pPr>
      <w:r w:rsidRPr="00846769">
        <w:rPr>
          <w:rStyle w:val="Emphasis"/>
          <w:b/>
          <w:bCs/>
          <w:i w:val="0"/>
          <w:iCs w:val="0"/>
        </w:rPr>
        <w:t>Data source</w:t>
      </w:r>
      <w:r w:rsidRPr="00846769">
        <w:rPr>
          <w:rStyle w:val="Emphasis"/>
          <w:i w:val="0"/>
          <w:iCs w:val="0"/>
        </w:rPr>
        <w:t>:</w:t>
      </w:r>
      <w:r w:rsidRPr="00846769">
        <w:rPr>
          <w:rStyle w:val="Emphasis"/>
        </w:rPr>
        <w:t xml:space="preserve"> </w:t>
      </w:r>
      <w:r>
        <w:rPr>
          <w:rStyle w:val="Emphasis"/>
          <w:i w:val="0"/>
          <w:iCs w:val="0"/>
        </w:rPr>
        <w:t>Australian Bureau of Agricultural and Resource Economics and Sciences (</w:t>
      </w:r>
      <w:r>
        <w:t>ABARES) 2021</w:t>
      </w:r>
    </w:p>
    <w:p w14:paraId="0BD3E73B" w14:textId="19129C37" w:rsidR="00F95AEC" w:rsidRDefault="00F95AEC" w:rsidP="00F95AEC">
      <w:pPr>
        <w:pStyle w:val="Caption"/>
      </w:pPr>
      <w:bookmarkStart w:id="682" w:name="_Ref189518611"/>
      <w:bookmarkStart w:id="683" w:name="_Toc191999571"/>
      <w:r>
        <w:t xml:space="preserve">Map </w:t>
      </w:r>
      <w:r>
        <w:fldChar w:fldCharType="begin"/>
      </w:r>
      <w:r>
        <w:instrText xml:space="preserve"> SEQ Map \* ARABIC </w:instrText>
      </w:r>
      <w:r>
        <w:fldChar w:fldCharType="separate"/>
      </w:r>
      <w:r>
        <w:rPr>
          <w:noProof/>
        </w:rPr>
        <w:t>17</w:t>
      </w:r>
      <w:r>
        <w:fldChar w:fldCharType="end"/>
      </w:r>
      <w:bookmarkEnd w:id="682"/>
      <w:r>
        <w:t xml:space="preserve"> </w:t>
      </w:r>
      <w:r w:rsidRPr="00846769">
        <w:t>Known global distribution of</w:t>
      </w:r>
      <w:r w:rsidRPr="00846769">
        <w:rPr>
          <w:i/>
          <w:iCs/>
        </w:rPr>
        <w:t xml:space="preserve"> Perna viridis</w:t>
      </w:r>
      <w:bookmarkEnd w:id="683"/>
    </w:p>
    <w:p w14:paraId="4A5E181B" w14:textId="4D5D54B2" w:rsidR="00E55B67" w:rsidRPr="00846769" w:rsidRDefault="004E5649" w:rsidP="00E55B67">
      <w:r w:rsidRPr="00846769">
        <w:rPr>
          <w:noProof/>
        </w:rPr>
        <w:drawing>
          <wp:inline distT="0" distB="0" distL="0" distR="0" wp14:anchorId="10870A48" wp14:editId="0C2928D6">
            <wp:extent cx="5590844" cy="2776544"/>
            <wp:effectExtent l="0" t="0" r="0" b="5080"/>
            <wp:docPr id="640008554" name="Picture 7" descr="Greyscale world map for the known global distribution of Perna viridis. Distribution is shown in blue circles, green squares, red triangles and yellow diam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08554" name="Picture 7" descr="Greyscale world map for the known global distribution of Perna viridis. Distribution is shown in blue circles, green squares, red triangles and yellow diamonds. "/>
                    <pic:cNvPicPr/>
                  </pic:nvPicPr>
                  <pic:blipFill>
                    <a:blip r:embed="rId265" cstate="email">
                      <a:extLst>
                        <a:ext uri="{28A0092B-C50C-407E-A947-70E740481C1C}">
                          <a14:useLocalDpi xmlns:a14="http://schemas.microsoft.com/office/drawing/2010/main" val="0"/>
                        </a:ext>
                      </a:extLst>
                    </a:blip>
                    <a:stretch>
                      <a:fillRect/>
                    </a:stretch>
                  </pic:blipFill>
                  <pic:spPr>
                    <a:xfrm>
                      <a:off x="0" y="0"/>
                      <a:ext cx="5590844" cy="2776544"/>
                    </a:xfrm>
                    <a:prstGeom prst="rect">
                      <a:avLst/>
                    </a:prstGeom>
                  </pic:spPr>
                </pic:pic>
              </a:graphicData>
            </a:graphic>
          </wp:inline>
        </w:drawing>
      </w:r>
    </w:p>
    <w:p w14:paraId="16CFB2A1" w14:textId="02D96D10" w:rsidR="00E55B67" w:rsidRDefault="00E55B67" w:rsidP="00E55B67">
      <w:pPr>
        <w:pStyle w:val="FigureTableNoteSource"/>
      </w:pPr>
      <w:r w:rsidRPr="00846769">
        <w:rPr>
          <w:rStyle w:val="Emphasis"/>
          <w:b/>
          <w:bCs/>
          <w:i w:val="0"/>
          <w:iCs w:val="0"/>
        </w:rPr>
        <w:t>Data sour</w:t>
      </w:r>
      <w:r w:rsidRPr="00846769">
        <w:rPr>
          <w:b/>
          <w:bCs/>
          <w:i/>
          <w:iCs/>
        </w:rPr>
        <w:t>ce:</w:t>
      </w:r>
      <w:r w:rsidRPr="00846769">
        <w:t xml:space="preserve"> GBIF.org (2</w:t>
      </w:r>
      <w:r w:rsidR="00340E51" w:rsidRPr="00846769">
        <w:t>6</w:t>
      </w:r>
      <w:r w:rsidRPr="00846769">
        <w:t xml:space="preserve"> May 202</w:t>
      </w:r>
      <w:r w:rsidR="00340E51" w:rsidRPr="00846769">
        <w:t>4</w:t>
      </w:r>
      <w:r w:rsidRPr="00846769">
        <w:t>)</w:t>
      </w:r>
      <w:r w:rsidR="00340E51" w:rsidRPr="00846769">
        <w:t xml:space="preserve">. </w:t>
      </w:r>
      <w:r w:rsidRPr="00846769">
        <w:t>GBIF Occurrence Download</w:t>
      </w:r>
      <w:r w:rsidR="00340E51" w:rsidRPr="00846769">
        <w:t xml:space="preserve">: </w:t>
      </w:r>
      <w:hyperlink r:id="rId266" w:history="1">
        <w:r w:rsidR="00F95AEC" w:rsidRPr="00E642E2">
          <w:rPr>
            <w:rStyle w:val="Hyperlink"/>
            <w:sz w:val="18"/>
          </w:rPr>
          <w:t>https://doi.org/10.15468/dl.y2b5sf</w:t>
        </w:r>
      </w:hyperlink>
      <w:r w:rsidR="00F95AEC">
        <w:t xml:space="preserve"> </w:t>
      </w:r>
    </w:p>
    <w:p w14:paraId="0F36D152" w14:textId="3EEE860F" w:rsidR="00F95AEC" w:rsidRDefault="00F95AEC" w:rsidP="00F95AEC">
      <w:pPr>
        <w:pStyle w:val="Caption"/>
      </w:pPr>
      <w:bookmarkStart w:id="684" w:name="_Ref189518760"/>
      <w:bookmarkStart w:id="685" w:name="_Toc191999572"/>
      <w:r>
        <w:lastRenderedPageBreak/>
        <w:t xml:space="preserve">Map </w:t>
      </w:r>
      <w:r>
        <w:fldChar w:fldCharType="begin"/>
      </w:r>
      <w:r>
        <w:instrText xml:space="preserve"> SEQ Map \* ARABIC </w:instrText>
      </w:r>
      <w:r>
        <w:fldChar w:fldCharType="separate"/>
      </w:r>
      <w:r>
        <w:rPr>
          <w:noProof/>
        </w:rPr>
        <w:t>18</w:t>
      </w:r>
      <w:r>
        <w:fldChar w:fldCharType="end"/>
      </w:r>
      <w:bookmarkEnd w:id="684"/>
      <w:r w:rsidR="007A61DC">
        <w:t xml:space="preserve"> Maximum potential range of </w:t>
      </w:r>
      <w:r w:rsidR="007A61DC">
        <w:rPr>
          <w:i/>
          <w:iCs/>
        </w:rPr>
        <w:t xml:space="preserve">Perna viridis </w:t>
      </w:r>
      <w:r w:rsidR="007A61DC">
        <w:t>in Australian waters, indicating areas of potential suitability in red, and potential unsuitability in green</w:t>
      </w:r>
      <w:bookmarkEnd w:id="685"/>
    </w:p>
    <w:p w14:paraId="1ACB3349" w14:textId="4D151DBF" w:rsidR="00F95AEC" w:rsidRDefault="00F95AEC" w:rsidP="00F95AEC">
      <w:r>
        <w:rPr>
          <w:noProof/>
        </w:rPr>
        <w:drawing>
          <wp:inline distT="0" distB="0" distL="0" distR="0" wp14:anchorId="5CD6B881" wp14:editId="3670458E">
            <wp:extent cx="5572125" cy="3886200"/>
            <wp:effectExtent l="0" t="0" r="9525" b="0"/>
            <wp:docPr id="127707520" name="Picture 10" descr="Red and green map of Australia showing the potential range for Perna vir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7520" name="Picture 10" descr="Red and green map of Australia showing the potential range for Perna viridis"/>
                    <pic:cNvPicPr>
                      <a:picLocks noChangeAspect="1" noChangeArrowheads="1"/>
                    </pic:cNvPicPr>
                  </pic:nvPicPr>
                  <pic:blipFill rotWithShape="1">
                    <a:blip r:embed="rId267" cstate="email">
                      <a:extLst>
                        <a:ext uri="{28A0092B-C50C-407E-A947-70E740481C1C}">
                          <a14:useLocalDpi xmlns:a14="http://schemas.microsoft.com/office/drawing/2010/main" val="0"/>
                        </a:ext>
                      </a:extLst>
                    </a:blip>
                    <a:srcRect/>
                    <a:stretch/>
                  </pic:blipFill>
                  <pic:spPr bwMode="auto">
                    <a:xfrm>
                      <a:off x="0" y="0"/>
                      <a:ext cx="5572125" cy="3886200"/>
                    </a:xfrm>
                    <a:prstGeom prst="rect">
                      <a:avLst/>
                    </a:prstGeom>
                    <a:noFill/>
                    <a:ln>
                      <a:noFill/>
                    </a:ln>
                    <a:extLst>
                      <a:ext uri="{53640926-AAD7-44D8-BBD7-CCE9431645EC}">
                        <a14:shadowObscured xmlns:a14="http://schemas.microsoft.com/office/drawing/2010/main"/>
                      </a:ext>
                    </a:extLst>
                  </pic:spPr>
                </pic:pic>
              </a:graphicData>
            </a:graphic>
          </wp:inline>
        </w:drawing>
      </w:r>
    </w:p>
    <w:p w14:paraId="2BFA5FC5" w14:textId="5B0C2265" w:rsidR="007A61DC" w:rsidRPr="00F95AEC" w:rsidRDefault="007A61DC" w:rsidP="007A61DC">
      <w:pPr>
        <w:pStyle w:val="FigureTableNoteSource"/>
      </w:pPr>
      <w:r w:rsidRPr="00846769">
        <w:rPr>
          <w:rStyle w:val="Emphasis"/>
          <w:b/>
          <w:bCs/>
          <w:i w:val="0"/>
          <w:iCs w:val="0"/>
        </w:rPr>
        <w:t>Data source</w:t>
      </w:r>
      <w:r w:rsidRPr="00846769">
        <w:rPr>
          <w:rStyle w:val="Emphasis"/>
          <w:i w:val="0"/>
          <w:iCs w:val="0"/>
        </w:rPr>
        <w:t>:</w:t>
      </w:r>
      <w:r w:rsidRPr="00846769">
        <w:rPr>
          <w:rStyle w:val="Emphasis"/>
        </w:rPr>
        <w:t xml:space="preserve"> </w:t>
      </w:r>
      <w:r>
        <w:rPr>
          <w:rStyle w:val="Emphasis"/>
          <w:i w:val="0"/>
          <w:iCs w:val="0"/>
        </w:rPr>
        <w:t>Australian Bureau of Agricultural and Resource Economics and Sciences (</w:t>
      </w:r>
      <w:r>
        <w:t>ABARES) 2021</w:t>
      </w:r>
    </w:p>
    <w:p w14:paraId="61B255BD" w14:textId="77777777" w:rsidR="00024764" w:rsidRPr="00846769" w:rsidRDefault="00024764" w:rsidP="00024764">
      <w:pPr>
        <w:pStyle w:val="Heading5"/>
        <w:spacing w:before="40" w:after="40"/>
        <w:ind w:left="851" w:hanging="851"/>
        <w:rPr>
          <w:rFonts w:cstheme="minorHAnsi"/>
        </w:rPr>
      </w:pPr>
      <w:r w:rsidRPr="00846769">
        <w:rPr>
          <w:rFonts w:cstheme="minorHAnsi"/>
        </w:rPr>
        <w:t>Invasion history</w:t>
      </w:r>
    </w:p>
    <w:p w14:paraId="0018B39A" w14:textId="2634A6A1" w:rsidR="00E55B67" w:rsidRPr="00846769" w:rsidRDefault="00E55B67" w:rsidP="00E55B67">
      <w:r w:rsidRPr="00846769">
        <w:rPr>
          <w:i/>
          <w:iCs/>
        </w:rPr>
        <w:t xml:space="preserve">Perna </w:t>
      </w:r>
      <w:proofErr w:type="spellStart"/>
      <w:r w:rsidRPr="00846769">
        <w:rPr>
          <w:i/>
          <w:iCs/>
        </w:rPr>
        <w:t>perna</w:t>
      </w:r>
      <w:proofErr w:type="spellEnd"/>
      <w:r w:rsidRPr="00846769">
        <w:rPr>
          <w:i/>
          <w:iCs/>
        </w:rPr>
        <w:t xml:space="preserve"> </w:t>
      </w:r>
      <w:r w:rsidRPr="00846769">
        <w:t xml:space="preserve">and </w:t>
      </w:r>
      <w:r w:rsidRPr="00846769">
        <w:rPr>
          <w:i/>
          <w:iCs/>
        </w:rPr>
        <w:t>P. vir</w:t>
      </w:r>
      <w:r w:rsidR="004E259C" w:rsidRPr="00846769">
        <w:rPr>
          <w:i/>
          <w:iCs/>
        </w:rPr>
        <w:t>i</w:t>
      </w:r>
      <w:r w:rsidRPr="00846769">
        <w:rPr>
          <w:i/>
          <w:iCs/>
        </w:rPr>
        <w:t xml:space="preserve">dis </w:t>
      </w:r>
      <w:r w:rsidRPr="00846769">
        <w:t xml:space="preserve">have been introduced to several locations around the world. </w:t>
      </w:r>
      <w:r w:rsidRPr="00846769">
        <w:rPr>
          <w:i/>
          <w:iCs/>
        </w:rPr>
        <w:t xml:space="preserve">Perna canaliculus </w:t>
      </w:r>
      <w:r w:rsidRPr="00846769">
        <w:t>has failed to establish in any location outside of its native New Zealand, although it has been reported in Australia before</w:t>
      </w:r>
      <w:r w:rsidR="00340E51" w:rsidRPr="00846769">
        <w:t xml:space="preserve"> on several occasions. </w:t>
      </w:r>
      <w:r w:rsidRPr="00846769">
        <w:t xml:space="preserve"> </w:t>
      </w:r>
    </w:p>
    <w:p w14:paraId="4EAEB89E" w14:textId="2240ACDF" w:rsidR="00E55B67" w:rsidRPr="00846769" w:rsidRDefault="00E55B67" w:rsidP="00E55B67">
      <w:r w:rsidRPr="00846769">
        <w:rPr>
          <w:i/>
          <w:iCs/>
        </w:rPr>
        <w:t xml:space="preserve">Perna viridis </w:t>
      </w:r>
      <w:r w:rsidRPr="00846769">
        <w:t>is native to the Indo-Pacific. Established populations were found from Tokyo Bay, Japan in 1967 that subsequently spread to other ports. The mussel subsequently spread to other locations in Asia, including China, Korea</w:t>
      </w:r>
      <w:r w:rsidR="00530E03" w:rsidRPr="00846769">
        <w:t>,</w:t>
      </w:r>
      <w:r w:rsidRPr="00846769">
        <w:t xml:space="preserve"> and Hong Kong. </w:t>
      </w:r>
      <w:r w:rsidRPr="00846769">
        <w:rPr>
          <w:i/>
          <w:iCs/>
        </w:rPr>
        <w:t>P</w:t>
      </w:r>
      <w:r w:rsidR="004E259C" w:rsidRPr="00846769">
        <w:rPr>
          <w:i/>
          <w:iCs/>
        </w:rPr>
        <w:t xml:space="preserve">erna </w:t>
      </w:r>
      <w:r w:rsidRPr="00846769">
        <w:rPr>
          <w:i/>
          <w:iCs/>
        </w:rPr>
        <w:t xml:space="preserve">viridis </w:t>
      </w:r>
      <w:r w:rsidRPr="00846769">
        <w:t>was reported from Trinidad in the Caribbean in 1990. By 1993 the mussel had colonised several other Caribbean locations and Venezuela</w:t>
      </w:r>
      <w:r w:rsidR="004E259C" w:rsidRPr="00846769">
        <w:t xml:space="preserve"> in </w:t>
      </w:r>
      <w:r w:rsidRPr="00846769">
        <w:t xml:space="preserve">South America. </w:t>
      </w:r>
      <w:r w:rsidRPr="00846769">
        <w:rPr>
          <w:i/>
          <w:iCs/>
        </w:rPr>
        <w:t>P</w:t>
      </w:r>
      <w:r w:rsidR="004E259C" w:rsidRPr="00846769">
        <w:rPr>
          <w:i/>
          <w:iCs/>
        </w:rPr>
        <w:t xml:space="preserve">erna </w:t>
      </w:r>
      <w:r w:rsidRPr="00846769">
        <w:rPr>
          <w:i/>
          <w:iCs/>
        </w:rPr>
        <w:t xml:space="preserve">viridis </w:t>
      </w:r>
      <w:r w:rsidRPr="00846769">
        <w:t xml:space="preserve">first appeared in the USA in the Gulf of Mexico, in Tampa Bay in 1999 when it was found fouling power plant infrastructure. The mussel spread around the Florida Peninsula and </w:t>
      </w:r>
      <w:r w:rsidR="004E259C" w:rsidRPr="00846769">
        <w:t>was then recorded</w:t>
      </w:r>
      <w:r w:rsidRPr="00846769">
        <w:t xml:space="preserve"> as established in the east coast USA in 2002 when it was confirmed from the Indian River Lagoon, Florida. It was subsequently found in other locations in Florida and Georgia. Water temperature seems to limit its northern spread. </w:t>
      </w:r>
      <w:r w:rsidRPr="00846769">
        <w:rPr>
          <w:i/>
          <w:iCs/>
        </w:rPr>
        <w:t xml:space="preserve">Perna viridis </w:t>
      </w:r>
      <w:r w:rsidRPr="00846769">
        <w:t>has intentionally been introduced to several Pacific islands for aquaculture, with established populations present in New Caledonia, Fiji, Samoa, Tahiti</w:t>
      </w:r>
      <w:r w:rsidR="00530E03" w:rsidRPr="00846769">
        <w:t>,</w:t>
      </w:r>
      <w:r w:rsidRPr="00846769">
        <w:t xml:space="preserve"> and Tonga. </w:t>
      </w:r>
    </w:p>
    <w:p w14:paraId="6076813F" w14:textId="77777777" w:rsidR="00024764" w:rsidRPr="00846769" w:rsidRDefault="00024764" w:rsidP="00024764">
      <w:pPr>
        <w:pStyle w:val="Heading5"/>
        <w:spacing w:before="40" w:after="40"/>
        <w:ind w:left="851" w:hanging="851"/>
        <w:rPr>
          <w:color w:val="262626" w:themeColor="text1" w:themeTint="D9"/>
        </w:rPr>
      </w:pPr>
      <w:r w:rsidRPr="00846769">
        <w:rPr>
          <w:color w:val="262626" w:themeColor="text1" w:themeTint="D9"/>
        </w:rPr>
        <w:t>Diseases</w:t>
      </w:r>
    </w:p>
    <w:p w14:paraId="70040B1F" w14:textId="65EE05DB" w:rsidR="00E55B67" w:rsidRPr="00846769" w:rsidRDefault="00E55B67" w:rsidP="00E55B67">
      <w:r w:rsidRPr="00846769">
        <w:t>A ten</w:t>
      </w:r>
      <w:r w:rsidR="00340E51" w:rsidRPr="00846769">
        <w:t>-</w:t>
      </w:r>
      <w:r w:rsidRPr="00846769">
        <w:t xml:space="preserve">year histopathological survey of </w:t>
      </w:r>
      <w:r w:rsidRPr="00846769">
        <w:rPr>
          <w:i/>
          <w:iCs/>
        </w:rPr>
        <w:t>P</w:t>
      </w:r>
      <w:r w:rsidR="00340E51" w:rsidRPr="00846769">
        <w:rPr>
          <w:i/>
          <w:iCs/>
        </w:rPr>
        <w:t>.</w:t>
      </w:r>
      <w:r w:rsidRPr="00846769">
        <w:rPr>
          <w:i/>
          <w:iCs/>
        </w:rPr>
        <w:t xml:space="preserve"> </w:t>
      </w:r>
      <w:r w:rsidRPr="00397214">
        <w:rPr>
          <w:i/>
          <w:iCs/>
        </w:rPr>
        <w:t xml:space="preserve">canaliculus </w:t>
      </w:r>
      <w:r w:rsidRPr="00397214">
        <w:t>in New Zealand found several different parasites, pathogens</w:t>
      </w:r>
      <w:r w:rsidR="00340E51" w:rsidRPr="00397214">
        <w:t>,</w:t>
      </w:r>
      <w:r w:rsidRPr="00397214">
        <w:t xml:space="preserve"> or conditions</w:t>
      </w:r>
      <w:r w:rsidR="00340E51" w:rsidRPr="00397214">
        <w:t xml:space="preserve"> of this </w:t>
      </w:r>
      <w:r w:rsidR="00340E51" w:rsidRPr="00634A79">
        <w:t>species</w:t>
      </w:r>
      <w:r w:rsidRPr="00634A79">
        <w:t xml:space="preserve"> (Webb &amp; Duncan 2019). These</w:t>
      </w:r>
      <w:r w:rsidRPr="00397214">
        <w:t xml:space="preserve"> included an unknown apicomplexan parasite (APX), digestive epithelial </w:t>
      </w:r>
      <w:proofErr w:type="spellStart"/>
      <w:r w:rsidRPr="00397214">
        <w:t>virosis</w:t>
      </w:r>
      <w:proofErr w:type="spellEnd"/>
      <w:r w:rsidRPr="00397214">
        <w:t xml:space="preserve">, intracellular bacteria </w:t>
      </w:r>
      <w:r w:rsidR="00340E51" w:rsidRPr="00397214">
        <w:t>(</w:t>
      </w:r>
      <w:r w:rsidRPr="00397214">
        <w:t xml:space="preserve">probably </w:t>
      </w:r>
      <w:r w:rsidRPr="00397214">
        <w:lastRenderedPageBreak/>
        <w:t xml:space="preserve">belonging to the genus </w:t>
      </w:r>
      <w:proofErr w:type="spellStart"/>
      <w:r w:rsidRPr="00397214">
        <w:rPr>
          <w:i/>
          <w:iCs/>
        </w:rPr>
        <w:t>Endozoicomonas</w:t>
      </w:r>
      <w:proofErr w:type="spellEnd"/>
      <w:r w:rsidR="00340E51" w:rsidRPr="00397214">
        <w:t>)</w:t>
      </w:r>
      <w:r w:rsidRPr="00397214">
        <w:t xml:space="preserve">, </w:t>
      </w:r>
      <w:proofErr w:type="spellStart"/>
      <w:r w:rsidRPr="00397214">
        <w:rPr>
          <w:i/>
          <w:iCs/>
        </w:rPr>
        <w:t>Perkinsus</w:t>
      </w:r>
      <w:proofErr w:type="spellEnd"/>
      <w:r w:rsidRPr="00397214">
        <w:rPr>
          <w:i/>
          <w:iCs/>
        </w:rPr>
        <w:t xml:space="preserve"> </w:t>
      </w:r>
      <w:proofErr w:type="spellStart"/>
      <w:r w:rsidRPr="00397214">
        <w:rPr>
          <w:i/>
          <w:iCs/>
        </w:rPr>
        <w:t>olseni</w:t>
      </w:r>
      <w:proofErr w:type="spellEnd"/>
      <w:r w:rsidRPr="00397214">
        <w:t xml:space="preserve">, </w:t>
      </w:r>
      <w:r w:rsidRPr="00397214">
        <w:rPr>
          <w:i/>
          <w:iCs/>
        </w:rPr>
        <w:t xml:space="preserve">Vibrio </w:t>
      </w:r>
      <w:r w:rsidRPr="00397214">
        <w:t xml:space="preserve">sp. </w:t>
      </w:r>
      <w:r w:rsidR="00340E51" w:rsidRPr="00397214">
        <w:t>b</w:t>
      </w:r>
      <w:r w:rsidRPr="00397214">
        <w:t>acteria</w:t>
      </w:r>
      <w:r w:rsidR="00340E51" w:rsidRPr="00397214">
        <w:t>,</w:t>
      </w:r>
      <w:r w:rsidRPr="00397214">
        <w:t xml:space="preserve"> and flatworms </w:t>
      </w:r>
      <w:proofErr w:type="spellStart"/>
      <w:r w:rsidRPr="00397214">
        <w:rPr>
          <w:i/>
          <w:iCs/>
        </w:rPr>
        <w:t>Tergestia</w:t>
      </w:r>
      <w:proofErr w:type="spellEnd"/>
      <w:r w:rsidRPr="00397214">
        <w:rPr>
          <w:i/>
          <w:iCs/>
        </w:rPr>
        <w:t xml:space="preserve"> </w:t>
      </w:r>
      <w:proofErr w:type="spellStart"/>
      <w:r w:rsidRPr="00397214">
        <w:rPr>
          <w:i/>
          <w:iCs/>
        </w:rPr>
        <w:t>agnostomi</w:t>
      </w:r>
      <w:proofErr w:type="spellEnd"/>
      <w:r w:rsidRPr="00397214">
        <w:rPr>
          <w:i/>
          <w:iCs/>
        </w:rPr>
        <w:t xml:space="preserve"> </w:t>
      </w:r>
      <w:r w:rsidRPr="00397214">
        <w:t xml:space="preserve">and </w:t>
      </w:r>
      <w:proofErr w:type="spellStart"/>
      <w:r w:rsidRPr="00397214">
        <w:rPr>
          <w:i/>
          <w:iCs/>
        </w:rPr>
        <w:t>Enterogonia</w:t>
      </w:r>
      <w:proofErr w:type="spellEnd"/>
      <w:r w:rsidRPr="00397214">
        <w:rPr>
          <w:i/>
          <w:iCs/>
        </w:rPr>
        <w:t xml:space="preserve"> orbicularis</w:t>
      </w:r>
      <w:r w:rsidRPr="00397214">
        <w:t xml:space="preserve"> (Webb &amp; Duncan 2019). The</w:t>
      </w:r>
      <w:r w:rsidRPr="00846769">
        <w:t xml:space="preserve"> record of </w:t>
      </w:r>
      <w:r w:rsidRPr="00846769">
        <w:rPr>
          <w:i/>
          <w:iCs/>
        </w:rPr>
        <w:t xml:space="preserve">P. </w:t>
      </w:r>
      <w:proofErr w:type="spellStart"/>
      <w:r w:rsidRPr="00846769">
        <w:rPr>
          <w:i/>
          <w:iCs/>
        </w:rPr>
        <w:t>olseni</w:t>
      </w:r>
      <w:proofErr w:type="spellEnd"/>
      <w:r w:rsidRPr="00846769">
        <w:rPr>
          <w:i/>
          <w:iCs/>
        </w:rPr>
        <w:t xml:space="preserve"> </w:t>
      </w:r>
      <w:r w:rsidRPr="00846769">
        <w:t xml:space="preserve">in </w:t>
      </w:r>
      <w:r w:rsidRPr="00846769">
        <w:rPr>
          <w:i/>
          <w:iCs/>
        </w:rPr>
        <w:t>P.</w:t>
      </w:r>
      <w:r w:rsidR="00070E64">
        <w:rPr>
          <w:i/>
          <w:iCs/>
        </w:rPr>
        <w:t> </w:t>
      </w:r>
      <w:r w:rsidRPr="00846769">
        <w:rPr>
          <w:i/>
          <w:iCs/>
        </w:rPr>
        <w:t xml:space="preserve">canaliculus </w:t>
      </w:r>
      <w:r w:rsidRPr="00846769">
        <w:t xml:space="preserve">was first made in 2014 and is now commonly observed. </w:t>
      </w:r>
      <w:proofErr w:type="spellStart"/>
      <w:r w:rsidRPr="00846769">
        <w:rPr>
          <w:i/>
          <w:iCs/>
        </w:rPr>
        <w:t>Perkinsus</w:t>
      </w:r>
      <w:proofErr w:type="spellEnd"/>
      <w:r w:rsidRPr="00846769">
        <w:rPr>
          <w:i/>
          <w:iCs/>
        </w:rPr>
        <w:t xml:space="preserve"> </w:t>
      </w:r>
      <w:proofErr w:type="spellStart"/>
      <w:r w:rsidRPr="00846769">
        <w:rPr>
          <w:i/>
          <w:iCs/>
        </w:rPr>
        <w:t>olseni</w:t>
      </w:r>
      <w:proofErr w:type="spellEnd"/>
      <w:r w:rsidRPr="00846769">
        <w:rPr>
          <w:i/>
          <w:iCs/>
        </w:rPr>
        <w:t xml:space="preserve"> </w:t>
      </w:r>
      <w:r w:rsidRPr="00846769">
        <w:t xml:space="preserve">is present in Australia and has caused disease in Australian abalone, </w:t>
      </w:r>
      <w:r w:rsidRPr="00846769">
        <w:rPr>
          <w:i/>
          <w:iCs/>
        </w:rPr>
        <w:t xml:space="preserve">Haliotis </w:t>
      </w:r>
      <w:r w:rsidRPr="00846769">
        <w:t xml:space="preserve">spp. The causative agent of digestive epithelial </w:t>
      </w:r>
      <w:proofErr w:type="spellStart"/>
      <w:r w:rsidRPr="00846769">
        <w:t>virosis</w:t>
      </w:r>
      <w:proofErr w:type="spellEnd"/>
      <w:r w:rsidRPr="00846769">
        <w:t xml:space="preserve"> in </w:t>
      </w:r>
      <w:r w:rsidRPr="00846769">
        <w:rPr>
          <w:i/>
          <w:iCs/>
        </w:rPr>
        <w:t xml:space="preserve">P. canaliculus </w:t>
      </w:r>
      <w:r w:rsidRPr="00846769">
        <w:t xml:space="preserve">is unknown but suspected to be viral. The condition has also been recorded from New Zealand scallops, </w:t>
      </w:r>
      <w:r w:rsidRPr="00846769">
        <w:rPr>
          <w:i/>
          <w:iCs/>
        </w:rPr>
        <w:t xml:space="preserve">Pecten </w:t>
      </w:r>
      <w:proofErr w:type="spellStart"/>
      <w:r w:rsidRPr="00846769">
        <w:rPr>
          <w:i/>
          <w:iCs/>
        </w:rPr>
        <w:t>novaezelandiae</w:t>
      </w:r>
      <w:proofErr w:type="spellEnd"/>
      <w:r w:rsidRPr="00846769">
        <w:rPr>
          <w:i/>
          <w:iCs/>
        </w:rPr>
        <w:t xml:space="preserve">, </w:t>
      </w:r>
      <w:r w:rsidRPr="00846769">
        <w:t xml:space="preserve">although whether this is from transmission between the two species is unknown. </w:t>
      </w:r>
    </w:p>
    <w:p w14:paraId="662BA12A" w14:textId="385392E2" w:rsidR="00E55B67" w:rsidRPr="00846769" w:rsidRDefault="00E55B67" w:rsidP="00E55B67">
      <w:r w:rsidRPr="00846769">
        <w:t xml:space="preserve">Data on diseases of </w:t>
      </w:r>
      <w:r w:rsidRPr="00846769">
        <w:rPr>
          <w:i/>
          <w:iCs/>
        </w:rPr>
        <w:t xml:space="preserve">P. perna </w:t>
      </w:r>
      <w:r w:rsidRPr="00846769">
        <w:t xml:space="preserve">and </w:t>
      </w:r>
      <w:r w:rsidRPr="00846769">
        <w:rPr>
          <w:i/>
          <w:iCs/>
        </w:rPr>
        <w:t>P. viridis</w:t>
      </w:r>
      <w:r w:rsidRPr="00846769">
        <w:t xml:space="preserve"> are sparse. Phototrophic </w:t>
      </w:r>
      <w:proofErr w:type="spellStart"/>
      <w:r w:rsidRPr="00846769">
        <w:t>endoliths</w:t>
      </w:r>
      <w:proofErr w:type="spellEnd"/>
      <w:r w:rsidRPr="00846769">
        <w:t xml:space="preserve">, primarily cyanobacteria, infest shells of </w:t>
      </w:r>
      <w:r w:rsidRPr="00846769">
        <w:rPr>
          <w:i/>
          <w:iCs/>
        </w:rPr>
        <w:t xml:space="preserve">P. perna </w:t>
      </w:r>
      <w:r w:rsidRPr="00846769">
        <w:t>in South Africa. The infestation causes visible shell degradation, which can reduce reproduction an</w:t>
      </w:r>
      <w:r w:rsidRPr="005F7F32">
        <w:t>d increase mortality in affected individuals (Kaehler &amp; McQuaid 1999). Digenean trematodes belonging</w:t>
      </w:r>
      <w:r w:rsidRPr="00846769">
        <w:t xml:space="preserve"> to the genus </w:t>
      </w:r>
      <w:r w:rsidRPr="00846769">
        <w:rPr>
          <w:i/>
          <w:iCs/>
        </w:rPr>
        <w:t xml:space="preserve">Bucephalus </w:t>
      </w:r>
      <w:r w:rsidRPr="00846769">
        <w:t xml:space="preserve">have been reported castrating </w:t>
      </w:r>
      <w:r w:rsidR="00DD03FC">
        <w:t xml:space="preserve">to </w:t>
      </w:r>
      <w:r w:rsidRPr="00846769">
        <w:rPr>
          <w:i/>
          <w:iCs/>
        </w:rPr>
        <w:t xml:space="preserve">P. </w:t>
      </w:r>
      <w:r w:rsidRPr="00634A79">
        <w:rPr>
          <w:i/>
          <w:iCs/>
        </w:rPr>
        <w:t xml:space="preserve">perna </w:t>
      </w:r>
      <w:r w:rsidRPr="00634A79">
        <w:t xml:space="preserve">and </w:t>
      </w:r>
      <w:r w:rsidRPr="00634A79">
        <w:rPr>
          <w:i/>
          <w:iCs/>
        </w:rPr>
        <w:t xml:space="preserve">P. canaliculus </w:t>
      </w:r>
      <w:r w:rsidRPr="00634A79">
        <w:t>(da Silva et al. 2002</w:t>
      </w:r>
      <w:r w:rsidRPr="00933093">
        <w:t xml:space="preserve">). </w:t>
      </w:r>
      <w:proofErr w:type="spellStart"/>
      <w:r w:rsidRPr="00933093">
        <w:rPr>
          <w:i/>
          <w:iCs/>
        </w:rPr>
        <w:t>Bucepahlus</w:t>
      </w:r>
      <w:proofErr w:type="spellEnd"/>
      <w:r w:rsidRPr="00846769">
        <w:rPr>
          <w:i/>
          <w:iCs/>
        </w:rPr>
        <w:t xml:space="preserve"> </w:t>
      </w:r>
      <w:r w:rsidRPr="00846769">
        <w:t>spp. are common in the marine environment and through castration can impact reproduction of the host. It is probable that many of the parasites, pathogens</w:t>
      </w:r>
      <w:r w:rsidR="00B72940" w:rsidRPr="00846769">
        <w:t>,</w:t>
      </w:r>
      <w:r w:rsidRPr="00846769">
        <w:t xml:space="preserve"> and conditions observed in </w:t>
      </w:r>
      <w:r w:rsidRPr="00846769">
        <w:rPr>
          <w:i/>
          <w:iCs/>
        </w:rPr>
        <w:t xml:space="preserve">P. canaliculus </w:t>
      </w:r>
      <w:r w:rsidRPr="00846769">
        <w:t xml:space="preserve">will be applicable to other </w:t>
      </w:r>
      <w:r w:rsidRPr="00846769">
        <w:rPr>
          <w:i/>
          <w:iCs/>
        </w:rPr>
        <w:t xml:space="preserve">Perna </w:t>
      </w:r>
      <w:r w:rsidRPr="00846769">
        <w:t xml:space="preserve">spp. </w:t>
      </w:r>
    </w:p>
    <w:p w14:paraId="32D2C0AB" w14:textId="04A7CD22" w:rsidR="00B72940" w:rsidRPr="00846769" w:rsidRDefault="00E55B67" w:rsidP="00E55B67">
      <w:proofErr w:type="spellStart"/>
      <w:r w:rsidRPr="00634A79">
        <w:t>Castinel</w:t>
      </w:r>
      <w:proofErr w:type="spellEnd"/>
      <w:r w:rsidRPr="00634A79">
        <w:t xml:space="preserve"> et al. (2019) identified</w:t>
      </w:r>
      <w:r w:rsidRPr="00846769">
        <w:t xml:space="preserve"> parasites, </w:t>
      </w:r>
      <w:proofErr w:type="spellStart"/>
      <w:r w:rsidRPr="00846769">
        <w:rPr>
          <w:i/>
          <w:iCs/>
        </w:rPr>
        <w:t>Marteilia</w:t>
      </w:r>
      <w:proofErr w:type="spellEnd"/>
      <w:r w:rsidRPr="00846769">
        <w:rPr>
          <w:i/>
          <w:iCs/>
        </w:rPr>
        <w:t xml:space="preserve"> </w:t>
      </w:r>
      <w:proofErr w:type="spellStart"/>
      <w:r w:rsidRPr="00846769">
        <w:rPr>
          <w:i/>
          <w:iCs/>
        </w:rPr>
        <w:t>refringens</w:t>
      </w:r>
      <w:proofErr w:type="spellEnd"/>
      <w:r w:rsidRPr="00846769">
        <w:t xml:space="preserve">, </w:t>
      </w:r>
      <w:r w:rsidRPr="00846769">
        <w:rPr>
          <w:i/>
          <w:iCs/>
        </w:rPr>
        <w:t xml:space="preserve">M. </w:t>
      </w:r>
      <w:proofErr w:type="spellStart"/>
      <w:r w:rsidRPr="00846769">
        <w:rPr>
          <w:i/>
          <w:iCs/>
        </w:rPr>
        <w:t>pararefringens</w:t>
      </w:r>
      <w:proofErr w:type="spellEnd"/>
      <w:r w:rsidRPr="00846769">
        <w:rPr>
          <w:i/>
          <w:iCs/>
        </w:rPr>
        <w:t xml:space="preserve"> </w:t>
      </w:r>
      <w:r w:rsidRPr="00846769">
        <w:t xml:space="preserve">and </w:t>
      </w:r>
      <w:proofErr w:type="spellStart"/>
      <w:r w:rsidRPr="00846769">
        <w:rPr>
          <w:i/>
          <w:iCs/>
        </w:rPr>
        <w:t>Haplosporidium</w:t>
      </w:r>
      <w:proofErr w:type="spellEnd"/>
      <w:r w:rsidRPr="00846769">
        <w:rPr>
          <w:i/>
          <w:iCs/>
        </w:rPr>
        <w:t xml:space="preserve"> </w:t>
      </w:r>
      <w:r w:rsidRPr="00846769">
        <w:t xml:space="preserve">spp., and copepods, </w:t>
      </w:r>
      <w:proofErr w:type="spellStart"/>
      <w:r w:rsidRPr="00846769">
        <w:rPr>
          <w:i/>
          <w:iCs/>
        </w:rPr>
        <w:t>Mytilicola</w:t>
      </w:r>
      <w:proofErr w:type="spellEnd"/>
      <w:r w:rsidRPr="00846769">
        <w:rPr>
          <w:i/>
          <w:iCs/>
        </w:rPr>
        <w:t xml:space="preserve"> intestinalis </w:t>
      </w:r>
      <w:r w:rsidRPr="00846769">
        <w:t xml:space="preserve">and </w:t>
      </w:r>
      <w:r w:rsidRPr="00846769">
        <w:rPr>
          <w:i/>
          <w:iCs/>
        </w:rPr>
        <w:t xml:space="preserve">M. </w:t>
      </w:r>
      <w:proofErr w:type="spellStart"/>
      <w:r w:rsidRPr="00846769">
        <w:rPr>
          <w:i/>
          <w:iCs/>
        </w:rPr>
        <w:t>orientalis</w:t>
      </w:r>
      <w:proofErr w:type="spellEnd"/>
      <w:r w:rsidRPr="00846769">
        <w:rPr>
          <w:i/>
          <w:iCs/>
        </w:rPr>
        <w:t xml:space="preserve">, </w:t>
      </w:r>
      <w:r w:rsidRPr="00846769">
        <w:t xml:space="preserve">as pathogens of </w:t>
      </w:r>
      <w:r w:rsidRPr="00846769">
        <w:rPr>
          <w:i/>
          <w:iCs/>
        </w:rPr>
        <w:t xml:space="preserve">Mytilus </w:t>
      </w:r>
      <w:r w:rsidRPr="00846769">
        <w:t xml:space="preserve">spp. and therefore a risk to </w:t>
      </w:r>
      <w:r w:rsidRPr="00846769">
        <w:rPr>
          <w:i/>
          <w:iCs/>
        </w:rPr>
        <w:t xml:space="preserve">P. canaliculus </w:t>
      </w:r>
      <w:r w:rsidRPr="00846769">
        <w:t xml:space="preserve">in New Zealand. </w:t>
      </w:r>
    </w:p>
    <w:p w14:paraId="347555D6" w14:textId="77777777" w:rsidR="00B72940" w:rsidRPr="00846769" w:rsidRDefault="00B72940">
      <w:pPr>
        <w:spacing w:after="160" w:line="259" w:lineRule="auto"/>
      </w:pPr>
      <w:r w:rsidRPr="00846769">
        <w:br w:type="page"/>
      </w:r>
    </w:p>
    <w:p w14:paraId="7FBB0CA8" w14:textId="77777777" w:rsidR="006939E1" w:rsidRPr="00846769" w:rsidRDefault="00B5740F" w:rsidP="003E53E0">
      <w:pPr>
        <w:pStyle w:val="Heading3"/>
        <w:spacing w:after="120"/>
        <w:ind w:left="851" w:hanging="851"/>
      </w:pPr>
      <w:bookmarkStart w:id="686" w:name="_Toc191998682"/>
      <w:bookmarkStart w:id="687" w:name="_Toc43120319"/>
      <w:bookmarkEnd w:id="657"/>
      <w:r w:rsidRPr="00846769">
        <w:lastRenderedPageBreak/>
        <w:t xml:space="preserve">Family </w:t>
      </w:r>
      <w:proofErr w:type="spellStart"/>
      <w:r w:rsidRPr="00846769">
        <w:t>Ostreidae</w:t>
      </w:r>
      <w:bookmarkEnd w:id="686"/>
      <w:proofErr w:type="spellEnd"/>
    </w:p>
    <w:p w14:paraId="6B0218F3" w14:textId="77C0E089" w:rsidR="00930F41" w:rsidRPr="00846769" w:rsidRDefault="00930F41" w:rsidP="00930F41">
      <w:pPr>
        <w:pStyle w:val="Heading4"/>
        <w:spacing w:after="120"/>
        <w:ind w:left="851" w:hanging="851"/>
        <w:rPr>
          <w:rStyle w:val="Emphasis"/>
          <w:color w:val="262626" w:themeColor="text1" w:themeTint="D9"/>
        </w:rPr>
      </w:pPr>
      <w:r w:rsidRPr="00846769">
        <w:rPr>
          <w:rStyle w:val="Emphasis"/>
          <w:color w:val="262626" w:themeColor="text1" w:themeTint="D9"/>
        </w:rPr>
        <w:t>Magallana ariakensis</w:t>
      </w:r>
    </w:p>
    <w:p w14:paraId="43C2DE9F" w14:textId="77639053" w:rsidR="00E86012" w:rsidRPr="00634A79" w:rsidRDefault="00236D4B" w:rsidP="00236D4B">
      <w:r w:rsidRPr="00846769">
        <w:rPr>
          <w:i/>
          <w:iCs/>
        </w:rPr>
        <w:t>Magallana (</w:t>
      </w:r>
      <w:r w:rsidR="00522508">
        <w:t xml:space="preserve">formerly </w:t>
      </w:r>
      <w:r w:rsidRPr="00846769">
        <w:rPr>
          <w:i/>
          <w:iCs/>
        </w:rPr>
        <w:t xml:space="preserve">Crassostrea) ariakensis </w:t>
      </w:r>
      <w:r w:rsidRPr="00846769">
        <w:t>is known as the Suminoe oyster</w:t>
      </w:r>
      <w:r w:rsidR="00FB178D" w:rsidRPr="00846769">
        <w:t xml:space="preserve"> or the Chinese River oyster</w:t>
      </w:r>
      <w:r w:rsidRPr="00846769">
        <w:t xml:space="preserve">. </w:t>
      </w:r>
      <w:r w:rsidR="004362D1" w:rsidRPr="00846769">
        <w:t>It is a large</w:t>
      </w:r>
      <w:r w:rsidR="00574C50" w:rsidRPr="00846769">
        <w:t>, flat</w:t>
      </w:r>
      <w:r w:rsidR="004362D1" w:rsidRPr="00846769">
        <w:t xml:space="preserve"> oyster with adults reaching shell lengths of 200</w:t>
      </w:r>
      <w:r w:rsidR="003637A4">
        <w:rPr>
          <w:rFonts w:cstheme="minorHAnsi"/>
        </w:rPr>
        <w:t>‒</w:t>
      </w:r>
      <w:r w:rsidR="004362D1" w:rsidRPr="00846769">
        <w:t>240 mm</w:t>
      </w:r>
      <w:r w:rsidR="00ED25EB">
        <w:t xml:space="preserve">. </w:t>
      </w:r>
      <w:r w:rsidR="004362D1" w:rsidRPr="00846769">
        <w:t>It is native to the east coast of China but may have potentially been in</w:t>
      </w:r>
      <w:r w:rsidR="004362D1" w:rsidRPr="00634A79">
        <w:t xml:space="preserve">troduced into southern Japan. The extent of its native geographic range is not known. </w:t>
      </w:r>
      <w:r w:rsidR="004362D1" w:rsidRPr="00634A79">
        <w:rPr>
          <w:i/>
          <w:iCs/>
        </w:rPr>
        <w:t xml:space="preserve">Magallana ariakensis </w:t>
      </w:r>
      <w:r w:rsidR="004362D1" w:rsidRPr="00634A79">
        <w:t xml:space="preserve">supports regional fisheries in China, southern Japan, and possibly elsewhere in </w:t>
      </w:r>
      <w:r w:rsidR="00DA2417" w:rsidRPr="00634A79">
        <w:t xml:space="preserve">its </w:t>
      </w:r>
      <w:r w:rsidR="004362D1" w:rsidRPr="00634A79">
        <w:t xml:space="preserve">geographic range (Hallerman et al. 2001). It was accidentally introduced to the west coast of the United States, but populations did not establish. </w:t>
      </w:r>
      <w:r w:rsidR="005D664D" w:rsidRPr="00634A79">
        <w:t xml:space="preserve">Triploid (sterile) </w:t>
      </w:r>
      <w:r w:rsidR="005D664D" w:rsidRPr="00634A79">
        <w:rPr>
          <w:i/>
          <w:iCs/>
        </w:rPr>
        <w:t>M. ariakensis</w:t>
      </w:r>
      <w:r w:rsidR="004362D1" w:rsidRPr="00634A79">
        <w:t xml:space="preserve"> </w:t>
      </w:r>
      <w:r w:rsidR="003465ED" w:rsidRPr="00634A79">
        <w:t>w</w:t>
      </w:r>
      <w:r w:rsidR="005D664D" w:rsidRPr="00634A79">
        <w:t>ere</w:t>
      </w:r>
      <w:r w:rsidR="003465ED" w:rsidRPr="00634A79">
        <w:t xml:space="preserve"> deliberately intro</w:t>
      </w:r>
      <w:r w:rsidR="005D664D" w:rsidRPr="00634A79">
        <w:t xml:space="preserve">duced to the east coast of the United States for experimental trials for potential cultivation, but these trials were ceased. </w:t>
      </w:r>
    </w:p>
    <w:p w14:paraId="5FB02225" w14:textId="41A4C453" w:rsidR="00651FFB" w:rsidRPr="00846769" w:rsidRDefault="004362D1" w:rsidP="00236D4B">
      <w:r w:rsidRPr="00634A79">
        <w:t>In 202</w:t>
      </w:r>
      <w:r w:rsidR="004C1883" w:rsidRPr="00634A79">
        <w:t>3</w:t>
      </w:r>
      <w:r w:rsidRPr="00634A79">
        <w:t xml:space="preserve">, populations of </w:t>
      </w:r>
      <w:r w:rsidRPr="00634A79">
        <w:rPr>
          <w:i/>
          <w:iCs/>
        </w:rPr>
        <w:t xml:space="preserve">M. ariakensis </w:t>
      </w:r>
      <w:r w:rsidRPr="00634A79">
        <w:t>were detected in Moreton Bay in Queensland, Australia</w:t>
      </w:r>
      <w:r w:rsidR="004C1883" w:rsidRPr="00634A79">
        <w:t xml:space="preserve"> (</w:t>
      </w:r>
      <w:r w:rsidR="00ED25EB" w:rsidRPr="00634A79">
        <w:t>Queensland Government</w:t>
      </w:r>
      <w:r w:rsidR="004C1883" w:rsidRPr="00634A79">
        <w:t xml:space="preserve"> 2024)</w:t>
      </w:r>
      <w:r w:rsidR="00DD03FC">
        <w:t>, the first known detection of this species in Australia</w:t>
      </w:r>
      <w:r w:rsidR="00574C50" w:rsidRPr="00634A79">
        <w:t>.</w:t>
      </w:r>
      <w:r w:rsidRPr="00634A79">
        <w:t xml:space="preserve"> The extent of</w:t>
      </w:r>
      <w:r w:rsidRPr="00846769">
        <w:t xml:space="preserve"> the </w:t>
      </w:r>
      <w:r w:rsidRPr="00846769">
        <w:rPr>
          <w:i/>
          <w:iCs/>
        </w:rPr>
        <w:t xml:space="preserve">M. ariakensis </w:t>
      </w:r>
      <w:r w:rsidRPr="00846769">
        <w:t xml:space="preserve">population in Queensland is not currently known, </w:t>
      </w:r>
      <w:r w:rsidR="009C1A9D">
        <w:t>and it may not be established.</w:t>
      </w:r>
    </w:p>
    <w:p w14:paraId="7AAE0DDC" w14:textId="3A93B4EE" w:rsidR="006C5232" w:rsidRPr="00846769" w:rsidRDefault="00FB178D" w:rsidP="0090794A">
      <w:r w:rsidRPr="00846769">
        <w:rPr>
          <w:i/>
          <w:iCs/>
        </w:rPr>
        <w:t xml:space="preserve">Magallana ariakensis </w:t>
      </w:r>
      <w:r w:rsidRPr="00846769">
        <w:t>is not nationally listed in Australia on either the APMPL or the EEPL. It was excluded from the APMPL for not being readily identifiable in the field (</w:t>
      </w:r>
      <w:r w:rsidRPr="00397214">
        <w:t>MPSC 201</w:t>
      </w:r>
      <w:r w:rsidR="00397214" w:rsidRPr="00397214">
        <w:t>8</w:t>
      </w:r>
      <w:r w:rsidRPr="00397214">
        <w:t>).</w:t>
      </w:r>
      <w:r w:rsidRPr="00846769">
        <w:t xml:space="preserve"> </w:t>
      </w:r>
      <w:r w:rsidRPr="00846769">
        <w:rPr>
          <w:i/>
          <w:iCs/>
        </w:rPr>
        <w:t xml:space="preserve">Magallana ariakensis </w:t>
      </w:r>
      <w:r w:rsidRPr="00846769">
        <w:t>is a reportable ‘biosecurity matter’ in Queensland.</w:t>
      </w:r>
    </w:p>
    <w:p w14:paraId="711268F4" w14:textId="7C5EF56F" w:rsidR="0090794A" w:rsidRPr="00846769" w:rsidRDefault="0090794A" w:rsidP="0090794A">
      <w:pPr>
        <w:pStyle w:val="Caption"/>
      </w:pPr>
      <w:bookmarkStart w:id="688" w:name="_Toc191999510"/>
      <w:r w:rsidRPr="00846769">
        <w:t xml:space="preserve">Table </w:t>
      </w:r>
      <w:r w:rsidRPr="00846769">
        <w:fldChar w:fldCharType="begin"/>
      </w:r>
      <w:r w:rsidRPr="00846769">
        <w:instrText xml:space="preserve"> SEQ Table \* ARABIC </w:instrText>
      </w:r>
      <w:r w:rsidRPr="00846769">
        <w:fldChar w:fldCharType="separate"/>
      </w:r>
      <w:r w:rsidR="005E4F41">
        <w:rPr>
          <w:noProof/>
        </w:rPr>
        <w:t>15</w:t>
      </w:r>
      <w:r w:rsidRPr="00846769">
        <w:fldChar w:fldCharType="end"/>
      </w:r>
      <w:r w:rsidRPr="00846769">
        <w:t xml:space="preserve"> </w:t>
      </w:r>
      <w:r w:rsidRPr="00846769">
        <w:rPr>
          <w:lang w:eastAsia="ja-JP"/>
        </w:rPr>
        <w:t xml:space="preserve">Taxonomic classification of </w:t>
      </w:r>
      <w:r w:rsidRPr="00846769">
        <w:rPr>
          <w:rStyle w:val="Emphasis"/>
        </w:rPr>
        <w:t>Magallana ariakensis</w:t>
      </w:r>
      <w:bookmarkEnd w:id="68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6"/>
        <w:gridCol w:w="2585"/>
      </w:tblGrid>
      <w:tr w:rsidR="00E86012" w:rsidRPr="00846769" w14:paraId="58FE2DDD" w14:textId="77777777" w:rsidTr="00A04E26">
        <w:trPr>
          <w:cantSplit/>
          <w:tblHeader/>
        </w:trPr>
        <w:tc>
          <w:tcPr>
            <w:tcW w:w="1526" w:type="dxa"/>
            <w:shd w:val="clear" w:color="auto" w:fill="FFFFFF" w:themeFill="background1"/>
          </w:tcPr>
          <w:p w14:paraId="620DCD11" w14:textId="77777777" w:rsidR="00E86012" w:rsidRPr="00846769" w:rsidRDefault="00E86012" w:rsidP="006966B1">
            <w:pPr>
              <w:pStyle w:val="TableText"/>
              <w:rPr>
                <w:rFonts w:cstheme="minorHAnsi"/>
                <w:b/>
                <w:bCs/>
              </w:rPr>
            </w:pPr>
            <w:bookmarkStart w:id="689" w:name="Table_15"/>
            <w:bookmarkEnd w:id="689"/>
            <w:r w:rsidRPr="00846769">
              <w:rPr>
                <w:rFonts w:cstheme="minorHAnsi"/>
                <w:b/>
                <w:bCs/>
              </w:rPr>
              <w:t>Classification</w:t>
            </w:r>
          </w:p>
        </w:tc>
        <w:tc>
          <w:tcPr>
            <w:tcW w:w="2585" w:type="dxa"/>
            <w:shd w:val="clear" w:color="auto" w:fill="FFFFFF" w:themeFill="background1"/>
          </w:tcPr>
          <w:p w14:paraId="4680DF2A" w14:textId="43C21383" w:rsidR="00E86012" w:rsidRPr="00846769" w:rsidRDefault="00E86012" w:rsidP="006966B1">
            <w:pPr>
              <w:pStyle w:val="TableText"/>
              <w:rPr>
                <w:rStyle w:val="Emphasis"/>
                <w:rFonts w:cstheme="minorHAnsi"/>
                <w:b/>
                <w:bCs/>
              </w:rPr>
            </w:pPr>
            <w:r w:rsidRPr="00846769">
              <w:rPr>
                <w:rStyle w:val="Emphasis"/>
                <w:rFonts w:cstheme="minorHAnsi"/>
                <w:b/>
                <w:bCs/>
              </w:rPr>
              <w:t>Magallana ariakensis</w:t>
            </w:r>
          </w:p>
        </w:tc>
      </w:tr>
      <w:tr w:rsidR="00E86012" w:rsidRPr="00846769" w14:paraId="5906ABB3" w14:textId="77777777" w:rsidTr="00A04E26">
        <w:trPr>
          <w:cantSplit/>
          <w:tblHeader/>
        </w:trPr>
        <w:tc>
          <w:tcPr>
            <w:tcW w:w="1526" w:type="dxa"/>
            <w:shd w:val="clear" w:color="auto" w:fill="FFFFFF" w:themeFill="background1"/>
          </w:tcPr>
          <w:p w14:paraId="2A326ECC" w14:textId="77777777" w:rsidR="00E86012" w:rsidRPr="00846769" w:rsidRDefault="00E86012" w:rsidP="006966B1">
            <w:pPr>
              <w:pStyle w:val="TableText"/>
              <w:rPr>
                <w:rFonts w:cstheme="minorHAnsi"/>
              </w:rPr>
            </w:pPr>
            <w:r w:rsidRPr="00846769">
              <w:rPr>
                <w:rFonts w:cstheme="minorHAnsi"/>
              </w:rPr>
              <w:t>Phylum</w:t>
            </w:r>
          </w:p>
        </w:tc>
        <w:tc>
          <w:tcPr>
            <w:tcW w:w="2585" w:type="dxa"/>
            <w:shd w:val="clear" w:color="auto" w:fill="FFFFFF" w:themeFill="background1"/>
          </w:tcPr>
          <w:p w14:paraId="6BD15715" w14:textId="77777777" w:rsidR="00E86012" w:rsidRPr="00846769" w:rsidRDefault="00E86012" w:rsidP="006966B1">
            <w:pPr>
              <w:pStyle w:val="TableText"/>
              <w:rPr>
                <w:rFonts w:cstheme="minorHAnsi"/>
              </w:rPr>
            </w:pPr>
            <w:r w:rsidRPr="00846769">
              <w:rPr>
                <w:rFonts w:cstheme="minorHAnsi"/>
              </w:rPr>
              <w:t>Mollusca</w:t>
            </w:r>
          </w:p>
        </w:tc>
      </w:tr>
      <w:tr w:rsidR="00E86012" w:rsidRPr="00846769" w14:paraId="11BA7879" w14:textId="77777777" w:rsidTr="00A04E26">
        <w:trPr>
          <w:cantSplit/>
          <w:tblHeader/>
        </w:trPr>
        <w:tc>
          <w:tcPr>
            <w:tcW w:w="1526" w:type="dxa"/>
            <w:shd w:val="clear" w:color="auto" w:fill="FFFFFF" w:themeFill="background1"/>
          </w:tcPr>
          <w:p w14:paraId="6FF5E198" w14:textId="77777777" w:rsidR="00E86012" w:rsidRPr="00846769" w:rsidRDefault="00E86012" w:rsidP="006966B1">
            <w:pPr>
              <w:pStyle w:val="TableText"/>
              <w:rPr>
                <w:rFonts w:cstheme="minorHAnsi"/>
              </w:rPr>
            </w:pPr>
            <w:r w:rsidRPr="00846769">
              <w:rPr>
                <w:rFonts w:cstheme="minorHAnsi"/>
              </w:rPr>
              <w:t>Class</w:t>
            </w:r>
          </w:p>
        </w:tc>
        <w:tc>
          <w:tcPr>
            <w:tcW w:w="2585" w:type="dxa"/>
            <w:shd w:val="clear" w:color="auto" w:fill="FFFFFF" w:themeFill="background1"/>
          </w:tcPr>
          <w:p w14:paraId="46DC6FD1" w14:textId="77777777" w:rsidR="00E86012" w:rsidRPr="00846769" w:rsidRDefault="00E86012" w:rsidP="006966B1">
            <w:pPr>
              <w:pStyle w:val="TableText"/>
              <w:rPr>
                <w:rFonts w:cstheme="minorHAnsi"/>
              </w:rPr>
            </w:pPr>
            <w:r w:rsidRPr="00846769">
              <w:rPr>
                <w:rFonts w:cstheme="minorHAnsi"/>
              </w:rPr>
              <w:t>Bivalvia</w:t>
            </w:r>
          </w:p>
        </w:tc>
      </w:tr>
      <w:tr w:rsidR="00E86012" w:rsidRPr="00846769" w14:paraId="785C8465" w14:textId="77777777" w:rsidTr="00A04E26">
        <w:trPr>
          <w:cantSplit/>
          <w:tblHeader/>
        </w:trPr>
        <w:tc>
          <w:tcPr>
            <w:tcW w:w="1526" w:type="dxa"/>
            <w:shd w:val="clear" w:color="auto" w:fill="FFFFFF" w:themeFill="background1"/>
          </w:tcPr>
          <w:p w14:paraId="39AC81BD" w14:textId="77777777" w:rsidR="00E86012" w:rsidRPr="00846769" w:rsidRDefault="00E86012" w:rsidP="006966B1">
            <w:pPr>
              <w:pStyle w:val="TableText"/>
              <w:rPr>
                <w:rFonts w:cstheme="minorHAnsi"/>
              </w:rPr>
            </w:pPr>
            <w:r w:rsidRPr="00846769">
              <w:rPr>
                <w:rFonts w:cstheme="minorHAnsi"/>
              </w:rPr>
              <w:t>Order</w:t>
            </w:r>
          </w:p>
        </w:tc>
        <w:tc>
          <w:tcPr>
            <w:tcW w:w="2585" w:type="dxa"/>
            <w:shd w:val="clear" w:color="auto" w:fill="FFFFFF" w:themeFill="background1"/>
          </w:tcPr>
          <w:p w14:paraId="29FA09F3" w14:textId="77777777" w:rsidR="00E86012" w:rsidRPr="00846769" w:rsidRDefault="00E86012" w:rsidP="006966B1">
            <w:pPr>
              <w:pStyle w:val="TableText"/>
              <w:rPr>
                <w:rFonts w:cstheme="minorHAnsi"/>
              </w:rPr>
            </w:pPr>
            <w:proofErr w:type="spellStart"/>
            <w:r w:rsidRPr="00846769">
              <w:rPr>
                <w:rFonts w:cstheme="minorHAnsi"/>
              </w:rPr>
              <w:t>Ostreodia</w:t>
            </w:r>
            <w:proofErr w:type="spellEnd"/>
          </w:p>
        </w:tc>
      </w:tr>
      <w:tr w:rsidR="00E86012" w:rsidRPr="00846769" w14:paraId="17107C49" w14:textId="77777777" w:rsidTr="00A04E26">
        <w:trPr>
          <w:cantSplit/>
          <w:tblHeader/>
        </w:trPr>
        <w:tc>
          <w:tcPr>
            <w:tcW w:w="1526" w:type="dxa"/>
            <w:shd w:val="clear" w:color="auto" w:fill="FFFFFF" w:themeFill="background1"/>
          </w:tcPr>
          <w:p w14:paraId="104FFDB9" w14:textId="77777777" w:rsidR="00E86012" w:rsidRPr="00846769" w:rsidRDefault="00E86012" w:rsidP="006966B1">
            <w:pPr>
              <w:pStyle w:val="TableText"/>
              <w:rPr>
                <w:rFonts w:cstheme="minorHAnsi"/>
              </w:rPr>
            </w:pPr>
            <w:r w:rsidRPr="00846769">
              <w:rPr>
                <w:rFonts w:cstheme="minorHAnsi"/>
              </w:rPr>
              <w:t>Family</w:t>
            </w:r>
          </w:p>
        </w:tc>
        <w:tc>
          <w:tcPr>
            <w:tcW w:w="2585" w:type="dxa"/>
            <w:shd w:val="clear" w:color="auto" w:fill="FFFFFF" w:themeFill="background1"/>
          </w:tcPr>
          <w:p w14:paraId="67C54C64" w14:textId="77777777" w:rsidR="00E86012" w:rsidRPr="00846769" w:rsidRDefault="00E86012" w:rsidP="006966B1">
            <w:pPr>
              <w:pStyle w:val="TableText"/>
              <w:rPr>
                <w:rFonts w:cstheme="minorHAnsi"/>
              </w:rPr>
            </w:pPr>
            <w:proofErr w:type="spellStart"/>
            <w:r w:rsidRPr="00846769">
              <w:rPr>
                <w:rFonts w:cstheme="minorHAnsi"/>
              </w:rPr>
              <w:t>Ostreidae</w:t>
            </w:r>
            <w:proofErr w:type="spellEnd"/>
          </w:p>
        </w:tc>
      </w:tr>
      <w:tr w:rsidR="00E86012" w:rsidRPr="00846769" w14:paraId="7D6059CF" w14:textId="77777777" w:rsidTr="00A04E26">
        <w:trPr>
          <w:cantSplit/>
          <w:tblHeader/>
        </w:trPr>
        <w:tc>
          <w:tcPr>
            <w:tcW w:w="1526" w:type="dxa"/>
            <w:shd w:val="clear" w:color="auto" w:fill="FFFFFF" w:themeFill="background1"/>
          </w:tcPr>
          <w:p w14:paraId="6E7CBBD5" w14:textId="77777777" w:rsidR="00E86012" w:rsidRPr="00846769" w:rsidRDefault="00E86012" w:rsidP="006966B1">
            <w:pPr>
              <w:pStyle w:val="TableText"/>
              <w:rPr>
                <w:rFonts w:cstheme="minorHAnsi"/>
              </w:rPr>
            </w:pPr>
            <w:r w:rsidRPr="00846769">
              <w:rPr>
                <w:rFonts w:cstheme="minorHAnsi"/>
              </w:rPr>
              <w:t>Genus</w:t>
            </w:r>
          </w:p>
        </w:tc>
        <w:tc>
          <w:tcPr>
            <w:tcW w:w="2585" w:type="dxa"/>
            <w:shd w:val="clear" w:color="auto" w:fill="FFFFFF" w:themeFill="background1"/>
          </w:tcPr>
          <w:p w14:paraId="423EC6E0" w14:textId="77777777" w:rsidR="00E86012" w:rsidRPr="00846769" w:rsidRDefault="00E86012" w:rsidP="006966B1">
            <w:pPr>
              <w:pStyle w:val="TableText"/>
              <w:rPr>
                <w:rStyle w:val="Emphasis"/>
                <w:rFonts w:cstheme="minorHAnsi"/>
              </w:rPr>
            </w:pPr>
            <w:r w:rsidRPr="00846769">
              <w:rPr>
                <w:rStyle w:val="Emphasis"/>
                <w:rFonts w:cstheme="minorHAnsi"/>
              </w:rPr>
              <w:t>Magallana</w:t>
            </w:r>
          </w:p>
        </w:tc>
      </w:tr>
    </w:tbl>
    <w:p w14:paraId="028AC863" w14:textId="3478ABBB" w:rsidR="00E86012" w:rsidRPr="00846769" w:rsidRDefault="00E86012" w:rsidP="00E86012">
      <w:pPr>
        <w:pStyle w:val="Heading5"/>
        <w:spacing w:before="120" w:after="120"/>
        <w:rPr>
          <w:color w:val="262626" w:themeColor="text1" w:themeTint="D9"/>
          <w:sz w:val="24"/>
          <w:szCs w:val="24"/>
        </w:rPr>
      </w:pPr>
      <w:r w:rsidRPr="00846769">
        <w:rPr>
          <w:color w:val="262626" w:themeColor="text1" w:themeTint="D9"/>
          <w:sz w:val="24"/>
          <w:szCs w:val="24"/>
        </w:rPr>
        <w:t>Diagnostic features for identification</w:t>
      </w:r>
    </w:p>
    <w:p w14:paraId="62C9B516" w14:textId="4C1F662F" w:rsidR="00FB178D" w:rsidRPr="00846769" w:rsidRDefault="00FB178D" w:rsidP="00FB178D">
      <w:pPr>
        <w:pStyle w:val="Heading6"/>
        <w:spacing w:after="40"/>
        <w:rPr>
          <w:color w:val="262626" w:themeColor="text1" w:themeTint="D9"/>
        </w:rPr>
      </w:pPr>
      <w:r w:rsidRPr="00846769">
        <w:rPr>
          <w:color w:val="262626" w:themeColor="text1" w:themeTint="D9"/>
        </w:rPr>
        <w:t>Field identification</w:t>
      </w:r>
    </w:p>
    <w:p w14:paraId="62BB0C67" w14:textId="6A091720" w:rsidR="00E36869" w:rsidRPr="00846769" w:rsidRDefault="00E36869" w:rsidP="00E36869">
      <w:pPr>
        <w:rPr>
          <w:rFonts w:ascii="Calibri" w:eastAsia="Calibri" w:hAnsi="Calibri" w:cs="Arial"/>
        </w:rPr>
      </w:pPr>
      <w:r w:rsidRPr="00846769">
        <w:rPr>
          <w:rFonts w:ascii="Calibri" w:eastAsia="Calibri" w:hAnsi="Calibri" w:cs="Arial"/>
          <w:i/>
          <w:iCs/>
        </w:rPr>
        <w:t xml:space="preserve">Magallana ariakensis </w:t>
      </w:r>
      <w:r w:rsidRPr="00846769">
        <w:rPr>
          <w:rFonts w:ascii="Calibri" w:eastAsia="Calibri" w:hAnsi="Calibri" w:cs="Arial"/>
        </w:rPr>
        <w:t xml:space="preserve">are difficult to identify in the field at sizes below their distinctive large shell size without opening the oyster due to high external shell morphological variability, which makes differentiation between </w:t>
      </w:r>
      <w:proofErr w:type="spellStart"/>
      <w:r w:rsidRPr="00846769">
        <w:rPr>
          <w:rFonts w:ascii="Calibri" w:eastAsia="Calibri" w:hAnsi="Calibri" w:cs="Arial"/>
        </w:rPr>
        <w:t>ostreid</w:t>
      </w:r>
      <w:proofErr w:type="spellEnd"/>
      <w:r w:rsidRPr="00846769">
        <w:rPr>
          <w:rFonts w:ascii="Calibri" w:eastAsia="Calibri" w:hAnsi="Calibri" w:cs="Arial"/>
        </w:rPr>
        <w:t xml:space="preserve"> species </w:t>
      </w:r>
      <w:r w:rsidRPr="00397214">
        <w:rPr>
          <w:rFonts w:ascii="Calibri" w:eastAsia="Calibri" w:hAnsi="Calibri" w:cs="Arial"/>
        </w:rPr>
        <w:t>challenging (MPSC 201</w:t>
      </w:r>
      <w:r w:rsidR="00397214" w:rsidRPr="00397214">
        <w:rPr>
          <w:rFonts w:ascii="Calibri" w:eastAsia="Calibri" w:hAnsi="Calibri" w:cs="Arial"/>
        </w:rPr>
        <w:t>8</w:t>
      </w:r>
      <w:r w:rsidRPr="00397214">
        <w:rPr>
          <w:rFonts w:ascii="Calibri" w:eastAsia="Calibri" w:hAnsi="Calibri" w:cs="Arial"/>
        </w:rPr>
        <w:t>).</w:t>
      </w:r>
      <w:r w:rsidRPr="00846769">
        <w:rPr>
          <w:rFonts w:ascii="Calibri" w:eastAsia="Calibri" w:hAnsi="Calibri" w:cs="Arial"/>
        </w:rPr>
        <w:t xml:space="preserve"> Internal shell morphology allows identification to genus-level; however, molecular diagnostics are the recommended method for confirming species identity. </w:t>
      </w:r>
    </w:p>
    <w:p w14:paraId="21C4BF28" w14:textId="6AE61F59" w:rsidR="004C1883" w:rsidRPr="00846769" w:rsidRDefault="004C1883" w:rsidP="004C1883">
      <w:r w:rsidRPr="00846769">
        <w:rPr>
          <w:i/>
          <w:iCs/>
        </w:rPr>
        <w:t>Magallana ariakensis</w:t>
      </w:r>
      <w:r w:rsidRPr="00846769">
        <w:t xml:space="preserve"> is large and flat in appearance and can grow up to 240 mm long</w:t>
      </w:r>
      <w:r w:rsidR="0048763B" w:rsidRPr="00846769">
        <w:t xml:space="preserve"> (</w:t>
      </w:r>
      <w:r w:rsidR="00192097" w:rsidRPr="00846769">
        <w:rPr>
          <w:highlight w:val="yellow"/>
        </w:rPr>
        <w:fldChar w:fldCharType="begin"/>
      </w:r>
      <w:r w:rsidR="00192097" w:rsidRPr="00846769">
        <w:instrText xml:space="preserve"> REF _Ref171945429 \h </w:instrText>
      </w:r>
      <w:r w:rsidR="00192097" w:rsidRPr="00846769">
        <w:rPr>
          <w:highlight w:val="yellow"/>
        </w:rPr>
      </w:r>
      <w:r w:rsidR="00192097" w:rsidRPr="00846769">
        <w:rPr>
          <w:highlight w:val="yellow"/>
        </w:rPr>
        <w:fldChar w:fldCharType="separate"/>
      </w:r>
      <w:r w:rsidR="00192097" w:rsidRPr="00846769">
        <w:t>Photo 22</w:t>
      </w:r>
      <w:r w:rsidR="00192097" w:rsidRPr="00846769">
        <w:rPr>
          <w:highlight w:val="yellow"/>
        </w:rPr>
        <w:fldChar w:fldCharType="end"/>
      </w:r>
      <w:r w:rsidR="0048763B" w:rsidRPr="00846769">
        <w:t>)</w:t>
      </w:r>
      <w:r w:rsidRPr="00846769">
        <w:t>. The shell is irregular in shape with unequal valves. The muscle scar on the inner surface of the valves is large and purplish (</w:t>
      </w:r>
      <w:r w:rsidR="00192097" w:rsidRPr="00846769">
        <w:rPr>
          <w:highlight w:val="yellow"/>
        </w:rPr>
        <w:fldChar w:fldCharType="begin"/>
      </w:r>
      <w:r w:rsidR="00192097" w:rsidRPr="00846769">
        <w:instrText xml:space="preserve"> REF _Ref171945450 \h </w:instrText>
      </w:r>
      <w:r w:rsidR="00192097" w:rsidRPr="00846769">
        <w:rPr>
          <w:highlight w:val="yellow"/>
        </w:rPr>
      </w:r>
      <w:r w:rsidR="00192097" w:rsidRPr="00846769">
        <w:rPr>
          <w:highlight w:val="yellow"/>
        </w:rPr>
        <w:fldChar w:fldCharType="separate"/>
      </w:r>
      <w:r w:rsidR="00192097" w:rsidRPr="00846769">
        <w:t>Photo 23</w:t>
      </w:r>
      <w:r w:rsidR="00192097" w:rsidRPr="00846769">
        <w:rPr>
          <w:highlight w:val="yellow"/>
        </w:rPr>
        <w:fldChar w:fldCharType="end"/>
      </w:r>
      <w:r w:rsidRPr="00846769">
        <w:t xml:space="preserve">). As with all species of </w:t>
      </w:r>
      <w:r w:rsidRPr="00846769">
        <w:rPr>
          <w:i/>
          <w:iCs/>
        </w:rPr>
        <w:t xml:space="preserve">Magallana </w:t>
      </w:r>
      <w:r w:rsidRPr="00846769">
        <w:t xml:space="preserve">and </w:t>
      </w:r>
      <w:r w:rsidRPr="00846769">
        <w:rPr>
          <w:i/>
          <w:iCs/>
        </w:rPr>
        <w:t>Crassostrea</w:t>
      </w:r>
      <w:r w:rsidRPr="00846769">
        <w:t>, the internal shell lacks internal pits (“</w:t>
      </w:r>
      <w:proofErr w:type="spellStart"/>
      <w:r w:rsidRPr="00846769">
        <w:t>chomata</w:t>
      </w:r>
      <w:proofErr w:type="spellEnd"/>
      <w:r w:rsidRPr="00846769">
        <w:t xml:space="preserve">”) around the shell margin. The external shell contains flaky lamellae or ‘layers’, which can be grey and yellowish, or brown to purple in colour. The inner surface of the valves is smooth and </w:t>
      </w:r>
      <w:proofErr w:type="gramStart"/>
      <w:r w:rsidRPr="00846769">
        <w:t>greyish-white</w:t>
      </w:r>
      <w:proofErr w:type="gramEnd"/>
      <w:r w:rsidRPr="00846769">
        <w:t xml:space="preserve">, with purple on the edges. </w:t>
      </w:r>
    </w:p>
    <w:p w14:paraId="3F4440AD" w14:textId="77777777" w:rsidR="00611CCC" w:rsidRPr="00846769" w:rsidRDefault="00611CCC" w:rsidP="004C1883"/>
    <w:p w14:paraId="07D6925E" w14:textId="77777777" w:rsidR="00611CCC" w:rsidRPr="00846769" w:rsidRDefault="00611CCC" w:rsidP="004C1883"/>
    <w:p w14:paraId="0C24223F" w14:textId="491C20E3" w:rsidR="00611CCC" w:rsidRPr="00846769" w:rsidRDefault="00611CCC" w:rsidP="00611CCC">
      <w:pPr>
        <w:pStyle w:val="Caption"/>
      </w:pPr>
      <w:bookmarkStart w:id="690" w:name="_Ref171945429"/>
      <w:bookmarkStart w:id="691" w:name="_Toc191999546"/>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22</w:t>
      </w:r>
      <w:r w:rsidRPr="00846769">
        <w:fldChar w:fldCharType="end"/>
      </w:r>
      <w:bookmarkEnd w:id="690"/>
      <w:r w:rsidRPr="00846769">
        <w:t xml:space="preserve"> </w:t>
      </w:r>
      <w:r w:rsidRPr="00846769">
        <w:rPr>
          <w:szCs w:val="24"/>
        </w:rPr>
        <w:t xml:space="preserve">Adult </w:t>
      </w:r>
      <w:r w:rsidRPr="00846769">
        <w:rPr>
          <w:i/>
          <w:iCs/>
          <w:szCs w:val="24"/>
        </w:rPr>
        <w:t xml:space="preserve">Magallana ariakensis </w:t>
      </w:r>
      <w:r w:rsidRPr="00846769">
        <w:rPr>
          <w:szCs w:val="24"/>
        </w:rPr>
        <w:t>demonstrating its size in a human hand</w:t>
      </w:r>
      <w:bookmarkEnd w:id="691"/>
    </w:p>
    <w:p w14:paraId="257907FB" w14:textId="317B09E5" w:rsidR="0048763B" w:rsidRPr="00846769" w:rsidRDefault="0048763B" w:rsidP="004C1883">
      <w:r w:rsidRPr="00846769">
        <w:rPr>
          <w:noProof/>
        </w:rPr>
        <w:drawing>
          <wp:inline distT="0" distB="0" distL="0" distR="0" wp14:anchorId="5837665D" wp14:editId="5BAB4F99">
            <wp:extent cx="5722620" cy="3808529"/>
            <wp:effectExtent l="0" t="0" r="0" b="1905"/>
            <wp:docPr id="1030645578" name="Picture 1" descr="Coloured photograph showing a human hand holding a large shell of Magallana ariakensis. The shell is nearly larger than the adult human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45578" name="Picture 1" descr="Coloured photograph showing a human hand holding a large shell of Magallana ariakensis. The shell is nearly larger than the adult human hand. "/>
                    <pic:cNvPicPr/>
                  </pic:nvPicPr>
                  <pic:blipFill>
                    <a:blip r:embed="rId268" cstate="email">
                      <a:extLst>
                        <a:ext uri="{28A0092B-C50C-407E-A947-70E740481C1C}">
                          <a14:useLocalDpi xmlns:a14="http://schemas.microsoft.com/office/drawing/2010/main" val="0"/>
                        </a:ext>
                      </a:extLst>
                    </a:blip>
                    <a:stretch>
                      <a:fillRect/>
                    </a:stretch>
                  </pic:blipFill>
                  <pic:spPr>
                    <a:xfrm>
                      <a:off x="0" y="0"/>
                      <a:ext cx="5734427" cy="3816387"/>
                    </a:xfrm>
                    <a:prstGeom prst="rect">
                      <a:avLst/>
                    </a:prstGeom>
                  </pic:spPr>
                </pic:pic>
              </a:graphicData>
            </a:graphic>
          </wp:inline>
        </w:drawing>
      </w:r>
    </w:p>
    <w:p w14:paraId="0E4ED5FA" w14:textId="04C73305" w:rsidR="0048763B" w:rsidRPr="00846769" w:rsidRDefault="0048763B" w:rsidP="0048763B">
      <w:r w:rsidRPr="00846769">
        <w:rPr>
          <w:rStyle w:val="Emphasis"/>
          <w:i w:val="0"/>
          <w:iCs w:val="0"/>
          <w:sz w:val="18"/>
          <w:szCs w:val="18"/>
        </w:rPr>
        <w:t>Source:</w:t>
      </w:r>
      <w:r w:rsidRPr="00846769">
        <w:rPr>
          <w:sz w:val="18"/>
          <w:szCs w:val="18"/>
        </w:rPr>
        <w:t xml:space="preserve"> Queensland</w:t>
      </w:r>
      <w:r w:rsidR="00ED25EB">
        <w:rPr>
          <w:sz w:val="18"/>
          <w:szCs w:val="18"/>
        </w:rPr>
        <w:t xml:space="preserve"> Government</w:t>
      </w:r>
    </w:p>
    <w:p w14:paraId="6FCC071C" w14:textId="214FE693" w:rsidR="00611CCC" w:rsidRPr="00846769" w:rsidRDefault="00611CCC" w:rsidP="00611CCC">
      <w:pPr>
        <w:pStyle w:val="Caption"/>
      </w:pPr>
      <w:bookmarkStart w:id="692" w:name="_Ref171945450"/>
      <w:bookmarkStart w:id="693" w:name="_Toc191999547"/>
      <w:r w:rsidRPr="00846769">
        <w:t xml:space="preserve">Photo </w:t>
      </w:r>
      <w:r w:rsidRPr="00846769">
        <w:fldChar w:fldCharType="begin"/>
      </w:r>
      <w:r w:rsidRPr="00846769">
        <w:instrText xml:space="preserve"> SEQ Photo \* ARABIC </w:instrText>
      </w:r>
      <w:r w:rsidRPr="00846769">
        <w:fldChar w:fldCharType="separate"/>
      </w:r>
      <w:r w:rsidR="00300312" w:rsidRPr="00846769">
        <w:t>23</w:t>
      </w:r>
      <w:r w:rsidRPr="00846769">
        <w:fldChar w:fldCharType="end"/>
      </w:r>
      <w:bookmarkEnd w:id="692"/>
      <w:r w:rsidRPr="00846769">
        <w:t xml:space="preserve"> </w:t>
      </w:r>
      <w:r w:rsidRPr="00846769">
        <w:rPr>
          <w:szCs w:val="24"/>
        </w:rPr>
        <w:t xml:space="preserve">Adult </w:t>
      </w:r>
      <w:r w:rsidRPr="00846769">
        <w:rPr>
          <w:i/>
          <w:iCs/>
          <w:szCs w:val="24"/>
        </w:rPr>
        <w:t xml:space="preserve">Magallana ariakensis </w:t>
      </w:r>
      <w:r w:rsidRPr="00846769">
        <w:rPr>
          <w:szCs w:val="24"/>
        </w:rPr>
        <w:t>showing the inside and outside of the valves</w:t>
      </w:r>
      <w:bookmarkEnd w:id="693"/>
    </w:p>
    <w:p w14:paraId="76865839" w14:textId="4419C671" w:rsidR="00E86012" w:rsidRPr="00846769" w:rsidRDefault="00E86012" w:rsidP="00E86012">
      <w:r w:rsidRPr="00846769">
        <w:rPr>
          <w:noProof/>
        </w:rPr>
        <w:drawing>
          <wp:inline distT="0" distB="0" distL="0" distR="0" wp14:anchorId="2BDEA91B" wp14:editId="6EDD2F66">
            <wp:extent cx="5684520" cy="3464308"/>
            <wp:effectExtent l="0" t="0" r="0" b="3175"/>
            <wp:docPr id="371108403" name="Picture 1" descr="Coloured photograph showing the inside and outside of the Magallana ariakensis shell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08403" name="Picture 1" descr="Coloured photograph showing the inside and outside of the Magallana ariakensis shell valves"/>
                    <pic:cNvPicPr/>
                  </pic:nvPicPr>
                  <pic:blipFill rotWithShape="1">
                    <a:blip r:embed="rId269" cstate="email">
                      <a:extLst>
                        <a:ext uri="{28A0092B-C50C-407E-A947-70E740481C1C}">
                          <a14:useLocalDpi xmlns:a14="http://schemas.microsoft.com/office/drawing/2010/main" val="0"/>
                        </a:ext>
                      </a:extLst>
                    </a:blip>
                    <a:srcRect/>
                    <a:stretch/>
                  </pic:blipFill>
                  <pic:spPr bwMode="auto">
                    <a:xfrm>
                      <a:off x="0" y="0"/>
                      <a:ext cx="5704439" cy="3476447"/>
                    </a:xfrm>
                    <a:prstGeom prst="rect">
                      <a:avLst/>
                    </a:prstGeom>
                    <a:ln>
                      <a:noFill/>
                    </a:ln>
                    <a:extLst>
                      <a:ext uri="{53640926-AAD7-44D8-BBD7-CCE9431645EC}">
                        <a14:shadowObscured xmlns:a14="http://schemas.microsoft.com/office/drawing/2010/main"/>
                      </a:ext>
                    </a:extLst>
                  </pic:spPr>
                </pic:pic>
              </a:graphicData>
            </a:graphic>
          </wp:inline>
        </w:drawing>
      </w:r>
    </w:p>
    <w:p w14:paraId="26C360E7" w14:textId="04C18467" w:rsidR="00574C50" w:rsidRPr="00846769" w:rsidRDefault="00574C50" w:rsidP="00574C50">
      <w:r w:rsidRPr="00846769">
        <w:rPr>
          <w:rStyle w:val="Emphasis"/>
          <w:i w:val="0"/>
          <w:iCs w:val="0"/>
          <w:sz w:val="18"/>
          <w:szCs w:val="18"/>
        </w:rPr>
        <w:t>Source:</w:t>
      </w:r>
      <w:r w:rsidRPr="00846769">
        <w:rPr>
          <w:sz w:val="18"/>
          <w:szCs w:val="18"/>
        </w:rPr>
        <w:t xml:space="preserve"> Queensland</w:t>
      </w:r>
      <w:r w:rsidR="00ED25EB">
        <w:rPr>
          <w:sz w:val="18"/>
          <w:szCs w:val="18"/>
        </w:rPr>
        <w:t xml:space="preserve"> Government</w:t>
      </w:r>
    </w:p>
    <w:p w14:paraId="6F350ADF" w14:textId="0E7488AC" w:rsidR="00FB178D" w:rsidRPr="00846769" w:rsidRDefault="00FB178D" w:rsidP="00FB178D">
      <w:pPr>
        <w:pStyle w:val="Heading6"/>
        <w:spacing w:after="40"/>
        <w:rPr>
          <w:color w:val="262626" w:themeColor="text1" w:themeTint="D9"/>
        </w:rPr>
      </w:pPr>
      <w:r w:rsidRPr="00846769">
        <w:rPr>
          <w:color w:val="262626" w:themeColor="text1" w:themeTint="D9"/>
        </w:rPr>
        <w:lastRenderedPageBreak/>
        <w:t>Similar native species</w:t>
      </w:r>
    </w:p>
    <w:p w14:paraId="143EF388" w14:textId="690C8DE0" w:rsidR="0048763B" w:rsidRPr="00846769" w:rsidRDefault="0048763B" w:rsidP="0048763B">
      <w:r w:rsidRPr="00846769">
        <w:rPr>
          <w:i/>
          <w:iCs/>
        </w:rPr>
        <w:t xml:space="preserve">Magallana ariakensis </w:t>
      </w:r>
      <w:r w:rsidRPr="00846769">
        <w:t xml:space="preserve">are not easily distinguished from other oysters until they reach a distinctive size larger than native oyster species. This species looks very similar to the black scar oyster, </w:t>
      </w:r>
      <w:r w:rsidRPr="00846769">
        <w:rPr>
          <w:i/>
          <w:iCs/>
        </w:rPr>
        <w:t>M. bilineata</w:t>
      </w:r>
      <w:r w:rsidRPr="00846769">
        <w:t xml:space="preserve">, another introduced marine species in Far North Queensland. </w:t>
      </w:r>
      <w:r w:rsidRPr="00846769">
        <w:rPr>
          <w:i/>
          <w:iCs/>
        </w:rPr>
        <w:t xml:space="preserve">Magallana ariakensis </w:t>
      </w:r>
      <w:r w:rsidRPr="00846769">
        <w:t xml:space="preserve">can look </w:t>
      </w:r>
      <w:proofErr w:type="gramStart"/>
      <w:r w:rsidRPr="00846769">
        <w:t>similar to</w:t>
      </w:r>
      <w:proofErr w:type="gramEnd"/>
      <w:r w:rsidRPr="00846769">
        <w:t xml:space="preserve"> native Sydney rock oysters, </w:t>
      </w:r>
      <w:r w:rsidRPr="00846769">
        <w:rPr>
          <w:i/>
          <w:iCs/>
        </w:rPr>
        <w:t>Saccostrea</w:t>
      </w:r>
      <w:r w:rsidRPr="00846769">
        <w:t xml:space="preserve"> </w:t>
      </w:r>
      <w:r w:rsidRPr="00846769">
        <w:rPr>
          <w:i/>
          <w:iCs/>
        </w:rPr>
        <w:t xml:space="preserve">glomerata, </w:t>
      </w:r>
      <w:r w:rsidRPr="00846769">
        <w:t>especially at smaller sizes</w:t>
      </w:r>
      <w:r w:rsidRPr="00846769">
        <w:rPr>
          <w:i/>
          <w:iCs/>
        </w:rPr>
        <w:t xml:space="preserve"> </w:t>
      </w:r>
      <w:r w:rsidRPr="00846769">
        <w:t>(</w:t>
      </w:r>
      <w:r w:rsidR="00192097" w:rsidRPr="00846769">
        <w:fldChar w:fldCharType="begin"/>
      </w:r>
      <w:r w:rsidR="00192097" w:rsidRPr="00846769">
        <w:instrText xml:space="preserve"> REF _Ref171945468 \h </w:instrText>
      </w:r>
      <w:r w:rsidR="00192097" w:rsidRPr="00846769">
        <w:fldChar w:fldCharType="separate"/>
      </w:r>
      <w:r w:rsidR="00192097" w:rsidRPr="00846769">
        <w:t>Photo 24</w:t>
      </w:r>
      <w:r w:rsidR="00192097" w:rsidRPr="00846769">
        <w:fldChar w:fldCharType="end"/>
      </w:r>
      <w:r w:rsidRPr="00846769">
        <w:t xml:space="preserve">). </w:t>
      </w:r>
    </w:p>
    <w:p w14:paraId="42DDF8B1" w14:textId="3A643EB7" w:rsidR="00651FFB" w:rsidRPr="00846769" w:rsidRDefault="00651FFB" w:rsidP="0048763B">
      <w:r w:rsidRPr="00846769">
        <w:t xml:space="preserve">In its native range, </w:t>
      </w:r>
      <w:r w:rsidRPr="00846769">
        <w:rPr>
          <w:i/>
          <w:iCs/>
        </w:rPr>
        <w:t xml:space="preserve">M. ariakensis </w:t>
      </w:r>
      <w:r w:rsidRPr="00846769">
        <w:t xml:space="preserve">appears to be part of a species complex that includes the </w:t>
      </w:r>
      <w:proofErr w:type="gramStart"/>
      <w:r w:rsidRPr="00846769">
        <w:t>closely-related</w:t>
      </w:r>
      <w:proofErr w:type="gramEnd"/>
      <w:r w:rsidRPr="00846769">
        <w:t xml:space="preserve"> </w:t>
      </w:r>
      <w:r w:rsidRPr="00846769">
        <w:rPr>
          <w:i/>
          <w:iCs/>
        </w:rPr>
        <w:t xml:space="preserve">M. </w:t>
      </w:r>
      <w:proofErr w:type="spellStart"/>
      <w:r w:rsidRPr="00846769">
        <w:rPr>
          <w:i/>
          <w:iCs/>
        </w:rPr>
        <w:t>honkongensis</w:t>
      </w:r>
      <w:proofErr w:type="spellEnd"/>
      <w:r w:rsidRPr="00846769">
        <w:rPr>
          <w:i/>
          <w:iCs/>
        </w:rPr>
        <w:t xml:space="preserve"> </w:t>
      </w:r>
      <w:r w:rsidRPr="00846769">
        <w:t xml:space="preserve">and </w:t>
      </w:r>
      <w:r w:rsidRPr="00846769">
        <w:rPr>
          <w:i/>
          <w:iCs/>
        </w:rPr>
        <w:t xml:space="preserve">M. </w:t>
      </w:r>
      <w:proofErr w:type="spellStart"/>
      <w:r w:rsidRPr="00846769">
        <w:rPr>
          <w:i/>
          <w:iCs/>
        </w:rPr>
        <w:t>nippona</w:t>
      </w:r>
      <w:proofErr w:type="spellEnd"/>
      <w:r w:rsidRPr="00846769">
        <w:rPr>
          <w:i/>
          <w:iCs/>
        </w:rPr>
        <w:t xml:space="preserve">. </w:t>
      </w:r>
    </w:p>
    <w:p w14:paraId="0E59654E" w14:textId="451E804A" w:rsidR="00611CCC" w:rsidRPr="00846769" w:rsidRDefault="00611CCC" w:rsidP="00611CCC">
      <w:pPr>
        <w:pStyle w:val="Caption"/>
      </w:pPr>
      <w:bookmarkStart w:id="694" w:name="_Ref171945468"/>
      <w:bookmarkStart w:id="695" w:name="_Toc191999548"/>
      <w:r w:rsidRPr="00846769">
        <w:t xml:space="preserve">Photo </w:t>
      </w:r>
      <w:r w:rsidRPr="00846769">
        <w:fldChar w:fldCharType="begin"/>
      </w:r>
      <w:r w:rsidRPr="00846769">
        <w:instrText xml:space="preserve"> SEQ Photo \* ARABIC </w:instrText>
      </w:r>
      <w:r w:rsidRPr="00846769">
        <w:fldChar w:fldCharType="separate"/>
      </w:r>
      <w:r w:rsidR="00300312" w:rsidRPr="00846769">
        <w:t>24</w:t>
      </w:r>
      <w:r w:rsidRPr="00846769">
        <w:fldChar w:fldCharType="end"/>
      </w:r>
      <w:bookmarkEnd w:id="694"/>
      <w:r w:rsidRPr="00846769">
        <w:t xml:space="preserve"> </w:t>
      </w:r>
      <w:r w:rsidRPr="00846769">
        <w:rPr>
          <w:szCs w:val="24"/>
        </w:rPr>
        <w:t xml:space="preserve">Juvenile </w:t>
      </w:r>
      <w:r w:rsidRPr="00846769">
        <w:rPr>
          <w:i/>
          <w:iCs/>
          <w:szCs w:val="24"/>
        </w:rPr>
        <w:t xml:space="preserve">Magallana ariakensis </w:t>
      </w:r>
      <w:r w:rsidRPr="00846769">
        <w:rPr>
          <w:szCs w:val="24"/>
        </w:rPr>
        <w:t xml:space="preserve">(left), native </w:t>
      </w:r>
      <w:r w:rsidRPr="00846769">
        <w:rPr>
          <w:i/>
          <w:iCs/>
          <w:szCs w:val="24"/>
        </w:rPr>
        <w:t xml:space="preserve">Saccostrea glomerata </w:t>
      </w:r>
      <w:r w:rsidRPr="00846769">
        <w:rPr>
          <w:szCs w:val="24"/>
        </w:rPr>
        <w:t xml:space="preserve">(middle), and mature </w:t>
      </w:r>
      <w:r w:rsidRPr="00846769">
        <w:rPr>
          <w:i/>
          <w:iCs/>
          <w:szCs w:val="24"/>
        </w:rPr>
        <w:t xml:space="preserve">M. ariakensis </w:t>
      </w:r>
      <w:r w:rsidRPr="00846769">
        <w:rPr>
          <w:szCs w:val="24"/>
        </w:rPr>
        <w:t>(right)</w:t>
      </w:r>
      <w:bookmarkEnd w:id="695"/>
    </w:p>
    <w:p w14:paraId="404F8074" w14:textId="77777777" w:rsidR="0048763B" w:rsidRPr="00846769" w:rsidRDefault="0048763B" w:rsidP="0048763B">
      <w:r w:rsidRPr="00846769">
        <w:rPr>
          <w:noProof/>
        </w:rPr>
        <w:drawing>
          <wp:inline distT="0" distB="0" distL="0" distR="0" wp14:anchorId="65D3C0BB" wp14:editId="4E069DB6">
            <wp:extent cx="5676900" cy="3630632"/>
            <wp:effectExtent l="0" t="0" r="0" b="8255"/>
            <wp:docPr id="1211418183" name="Picture 3" descr="Coloured photograph showing an adult and juvenile Magallana ariakensis against an adult human hand, and the native Saccostrea glomerata oyster shell for comparis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18183" name="Picture 3" descr="Coloured photograph showing an adult and juvenile Magallana ariakensis against an adult human hand, and the native Saccostrea glomerata oyster shell for comparison. &#10;"/>
                    <pic:cNvPicPr>
                      <a:picLocks noChangeAspect="1" noChangeArrowheads="1"/>
                    </pic:cNvPicPr>
                  </pic:nvPicPr>
                  <pic:blipFill rotWithShape="1">
                    <a:blip r:embed="rId270" cstate="email">
                      <a:extLst>
                        <a:ext uri="{28A0092B-C50C-407E-A947-70E740481C1C}">
                          <a14:useLocalDpi xmlns:a14="http://schemas.microsoft.com/office/drawing/2010/main" val="0"/>
                        </a:ext>
                      </a:extLst>
                    </a:blip>
                    <a:srcRect/>
                    <a:stretch/>
                  </pic:blipFill>
                  <pic:spPr bwMode="auto">
                    <a:xfrm>
                      <a:off x="0" y="0"/>
                      <a:ext cx="5707891" cy="3650452"/>
                    </a:xfrm>
                    <a:prstGeom prst="rect">
                      <a:avLst/>
                    </a:prstGeom>
                    <a:noFill/>
                    <a:ln>
                      <a:noFill/>
                    </a:ln>
                    <a:extLst>
                      <a:ext uri="{53640926-AAD7-44D8-BBD7-CCE9431645EC}">
                        <a14:shadowObscured xmlns:a14="http://schemas.microsoft.com/office/drawing/2010/main"/>
                      </a:ext>
                    </a:extLst>
                  </pic:spPr>
                </pic:pic>
              </a:graphicData>
            </a:graphic>
          </wp:inline>
        </w:drawing>
      </w:r>
    </w:p>
    <w:p w14:paraId="22991552" w14:textId="6C115295" w:rsidR="0048763B" w:rsidRPr="00846769" w:rsidRDefault="0048763B" w:rsidP="0048763B">
      <w:r w:rsidRPr="00846769">
        <w:rPr>
          <w:rStyle w:val="Emphasis"/>
          <w:i w:val="0"/>
          <w:iCs w:val="0"/>
          <w:sz w:val="18"/>
          <w:szCs w:val="18"/>
        </w:rPr>
        <w:t>Source:</w:t>
      </w:r>
      <w:r w:rsidRPr="00846769">
        <w:rPr>
          <w:sz w:val="18"/>
          <w:szCs w:val="18"/>
        </w:rPr>
        <w:t xml:space="preserve"> Queensland</w:t>
      </w:r>
      <w:r w:rsidR="00ED25EB">
        <w:rPr>
          <w:sz w:val="18"/>
          <w:szCs w:val="18"/>
        </w:rPr>
        <w:t xml:space="preserve"> Government</w:t>
      </w:r>
    </w:p>
    <w:p w14:paraId="60EEECD8" w14:textId="4E6D0776" w:rsidR="00FB178D" w:rsidRPr="00846769" w:rsidRDefault="00FB178D" w:rsidP="00FB178D">
      <w:pPr>
        <w:pStyle w:val="Heading6"/>
        <w:spacing w:after="40"/>
        <w:rPr>
          <w:color w:val="262626" w:themeColor="text1" w:themeTint="D9"/>
        </w:rPr>
      </w:pPr>
      <w:r w:rsidRPr="00846769">
        <w:rPr>
          <w:color w:val="262626" w:themeColor="text1" w:themeTint="D9"/>
        </w:rPr>
        <w:t>Laboratory and molecular identification</w:t>
      </w:r>
    </w:p>
    <w:p w14:paraId="40AE25E9" w14:textId="762AB74A" w:rsidR="00AA0B24" w:rsidRPr="00846769" w:rsidRDefault="00B01DCB" w:rsidP="0048763B">
      <w:r w:rsidRPr="00846769">
        <w:t xml:space="preserve">Multiplex genus and species-specific PCR markers </w:t>
      </w:r>
      <w:r w:rsidR="000E1C34" w:rsidRPr="00846769">
        <w:t xml:space="preserve">using mitochondrial COI and nuclear 28S ribosomal RNA genes have been developed for </w:t>
      </w:r>
      <w:r w:rsidR="000E1C34" w:rsidRPr="00846769">
        <w:rPr>
          <w:i/>
          <w:iCs/>
        </w:rPr>
        <w:t>M</w:t>
      </w:r>
      <w:r w:rsidR="000E1C34" w:rsidRPr="00634A79">
        <w:rPr>
          <w:i/>
          <w:iCs/>
        </w:rPr>
        <w:t xml:space="preserve">. ariakensis </w:t>
      </w:r>
      <w:r w:rsidR="000E1C34" w:rsidRPr="00634A79">
        <w:t>in China (Wang &amp; Guo 2008). These PCRs have not been validated under Australian conditions.</w:t>
      </w:r>
      <w:r w:rsidR="000E1C34" w:rsidRPr="00634A79">
        <w:rPr>
          <w:i/>
          <w:iCs/>
        </w:rPr>
        <w:t xml:space="preserve"> </w:t>
      </w:r>
      <w:r w:rsidRPr="00634A79">
        <w:t>S</w:t>
      </w:r>
      <w:r w:rsidR="0048763B" w:rsidRPr="00634A79">
        <w:t xml:space="preserve">equencing has been done on </w:t>
      </w:r>
      <w:r w:rsidR="0048763B" w:rsidRPr="00634A79">
        <w:rPr>
          <w:i/>
          <w:iCs/>
        </w:rPr>
        <w:t>M. ariakensis</w:t>
      </w:r>
      <w:r w:rsidRPr="00634A79">
        <w:rPr>
          <w:i/>
          <w:iCs/>
        </w:rPr>
        <w:t xml:space="preserve"> </w:t>
      </w:r>
      <w:r w:rsidRPr="00634A79">
        <w:t xml:space="preserve">(as </w:t>
      </w:r>
      <w:r w:rsidRPr="00634A79">
        <w:rPr>
          <w:i/>
          <w:iCs/>
        </w:rPr>
        <w:t>Crassostrea ariakensis</w:t>
      </w:r>
      <w:r w:rsidRPr="00634A79">
        <w:t>)</w:t>
      </w:r>
      <w:r w:rsidR="0048763B" w:rsidRPr="00634A79">
        <w:rPr>
          <w:i/>
          <w:iCs/>
        </w:rPr>
        <w:t xml:space="preserve"> </w:t>
      </w:r>
      <w:r w:rsidR="0048763B" w:rsidRPr="00634A79">
        <w:t xml:space="preserve">in </w:t>
      </w:r>
      <w:r w:rsidRPr="00634A79">
        <w:t xml:space="preserve">its native range using mitochondrial COI and nuclear ITS-1 regions (Reece et al. 2008). </w:t>
      </w:r>
      <w:r w:rsidR="00AA0B24" w:rsidRPr="00634A79">
        <w:t>In Queensland</w:t>
      </w:r>
      <w:r w:rsidR="009C1A9D">
        <w:t>, Australia,</w:t>
      </w:r>
      <w:r w:rsidR="00AA0B24" w:rsidRPr="00634A79">
        <w:t xml:space="preserve"> </w:t>
      </w:r>
      <w:r w:rsidR="00125968">
        <w:t>partial</w:t>
      </w:r>
      <w:r w:rsidR="00283582">
        <w:t xml:space="preserve"> mitochondrial</w:t>
      </w:r>
      <w:r w:rsidR="00125968">
        <w:t xml:space="preserve"> </w:t>
      </w:r>
      <w:r w:rsidR="00AA0B24" w:rsidRPr="00634A79">
        <w:t>16</w:t>
      </w:r>
      <w:proofErr w:type="gramStart"/>
      <w:r w:rsidR="00AA0B24" w:rsidRPr="00634A79">
        <w:t xml:space="preserve">S  </w:t>
      </w:r>
      <w:r w:rsidR="00283582">
        <w:t>and</w:t>
      </w:r>
      <w:proofErr w:type="gramEnd"/>
      <w:r w:rsidR="00283582">
        <w:t xml:space="preserve"> COI </w:t>
      </w:r>
      <w:r w:rsidR="00AA0B24" w:rsidRPr="00634A79">
        <w:t xml:space="preserve">regions </w:t>
      </w:r>
      <w:r w:rsidR="009C1A9D">
        <w:t xml:space="preserve">have been used </w:t>
      </w:r>
      <w:r w:rsidR="00AA0B24" w:rsidRPr="00634A79">
        <w:t xml:space="preserve">for sequencing </w:t>
      </w:r>
      <w:r w:rsidR="00AA0B24" w:rsidRPr="00634A79">
        <w:rPr>
          <w:i/>
          <w:iCs/>
        </w:rPr>
        <w:t>M. ariakensis.</w:t>
      </w:r>
      <w:r w:rsidR="00AA0B24" w:rsidRPr="00846769">
        <w:rPr>
          <w:rStyle w:val="CommentReference"/>
        </w:rPr>
        <w:t xml:space="preserve"> </w:t>
      </w:r>
    </w:p>
    <w:p w14:paraId="0CDEB6A2" w14:textId="77777777" w:rsidR="0048763B" w:rsidRPr="00846769" w:rsidRDefault="0048763B" w:rsidP="0048763B">
      <w:pPr>
        <w:rPr>
          <w:rFonts w:cstheme="minorHAnsi"/>
        </w:rPr>
      </w:pPr>
      <w:r w:rsidRPr="00846769">
        <w:rPr>
          <w:rFonts w:cstheme="minorHAnsi"/>
        </w:rPr>
        <w:t>Refer to the guidelines for development and validation of assays for marine pests</w:t>
      </w:r>
      <w:r w:rsidRPr="00846769">
        <w:t xml:space="preserve"> for further information</w:t>
      </w:r>
      <w:r w:rsidRPr="00846769">
        <w:rPr>
          <w:rFonts w:cstheme="minorHAnsi"/>
        </w:rPr>
        <w:t xml:space="preserve"> and </w:t>
      </w:r>
      <w:hyperlink r:id="rId271" w:anchor=":~:text=Compendium%20of%20introduced%20marine%20pest%20molecular%20studies%20relevant%20to%20Australia,-Department%20of%20Agriculture&amp;text=This%20compendium%20provides%20a%20central,research%20and%20surveillance%20in%20Australia." w:history="1">
        <w:r w:rsidRPr="00846769">
          <w:rPr>
            <w:rStyle w:val="Hyperlink"/>
            <w:rFonts w:cstheme="minorHAnsi"/>
          </w:rPr>
          <w:t>compendium of introduced marine pest molecular studies relevant to Australia</w:t>
        </w:r>
      </w:hyperlink>
      <w:r w:rsidRPr="00846769">
        <w:rPr>
          <w:rFonts w:cstheme="minorHAnsi"/>
        </w:rPr>
        <w:t>.</w:t>
      </w:r>
    </w:p>
    <w:p w14:paraId="178F3809" w14:textId="77777777" w:rsidR="0048763B" w:rsidRPr="00846769" w:rsidRDefault="0048763B" w:rsidP="0048763B"/>
    <w:p w14:paraId="67FD2FFB" w14:textId="77777777" w:rsidR="00FB178D" w:rsidRPr="00846769" w:rsidRDefault="00FB178D" w:rsidP="00FB178D">
      <w:pPr>
        <w:pStyle w:val="Heading5"/>
        <w:spacing w:after="120"/>
        <w:rPr>
          <w:color w:val="262626" w:themeColor="text1" w:themeTint="D9"/>
          <w:sz w:val="24"/>
          <w:szCs w:val="24"/>
        </w:rPr>
      </w:pPr>
      <w:r w:rsidRPr="00846769">
        <w:rPr>
          <w:color w:val="262626" w:themeColor="text1" w:themeTint="D9"/>
          <w:sz w:val="24"/>
          <w:szCs w:val="24"/>
        </w:rPr>
        <w:lastRenderedPageBreak/>
        <w:t>Life history and ecology</w:t>
      </w:r>
    </w:p>
    <w:p w14:paraId="7726AD9C" w14:textId="77777777" w:rsidR="00FB178D" w:rsidRPr="00846769" w:rsidRDefault="00FB178D" w:rsidP="00FB178D">
      <w:pPr>
        <w:pStyle w:val="Heading6"/>
        <w:spacing w:after="40"/>
        <w:rPr>
          <w:color w:val="262626" w:themeColor="text1" w:themeTint="D9"/>
        </w:rPr>
      </w:pPr>
      <w:r w:rsidRPr="00846769">
        <w:rPr>
          <w:color w:val="262626" w:themeColor="text1" w:themeTint="D9"/>
        </w:rPr>
        <w:t>Life habit</w:t>
      </w:r>
    </w:p>
    <w:p w14:paraId="76912F93" w14:textId="0582F170" w:rsidR="00E957AA" w:rsidRPr="00634A79" w:rsidRDefault="000E1C34" w:rsidP="000E1C34">
      <w:r w:rsidRPr="00846769">
        <w:rPr>
          <w:i/>
          <w:iCs/>
        </w:rPr>
        <w:t xml:space="preserve">Magallana ariakensis </w:t>
      </w:r>
      <w:r w:rsidRPr="00846769">
        <w:t xml:space="preserve">is a fouling bivalve which grows on hard objects in brackish shallow intertidal or subtidal waters, as well as muddy creeks of </w:t>
      </w:r>
      <w:r w:rsidRPr="00B25DD3">
        <w:t xml:space="preserve">warm estuaries. </w:t>
      </w:r>
      <w:r w:rsidR="005802A2" w:rsidRPr="00B25DD3">
        <w:t>It is found from the low tide line to 7</w:t>
      </w:r>
      <w:r w:rsidR="003637A4">
        <w:rPr>
          <w:rFonts w:cstheme="minorHAnsi"/>
        </w:rPr>
        <w:t>‒</w:t>
      </w:r>
      <w:r w:rsidR="005802A2" w:rsidRPr="00B25DD3">
        <w:t xml:space="preserve">10 m </w:t>
      </w:r>
      <w:r w:rsidR="00E957AA" w:rsidRPr="00B25DD3">
        <w:t>depth but</w:t>
      </w:r>
      <w:r w:rsidR="005802A2" w:rsidRPr="00B25DD3">
        <w:t xml:space="preserve"> is occasionally found </w:t>
      </w:r>
      <w:r w:rsidR="00E957AA" w:rsidRPr="00B25DD3">
        <w:t xml:space="preserve">at the high tide mark (Zhou &amp; Allen 2003). </w:t>
      </w:r>
      <w:r w:rsidRPr="00B25DD3">
        <w:t xml:space="preserve">It can foul submerged and floating infrastructure including pylons, pontoons, and boats and can occupy disturbed habitats. In its native range in China and Japan, </w:t>
      </w:r>
      <w:r w:rsidRPr="00B25DD3">
        <w:rPr>
          <w:i/>
          <w:iCs/>
        </w:rPr>
        <w:t xml:space="preserve">M. ariakensis </w:t>
      </w:r>
      <w:r w:rsidRPr="00B25DD3">
        <w:t xml:space="preserve">is characteristic of estuarine habitats and is found in muddy intertidal </w:t>
      </w:r>
      <w:r w:rsidRPr="00634A79">
        <w:t>zones</w:t>
      </w:r>
      <w:r w:rsidR="005802A2" w:rsidRPr="00634A79">
        <w:t xml:space="preserve"> (Zhou &amp; Allen 2003)</w:t>
      </w:r>
      <w:r w:rsidRPr="00634A79">
        <w:t>.</w:t>
      </w:r>
      <w:r w:rsidR="00E957AA" w:rsidRPr="00634A79">
        <w:t xml:space="preserve"> The extent of the </w:t>
      </w:r>
      <w:r w:rsidR="00E957AA" w:rsidRPr="00634A79">
        <w:rPr>
          <w:i/>
          <w:iCs/>
        </w:rPr>
        <w:t xml:space="preserve">M. ariakensis </w:t>
      </w:r>
      <w:r w:rsidR="00E957AA" w:rsidRPr="00634A79">
        <w:t xml:space="preserve">populations in Brisbane and the Moreton Bay region in Queensland </w:t>
      </w:r>
      <w:r w:rsidR="00651FFB" w:rsidRPr="00634A79">
        <w:t>are unknown, but they have bound found in similar muddy, intertidal habitats</w:t>
      </w:r>
      <w:r w:rsidR="00E957AA" w:rsidRPr="00634A79">
        <w:t xml:space="preserve"> (Queensland </w:t>
      </w:r>
      <w:r w:rsidR="00ED25EB" w:rsidRPr="00634A79">
        <w:t xml:space="preserve">Government </w:t>
      </w:r>
      <w:r w:rsidR="00E36869" w:rsidRPr="00634A79">
        <w:rPr>
          <w:rFonts w:ascii="Calibri" w:eastAsia="Calibri" w:hAnsi="Calibri" w:cs="Arial"/>
        </w:rPr>
        <w:t>2024</w:t>
      </w:r>
      <w:r w:rsidR="00E957AA" w:rsidRPr="00634A79">
        <w:t>).</w:t>
      </w:r>
    </w:p>
    <w:p w14:paraId="7008576D" w14:textId="025306AB" w:rsidR="005802A2" w:rsidRPr="00634A79" w:rsidRDefault="005802A2" w:rsidP="000E1C34">
      <w:r w:rsidRPr="00634A79">
        <w:t xml:space="preserve">In the field, the temperature tolerance of </w:t>
      </w:r>
      <w:r w:rsidRPr="00634A79">
        <w:rPr>
          <w:i/>
          <w:iCs/>
        </w:rPr>
        <w:t xml:space="preserve">M. ariakensis </w:t>
      </w:r>
      <w:r w:rsidRPr="00634A79">
        <w:t>ranges from 2</w:t>
      </w:r>
      <w:r w:rsidR="003637A4" w:rsidRPr="00634A79">
        <w:rPr>
          <w:rFonts w:cstheme="minorHAnsi"/>
        </w:rPr>
        <w:t>‒</w:t>
      </w:r>
      <w:r w:rsidRPr="00634A79">
        <w:t xml:space="preserve">35°C (Zhou &amp; Allen 2003). </w:t>
      </w:r>
      <w:r w:rsidR="00E957AA" w:rsidRPr="00634A79">
        <w:rPr>
          <w:i/>
          <w:iCs/>
        </w:rPr>
        <w:t xml:space="preserve">Magallana </w:t>
      </w:r>
      <w:r w:rsidRPr="00634A79">
        <w:rPr>
          <w:i/>
          <w:iCs/>
        </w:rPr>
        <w:t xml:space="preserve">ariakensis </w:t>
      </w:r>
      <w:r w:rsidRPr="00634A79">
        <w:t>has a wide salinity tolerance ranging from 6</w:t>
      </w:r>
      <w:r w:rsidR="003637A4" w:rsidRPr="00634A79">
        <w:rPr>
          <w:rFonts w:cstheme="minorHAnsi"/>
        </w:rPr>
        <w:t>‒</w:t>
      </w:r>
      <w:r w:rsidRPr="00634A79">
        <w:t>35 ppt (Calvo et al. 2001)</w:t>
      </w:r>
      <w:r w:rsidR="00E957AA" w:rsidRPr="00634A79">
        <w:t>, however the optimum salinity range for this species is between 10</w:t>
      </w:r>
      <w:r w:rsidR="003637A4" w:rsidRPr="00634A79">
        <w:rPr>
          <w:rFonts w:cstheme="minorHAnsi"/>
        </w:rPr>
        <w:t>‒</w:t>
      </w:r>
      <w:r w:rsidR="00E957AA" w:rsidRPr="00634A79">
        <w:t>28 ppt (Zhou &amp; Allen 2003)</w:t>
      </w:r>
      <w:r w:rsidRPr="00634A79">
        <w:t>.</w:t>
      </w:r>
    </w:p>
    <w:p w14:paraId="1B4291CD" w14:textId="4BA89F34" w:rsidR="000E1C34" w:rsidRPr="00846769" w:rsidRDefault="000E1C34" w:rsidP="000E1C34">
      <w:r w:rsidRPr="00634A79">
        <w:rPr>
          <w:i/>
          <w:iCs/>
        </w:rPr>
        <w:t xml:space="preserve">Magallana </w:t>
      </w:r>
      <w:r w:rsidR="00E957AA" w:rsidRPr="00634A79">
        <w:rPr>
          <w:i/>
          <w:iCs/>
        </w:rPr>
        <w:t>ariakensis</w:t>
      </w:r>
      <w:r w:rsidRPr="00634A79">
        <w:rPr>
          <w:i/>
          <w:iCs/>
        </w:rPr>
        <w:t xml:space="preserve"> </w:t>
      </w:r>
      <w:r w:rsidRPr="00634A79">
        <w:t xml:space="preserve">are predated on by </w:t>
      </w:r>
      <w:r w:rsidR="00E957AA" w:rsidRPr="00634A79">
        <w:t>seastars, urchins, boring snails, and crabs (Zhou &amp; Allen 2003). It is cultivated in its native range for human consumption, and was previously proposed to be introduced into Chesapeake Bay, USA, and France for aquaculture production (</w:t>
      </w:r>
      <w:proofErr w:type="spellStart"/>
      <w:r w:rsidR="00E957AA" w:rsidRPr="00634A79">
        <w:t>Cochennec</w:t>
      </w:r>
      <w:proofErr w:type="spellEnd"/>
      <w:r w:rsidR="00E957AA" w:rsidRPr="00634A79">
        <w:t xml:space="preserve"> et al. 1998).</w:t>
      </w:r>
      <w:r w:rsidR="00E957AA" w:rsidRPr="00846769">
        <w:t xml:space="preserve"> </w:t>
      </w:r>
    </w:p>
    <w:p w14:paraId="21DF3C6D" w14:textId="77777777" w:rsidR="00FB178D" w:rsidRPr="00846769" w:rsidRDefault="00FB178D" w:rsidP="00FB178D">
      <w:pPr>
        <w:pStyle w:val="Heading6"/>
        <w:spacing w:before="120" w:after="40"/>
        <w:rPr>
          <w:color w:val="262626" w:themeColor="text1" w:themeTint="D9"/>
        </w:rPr>
      </w:pPr>
      <w:r w:rsidRPr="00846769">
        <w:rPr>
          <w:color w:val="262626" w:themeColor="text1" w:themeTint="D9"/>
        </w:rPr>
        <w:t>Reproduction and growth</w:t>
      </w:r>
    </w:p>
    <w:p w14:paraId="56FFDE9C" w14:textId="5FC68951" w:rsidR="00681BB3" w:rsidRPr="00B25DD3" w:rsidRDefault="00E957AA" w:rsidP="00E957AA">
      <w:r w:rsidRPr="00846769">
        <w:rPr>
          <w:i/>
          <w:iCs/>
        </w:rPr>
        <w:t xml:space="preserve">Magallana ariakensis </w:t>
      </w:r>
      <w:r w:rsidRPr="00846769">
        <w:rPr>
          <w:rStyle w:val="CommentReference"/>
          <w:sz w:val="22"/>
          <w:szCs w:val="22"/>
        </w:rPr>
        <w:t xml:space="preserve">have separate </w:t>
      </w:r>
      <w:r w:rsidRPr="00B25DD3">
        <w:rPr>
          <w:rStyle w:val="CommentReference"/>
          <w:sz w:val="22"/>
          <w:szCs w:val="22"/>
        </w:rPr>
        <w:t>sexes and are</w:t>
      </w:r>
      <w:r w:rsidRPr="00B25DD3">
        <w:t xml:space="preserve"> </w:t>
      </w:r>
      <w:r w:rsidR="00C93191" w:rsidRPr="00B25DD3">
        <w:t>protandric</w:t>
      </w:r>
      <w:r w:rsidRPr="00B25DD3">
        <w:t xml:space="preserve"> hermaphrodites, </w:t>
      </w:r>
      <w:r w:rsidR="00C93191" w:rsidRPr="00B25DD3">
        <w:t>maturing first as a male and then often becoming female later in development. They can reach sexual maturity at 2</w:t>
      </w:r>
      <w:r w:rsidR="003E0CB9">
        <w:rPr>
          <w:rFonts w:cstheme="minorHAnsi"/>
        </w:rPr>
        <w:t>‒</w:t>
      </w:r>
      <w:r w:rsidR="00C93191" w:rsidRPr="00B25DD3">
        <w:t>3 months old with a shell length of 40</w:t>
      </w:r>
      <w:r w:rsidR="003E0CB9">
        <w:rPr>
          <w:rFonts w:cstheme="minorHAnsi"/>
        </w:rPr>
        <w:t>‒</w:t>
      </w:r>
      <w:r w:rsidR="00C93191" w:rsidRPr="00B25DD3">
        <w:t xml:space="preserve">60 mm (Zhou &amp; Allen 2003). Adults can reach very large sizes, up to 257 mm shell length, and can live up to 20 years (Zhou &amp; Allen 2003). </w:t>
      </w:r>
      <w:r w:rsidR="00681BB3" w:rsidRPr="00B25DD3">
        <w:t>Spawning occurs at optimum water temperatures between 22</w:t>
      </w:r>
      <w:r w:rsidR="003637A4">
        <w:rPr>
          <w:rFonts w:cstheme="minorHAnsi"/>
        </w:rPr>
        <w:t>‒</w:t>
      </w:r>
      <w:r w:rsidR="00681BB3" w:rsidRPr="00B25DD3">
        <w:t xml:space="preserve">26°C, meanwhile optimum salinity for reproduction of </w:t>
      </w:r>
      <w:r w:rsidR="00681BB3" w:rsidRPr="00B25DD3">
        <w:rPr>
          <w:i/>
          <w:iCs/>
        </w:rPr>
        <w:t>M.</w:t>
      </w:r>
      <w:r w:rsidR="00070E64">
        <w:rPr>
          <w:i/>
          <w:iCs/>
        </w:rPr>
        <w:t> </w:t>
      </w:r>
      <w:r w:rsidR="00681BB3" w:rsidRPr="00B25DD3">
        <w:rPr>
          <w:i/>
          <w:iCs/>
        </w:rPr>
        <w:t xml:space="preserve">ariakensis </w:t>
      </w:r>
      <w:r w:rsidR="00681BB3" w:rsidRPr="00B25DD3">
        <w:t>is 10</w:t>
      </w:r>
      <w:r w:rsidR="003637A4">
        <w:rPr>
          <w:rFonts w:cstheme="minorHAnsi"/>
        </w:rPr>
        <w:t>‒</w:t>
      </w:r>
      <w:r w:rsidR="00681BB3" w:rsidRPr="00B25DD3">
        <w:t>25 ppt in China (Zhou &amp; Allen 2003).</w:t>
      </w:r>
    </w:p>
    <w:p w14:paraId="455564A1" w14:textId="530862BF" w:rsidR="00E957AA" w:rsidRPr="00846769" w:rsidRDefault="00E4407C" w:rsidP="00E957AA">
      <w:r w:rsidRPr="00B25DD3">
        <w:rPr>
          <w:i/>
          <w:iCs/>
        </w:rPr>
        <w:t xml:space="preserve">Magallana ariakensis </w:t>
      </w:r>
      <w:r w:rsidRPr="00B25DD3">
        <w:t>are broadcast spawners</w:t>
      </w:r>
      <w:r w:rsidR="003F6862" w:rsidRPr="00B25DD3">
        <w:t xml:space="preserve">. </w:t>
      </w:r>
      <w:r w:rsidR="00651FFB" w:rsidRPr="00B25DD3">
        <w:t xml:space="preserve">Data on fecundity of </w:t>
      </w:r>
      <w:r w:rsidR="00651FFB" w:rsidRPr="00B25DD3">
        <w:rPr>
          <w:i/>
          <w:iCs/>
        </w:rPr>
        <w:t xml:space="preserve">M. ariakensis </w:t>
      </w:r>
      <w:r w:rsidR="00651FFB" w:rsidRPr="00B25DD3">
        <w:t xml:space="preserve">is scarce, but they are likely to have high fecundity like other </w:t>
      </w:r>
      <w:r w:rsidR="00651FFB" w:rsidRPr="00B25DD3">
        <w:rPr>
          <w:i/>
          <w:iCs/>
        </w:rPr>
        <w:t xml:space="preserve">Magallana </w:t>
      </w:r>
      <w:r w:rsidR="00651FFB" w:rsidRPr="00B25DD3">
        <w:t xml:space="preserve">spp. </w:t>
      </w:r>
      <w:r w:rsidR="003F6862" w:rsidRPr="00B25DD3">
        <w:t>Eggs are fertilised externally to form ciliated trochophore larvae, and then into shelled veliger larvae. The larvae feed on phytoplankton in the water column and will develop into a pediveliger before settling on the benthos after approximately 12</w:t>
      </w:r>
      <w:r w:rsidR="003637A4">
        <w:rPr>
          <w:rFonts w:cstheme="minorHAnsi"/>
        </w:rPr>
        <w:t>‒</w:t>
      </w:r>
      <w:r w:rsidR="003F6862" w:rsidRPr="00B25DD3">
        <w:t>18 days (Zhou &amp; Allen 2003). In its native range, the reproductive season varies at different locations in China, with oysters able to spawn twice a year (Zhou &amp; Allen 2003). The growth</w:t>
      </w:r>
      <w:r w:rsidR="003F6862" w:rsidRPr="00846769">
        <w:t xml:space="preserve"> and reproductive biology of </w:t>
      </w:r>
      <w:r w:rsidR="003F6862" w:rsidRPr="00846769">
        <w:rPr>
          <w:i/>
          <w:iCs/>
        </w:rPr>
        <w:t xml:space="preserve">M. ariakensis </w:t>
      </w:r>
      <w:r w:rsidR="003F6862" w:rsidRPr="00846769">
        <w:t xml:space="preserve">populations in Queensland is not known. </w:t>
      </w:r>
    </w:p>
    <w:p w14:paraId="0C1DD3BA" w14:textId="071CE6EC" w:rsidR="00FB178D" w:rsidRPr="00846769" w:rsidRDefault="00FB178D" w:rsidP="00FB178D">
      <w:pPr>
        <w:pStyle w:val="Heading6"/>
        <w:spacing w:before="120" w:after="40"/>
        <w:rPr>
          <w:color w:val="262626" w:themeColor="text1" w:themeTint="D9"/>
        </w:rPr>
      </w:pPr>
      <w:r w:rsidRPr="00846769">
        <w:rPr>
          <w:color w:val="262626" w:themeColor="text1" w:themeTint="D9"/>
        </w:rPr>
        <w:t>Pathways and vectors</w:t>
      </w:r>
    </w:p>
    <w:p w14:paraId="3CF2AECD" w14:textId="5E299B50" w:rsidR="000353F1" w:rsidRPr="00846769" w:rsidRDefault="000353F1" w:rsidP="000353F1">
      <w:r w:rsidRPr="00846769">
        <w:t xml:space="preserve">Like other </w:t>
      </w:r>
      <w:r w:rsidRPr="00846769">
        <w:rPr>
          <w:i/>
          <w:iCs/>
        </w:rPr>
        <w:t xml:space="preserve">Magallana </w:t>
      </w:r>
      <w:r w:rsidRPr="00846769">
        <w:t xml:space="preserve">spp., vessel biofouling or introductions for aquaculture (accidental or deliberate) constitutes the main risk pathways and vectors for </w:t>
      </w:r>
      <w:r w:rsidRPr="00846769">
        <w:rPr>
          <w:i/>
          <w:iCs/>
        </w:rPr>
        <w:t xml:space="preserve">M. ariakensis. </w:t>
      </w:r>
      <w:r w:rsidRPr="00846769">
        <w:t xml:space="preserve">This species was accidentally introduced </w:t>
      </w:r>
      <w:r w:rsidRPr="00B25DD3">
        <w:t xml:space="preserve">to the </w:t>
      </w:r>
      <w:r w:rsidRPr="00634A79">
        <w:t xml:space="preserve">US west coast with shipments of </w:t>
      </w:r>
      <w:r w:rsidRPr="00634A79">
        <w:rPr>
          <w:i/>
          <w:iCs/>
        </w:rPr>
        <w:t xml:space="preserve">M. gigas </w:t>
      </w:r>
      <w:r w:rsidRPr="00634A79">
        <w:t>from Japan (</w:t>
      </w:r>
      <w:r w:rsidR="00900367" w:rsidRPr="00634A79">
        <w:t>Langdon &amp; Robinson 1996</w:t>
      </w:r>
      <w:r w:rsidRPr="00634A79">
        <w:t xml:space="preserve">). In addition, deliberate introductions were considered </w:t>
      </w:r>
      <w:r w:rsidR="00900367" w:rsidRPr="00634A79">
        <w:t xml:space="preserve">to establish aquaculture production </w:t>
      </w:r>
      <w:r w:rsidRPr="00634A79">
        <w:t>on the US east coast</w:t>
      </w:r>
      <w:r w:rsidRPr="00846769">
        <w:t xml:space="preserve"> and France</w:t>
      </w:r>
      <w:r w:rsidR="00900367" w:rsidRPr="00846769">
        <w:t xml:space="preserve">. </w:t>
      </w:r>
      <w:r w:rsidRPr="00846769">
        <w:t xml:space="preserve">The pathway and vectors for introduction of </w:t>
      </w:r>
      <w:r w:rsidRPr="00846769">
        <w:rPr>
          <w:i/>
          <w:iCs/>
        </w:rPr>
        <w:t xml:space="preserve">M. </w:t>
      </w:r>
      <w:r w:rsidR="00070E64">
        <w:rPr>
          <w:i/>
          <w:iCs/>
        </w:rPr>
        <w:t> </w:t>
      </w:r>
      <w:r w:rsidRPr="00846769">
        <w:rPr>
          <w:i/>
          <w:iCs/>
        </w:rPr>
        <w:t xml:space="preserve">ariakensis </w:t>
      </w:r>
      <w:r w:rsidRPr="00846769">
        <w:t>into Australia is not known, but vessel biofouling is the most likely.</w:t>
      </w:r>
    </w:p>
    <w:p w14:paraId="3FC0BF9F" w14:textId="77777777" w:rsidR="003F6862" w:rsidRPr="00846769" w:rsidRDefault="003F6862" w:rsidP="003F6862"/>
    <w:p w14:paraId="6F504DE6" w14:textId="77777777" w:rsidR="00FB178D" w:rsidRPr="00846769" w:rsidRDefault="00FB178D" w:rsidP="00FB178D">
      <w:pPr>
        <w:pStyle w:val="Heading6"/>
        <w:spacing w:after="40"/>
        <w:rPr>
          <w:color w:val="262626" w:themeColor="text1" w:themeTint="D9"/>
        </w:rPr>
      </w:pPr>
      <w:r w:rsidRPr="00846769">
        <w:rPr>
          <w:color w:val="262626" w:themeColor="text1" w:themeTint="D9"/>
        </w:rPr>
        <w:lastRenderedPageBreak/>
        <w:t>Potential impacts</w:t>
      </w:r>
    </w:p>
    <w:p w14:paraId="46757CB2" w14:textId="088E6A84" w:rsidR="00EE251F" w:rsidRPr="00846769" w:rsidRDefault="00FA6FA0" w:rsidP="00EE251F">
      <w:r w:rsidRPr="00846769">
        <w:t xml:space="preserve">The potential impacts and invasiveness of </w:t>
      </w:r>
      <w:r w:rsidRPr="00846769">
        <w:rPr>
          <w:i/>
          <w:iCs/>
        </w:rPr>
        <w:t xml:space="preserve">M. ariakensis </w:t>
      </w:r>
      <w:r w:rsidRPr="00846769">
        <w:t>in Australia is not known</w:t>
      </w:r>
      <w:r w:rsidR="003465ED" w:rsidRPr="00846769">
        <w:t>. H</w:t>
      </w:r>
      <w:r w:rsidRPr="00846769">
        <w:t xml:space="preserve">owever, </w:t>
      </w:r>
      <w:r w:rsidR="003465ED" w:rsidRPr="00846769">
        <w:t>it may foul</w:t>
      </w:r>
      <w:r w:rsidRPr="00846769">
        <w:t xml:space="preserve"> submerged and floating infrastructure including pylons, pontoons, and boats</w:t>
      </w:r>
      <w:r w:rsidR="003465ED" w:rsidRPr="00846769">
        <w:t xml:space="preserve"> and is able to occupy disturbed habitats</w:t>
      </w:r>
      <w:r w:rsidRPr="00846769">
        <w:t xml:space="preserve">. </w:t>
      </w:r>
      <w:r w:rsidR="003465ED" w:rsidRPr="00846769">
        <w:t xml:space="preserve">It may also present a risk as a reservoir of bivalve parasites and diseases. </w:t>
      </w:r>
    </w:p>
    <w:p w14:paraId="76C96DC2" w14:textId="77777777" w:rsidR="00FB178D" w:rsidRPr="00846769" w:rsidRDefault="00FB178D" w:rsidP="00FB178D">
      <w:pPr>
        <w:pStyle w:val="Heading5"/>
        <w:spacing w:after="40"/>
        <w:rPr>
          <w:color w:val="262626" w:themeColor="text1" w:themeTint="D9"/>
          <w:sz w:val="24"/>
          <w:szCs w:val="24"/>
        </w:rPr>
      </w:pPr>
      <w:r w:rsidRPr="00846769">
        <w:rPr>
          <w:color w:val="262626" w:themeColor="text1" w:themeTint="D9"/>
          <w:sz w:val="24"/>
          <w:szCs w:val="24"/>
        </w:rPr>
        <w:t>Global and Australian distribution</w:t>
      </w:r>
    </w:p>
    <w:p w14:paraId="2D96F076" w14:textId="03C11A0C" w:rsidR="00EE251F" w:rsidRPr="00846769" w:rsidRDefault="00FB178D" w:rsidP="00FB178D">
      <w:r w:rsidRPr="00846769">
        <w:rPr>
          <w:i/>
          <w:iCs/>
        </w:rPr>
        <w:t xml:space="preserve">Magallana ariakensis </w:t>
      </w:r>
      <w:r w:rsidRPr="00846769">
        <w:t xml:space="preserve">is </w:t>
      </w:r>
      <w:r w:rsidR="00531CF8" w:rsidRPr="00846769">
        <w:t xml:space="preserve">believed to be </w:t>
      </w:r>
      <w:r w:rsidRPr="00846769">
        <w:t xml:space="preserve">native to coastline of </w:t>
      </w:r>
      <w:r w:rsidR="00E72B5E" w:rsidRPr="00846769">
        <w:t>China</w:t>
      </w:r>
      <w:r w:rsidR="00EE251F" w:rsidRPr="00846769">
        <w:t>. It was possibly</w:t>
      </w:r>
      <w:r w:rsidR="00E72B5E" w:rsidRPr="00846769">
        <w:t xml:space="preserve"> introduced</w:t>
      </w:r>
      <w:r w:rsidR="00EE251F" w:rsidRPr="00846769">
        <w:t xml:space="preserve"> early</w:t>
      </w:r>
      <w:r w:rsidR="00E72B5E" w:rsidRPr="00846769">
        <w:t xml:space="preserve"> to </w:t>
      </w:r>
      <w:r w:rsidR="00EE251F" w:rsidRPr="00846769">
        <w:t xml:space="preserve">Ariake Bay in </w:t>
      </w:r>
      <w:r w:rsidR="00E72B5E" w:rsidRPr="00846769">
        <w:t>southern Japan where it was first described</w:t>
      </w:r>
      <w:r w:rsidR="00EE251F" w:rsidRPr="00846769">
        <w:t xml:space="preserve"> as </w:t>
      </w:r>
      <w:r w:rsidR="00EE251F" w:rsidRPr="00846769">
        <w:rPr>
          <w:i/>
          <w:iCs/>
        </w:rPr>
        <w:t>Crassostrea rivularis</w:t>
      </w:r>
      <w:r w:rsidRPr="00846769">
        <w:t xml:space="preserve">. </w:t>
      </w:r>
      <w:r w:rsidR="00EE251F" w:rsidRPr="00846769">
        <w:t xml:space="preserve">Under the name </w:t>
      </w:r>
      <w:r w:rsidR="00EE251F" w:rsidRPr="00846769">
        <w:rPr>
          <w:i/>
          <w:iCs/>
        </w:rPr>
        <w:t xml:space="preserve">C. rivularis, </w:t>
      </w:r>
      <w:r w:rsidR="00EE251F" w:rsidRPr="00846769">
        <w:t>it has been reported in India and Pakistan, and possibly Malaysia and Borneo. However, its occurrence outside of China and Japan is uncertain, and d</w:t>
      </w:r>
      <w:r w:rsidRPr="00846769">
        <w:t>ue to confused taxonomy</w:t>
      </w:r>
      <w:r w:rsidR="00EE251F" w:rsidRPr="00846769">
        <w:t>,</w:t>
      </w:r>
      <w:r w:rsidRPr="00846769">
        <w:t xml:space="preserve"> the extent of its native range is no</w:t>
      </w:r>
      <w:r w:rsidRPr="00634A79">
        <w:t>t known</w:t>
      </w:r>
      <w:r w:rsidR="00EE251F" w:rsidRPr="00634A79">
        <w:t xml:space="preserve"> (Reece et al. 2008; Zhou &amp; Allen 2003)</w:t>
      </w:r>
      <w:r w:rsidR="00611CCC" w:rsidRPr="00634A79">
        <w:t xml:space="preserve"> (</w:t>
      </w:r>
      <w:r w:rsidR="0021767E" w:rsidRPr="00634A79">
        <w:fldChar w:fldCharType="begin"/>
      </w:r>
      <w:r w:rsidR="0021767E" w:rsidRPr="00634A79">
        <w:instrText xml:space="preserve"> REF _Ref189519300 \h </w:instrText>
      </w:r>
      <w:r w:rsidR="00634A79">
        <w:instrText xml:space="preserve"> \* MERGEFORMAT </w:instrText>
      </w:r>
      <w:r w:rsidR="0021767E" w:rsidRPr="00634A79">
        <w:fldChar w:fldCharType="separate"/>
      </w:r>
      <w:r w:rsidR="0021767E" w:rsidRPr="00634A79">
        <w:t xml:space="preserve">Map </w:t>
      </w:r>
      <w:r w:rsidR="0021767E" w:rsidRPr="00634A79">
        <w:rPr>
          <w:noProof/>
        </w:rPr>
        <w:t>19</w:t>
      </w:r>
      <w:r w:rsidR="0021767E" w:rsidRPr="00634A79">
        <w:fldChar w:fldCharType="end"/>
      </w:r>
      <w:r w:rsidR="00611CCC" w:rsidRPr="00634A79">
        <w:t>)</w:t>
      </w:r>
      <w:r w:rsidRPr="00634A79">
        <w:t>.</w:t>
      </w:r>
      <w:r w:rsidRPr="00846769">
        <w:t xml:space="preserve"> </w:t>
      </w:r>
    </w:p>
    <w:p w14:paraId="4D457517" w14:textId="5E8ED6F2" w:rsidR="00FB178D" w:rsidRPr="00846769" w:rsidRDefault="003465ED" w:rsidP="00FB178D">
      <w:r w:rsidRPr="00846769">
        <w:rPr>
          <w:i/>
          <w:iCs/>
        </w:rPr>
        <w:t xml:space="preserve">Magallana ariakensis </w:t>
      </w:r>
      <w:r w:rsidRPr="00846769">
        <w:t xml:space="preserve">was accidentally introduced to the east coast of the United States but did not establish. Triploid </w:t>
      </w:r>
      <w:r w:rsidRPr="00846769">
        <w:rPr>
          <w:i/>
          <w:iCs/>
        </w:rPr>
        <w:t>M. ariakensis</w:t>
      </w:r>
      <w:r w:rsidRPr="00846769">
        <w:t xml:space="preserve"> were deliberately imported to the west coast of the United States for experimental trials, but these trials were ceased and most of the </w:t>
      </w:r>
      <w:r w:rsidR="00094908" w:rsidRPr="00846769">
        <w:t xml:space="preserve">triploid </w:t>
      </w:r>
      <w:r w:rsidRPr="00846769">
        <w:t>populations have been destroyed</w:t>
      </w:r>
      <w:r w:rsidR="00094908">
        <w:t xml:space="preserve"> (noting that triploids are sterile and would have been unable to establish)</w:t>
      </w:r>
      <w:r w:rsidRPr="00846769">
        <w:t xml:space="preserve">. </w:t>
      </w:r>
      <w:r w:rsidRPr="00846769">
        <w:rPr>
          <w:i/>
          <w:iCs/>
        </w:rPr>
        <w:t xml:space="preserve">Magallana ariakensis </w:t>
      </w:r>
      <w:r w:rsidRPr="00846769">
        <w:t>was introduced to</w:t>
      </w:r>
      <w:r w:rsidR="0021767E">
        <w:t xml:space="preserve"> the Moreton Bay region in</w:t>
      </w:r>
      <w:r w:rsidRPr="00846769">
        <w:t xml:space="preserve"> Queensland, Australia, </w:t>
      </w:r>
      <w:r w:rsidR="00804195" w:rsidRPr="00846769">
        <w:t>w</w:t>
      </w:r>
      <w:r w:rsidRPr="00846769">
        <w:t xml:space="preserve">hich represents the first known detection outside of Asia. </w:t>
      </w:r>
      <w:r w:rsidR="0021767E">
        <w:t>It’s establishment status in Queensland is not currently known. Species range mapping from ABARES shows that nearly all of WA’s coastline (</w:t>
      </w:r>
      <w:r w:rsidR="005F56B1">
        <w:t>except for</w:t>
      </w:r>
      <w:r w:rsidR="0021767E">
        <w:t xml:space="preserve"> the area roughly between Albany and Esperance), parts of SA and VIC, and the whole of NSW, QLD</w:t>
      </w:r>
      <w:r w:rsidR="005F56B1">
        <w:t>,</w:t>
      </w:r>
      <w:r w:rsidR="0021767E">
        <w:t xml:space="preserve"> and NT are potentially suitable for </w:t>
      </w:r>
      <w:r w:rsidR="0021767E">
        <w:rPr>
          <w:i/>
          <w:iCs/>
        </w:rPr>
        <w:t xml:space="preserve">M. ariakensis </w:t>
      </w:r>
      <w:r w:rsidR="0021767E">
        <w:t>establishment (</w:t>
      </w:r>
      <w:r w:rsidR="0021767E">
        <w:fldChar w:fldCharType="begin"/>
      </w:r>
      <w:r w:rsidR="0021767E">
        <w:instrText xml:space="preserve"> REF _Ref189519568 \h </w:instrText>
      </w:r>
      <w:r w:rsidR="0021767E">
        <w:fldChar w:fldCharType="separate"/>
      </w:r>
      <w:r w:rsidR="0021767E">
        <w:t xml:space="preserve">Map </w:t>
      </w:r>
      <w:r w:rsidR="0021767E">
        <w:rPr>
          <w:noProof/>
        </w:rPr>
        <w:t>20</w:t>
      </w:r>
      <w:r w:rsidR="0021767E">
        <w:fldChar w:fldCharType="end"/>
      </w:r>
      <w:r w:rsidR="0021767E">
        <w:t>).</w:t>
      </w:r>
    </w:p>
    <w:p w14:paraId="31A1A24C" w14:textId="4E538345" w:rsidR="00F95AEC" w:rsidRDefault="00F95AEC" w:rsidP="00F95AEC">
      <w:pPr>
        <w:pStyle w:val="Caption"/>
      </w:pPr>
      <w:bookmarkStart w:id="696" w:name="_Ref189519300"/>
      <w:bookmarkStart w:id="697" w:name="_Toc191999573"/>
      <w:r>
        <w:t xml:space="preserve">Map </w:t>
      </w:r>
      <w:r>
        <w:fldChar w:fldCharType="begin"/>
      </w:r>
      <w:r>
        <w:instrText xml:space="preserve"> SEQ Map \* ARABIC </w:instrText>
      </w:r>
      <w:r>
        <w:fldChar w:fldCharType="separate"/>
      </w:r>
      <w:r>
        <w:rPr>
          <w:noProof/>
        </w:rPr>
        <w:t>19</w:t>
      </w:r>
      <w:r>
        <w:fldChar w:fldCharType="end"/>
      </w:r>
      <w:bookmarkEnd w:id="696"/>
      <w:r>
        <w:t xml:space="preserve"> </w:t>
      </w:r>
      <w:r w:rsidRPr="00846769">
        <w:t xml:space="preserve">Known global distribution of </w:t>
      </w:r>
      <w:r w:rsidRPr="00846769">
        <w:rPr>
          <w:i/>
          <w:iCs/>
        </w:rPr>
        <w:t>Magallana ariakensis</w:t>
      </w:r>
      <w:bookmarkEnd w:id="697"/>
    </w:p>
    <w:p w14:paraId="1C21459A" w14:textId="77777777" w:rsidR="00FB178D" w:rsidRPr="00846769" w:rsidRDefault="00FB178D" w:rsidP="00FB178D">
      <w:r w:rsidRPr="00846769">
        <w:rPr>
          <w:noProof/>
        </w:rPr>
        <w:drawing>
          <wp:inline distT="0" distB="0" distL="0" distR="0" wp14:anchorId="69854415" wp14:editId="6F52940D">
            <wp:extent cx="5701340" cy="2837272"/>
            <wp:effectExtent l="0" t="0" r="0" b="1270"/>
            <wp:docPr id="959744439" name="Picture 1" descr="Greyscale world map for the known global distribution of Magallana ariakensis. Distribution is shown in blue circles and yellow diam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44439" name="Picture 1" descr="Greyscale world map for the known global distribution of Magallana ariakensis. Distribution is shown in blue circles and yellow diamonds. "/>
                    <pic:cNvPicPr/>
                  </pic:nvPicPr>
                  <pic:blipFill>
                    <a:blip r:embed="rId272" cstate="email">
                      <a:extLst>
                        <a:ext uri="{28A0092B-C50C-407E-A947-70E740481C1C}">
                          <a14:useLocalDpi xmlns:a14="http://schemas.microsoft.com/office/drawing/2010/main" val="0"/>
                        </a:ext>
                      </a:extLst>
                    </a:blip>
                    <a:stretch>
                      <a:fillRect/>
                    </a:stretch>
                  </pic:blipFill>
                  <pic:spPr>
                    <a:xfrm>
                      <a:off x="0" y="0"/>
                      <a:ext cx="5701340" cy="2837272"/>
                    </a:xfrm>
                    <a:prstGeom prst="rect">
                      <a:avLst/>
                    </a:prstGeom>
                  </pic:spPr>
                </pic:pic>
              </a:graphicData>
            </a:graphic>
          </wp:inline>
        </w:drawing>
      </w:r>
    </w:p>
    <w:p w14:paraId="213A7964" w14:textId="2A3B536A" w:rsidR="00FB178D" w:rsidRDefault="00FB178D" w:rsidP="00900367">
      <w:pPr>
        <w:pStyle w:val="FigureTableNoteSource"/>
      </w:pPr>
      <w:r w:rsidRPr="00846769">
        <w:rPr>
          <w:rStyle w:val="Emphasis"/>
          <w:b/>
          <w:bCs/>
          <w:i w:val="0"/>
          <w:iCs w:val="0"/>
        </w:rPr>
        <w:t>Data source:</w:t>
      </w:r>
      <w:r w:rsidRPr="00846769">
        <w:rPr>
          <w:rStyle w:val="Emphasis"/>
        </w:rPr>
        <w:t xml:space="preserve"> </w:t>
      </w:r>
      <w:r w:rsidRPr="00846769">
        <w:t>GBIF.org (8 June 2024). GBIF Occurrence Download: </w:t>
      </w:r>
      <w:hyperlink r:id="rId273" w:history="1">
        <w:r w:rsidR="00F95AEC" w:rsidRPr="00E642E2">
          <w:rPr>
            <w:rStyle w:val="Hyperlink"/>
            <w:sz w:val="18"/>
          </w:rPr>
          <w:t>https://doi.org/10.15468/dl.6s48m8</w:t>
        </w:r>
      </w:hyperlink>
      <w:r w:rsidR="00F95AEC">
        <w:t xml:space="preserve"> </w:t>
      </w:r>
    </w:p>
    <w:p w14:paraId="4596E5A0" w14:textId="205CA0C5" w:rsidR="00F95AEC" w:rsidRDefault="00F95AEC" w:rsidP="00F95AEC">
      <w:pPr>
        <w:pStyle w:val="Caption"/>
      </w:pPr>
      <w:bookmarkStart w:id="698" w:name="_Ref189519568"/>
      <w:bookmarkStart w:id="699" w:name="_Toc191999574"/>
      <w:r>
        <w:lastRenderedPageBreak/>
        <w:t xml:space="preserve">Map </w:t>
      </w:r>
      <w:r>
        <w:fldChar w:fldCharType="begin"/>
      </w:r>
      <w:r>
        <w:instrText xml:space="preserve"> SEQ Map \* ARABIC </w:instrText>
      </w:r>
      <w:r>
        <w:fldChar w:fldCharType="separate"/>
      </w:r>
      <w:r>
        <w:rPr>
          <w:noProof/>
        </w:rPr>
        <w:t>20</w:t>
      </w:r>
      <w:r>
        <w:fldChar w:fldCharType="end"/>
      </w:r>
      <w:bookmarkEnd w:id="698"/>
      <w:r w:rsidR="0021767E">
        <w:t xml:space="preserve"> Maximum potential range of </w:t>
      </w:r>
      <w:r w:rsidR="0021767E">
        <w:rPr>
          <w:i/>
          <w:iCs/>
        </w:rPr>
        <w:t xml:space="preserve">Magallana ariakensis </w:t>
      </w:r>
      <w:r w:rsidR="0021767E">
        <w:t>in Australian waters, indicating areas of potential suitability in red, and potential unsuitability in green</w:t>
      </w:r>
      <w:bookmarkEnd w:id="699"/>
    </w:p>
    <w:p w14:paraId="394BF35B" w14:textId="27DC4BE7" w:rsidR="00F95AEC" w:rsidRDefault="00F95AEC" w:rsidP="00F95AEC">
      <w:r>
        <w:rPr>
          <w:noProof/>
        </w:rPr>
        <w:drawing>
          <wp:inline distT="0" distB="0" distL="0" distR="0" wp14:anchorId="07E5B71A" wp14:editId="180E1544">
            <wp:extent cx="5572125" cy="3895725"/>
            <wp:effectExtent l="0" t="0" r="9525" b="9525"/>
            <wp:docPr id="830047873" name="Picture 11" descr="Red and green map of Australia showing the potential range for Magallana ariak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47873" name="Picture 11" descr="Red and green map of Australia showing the potential range for Magallana ariakensis."/>
                    <pic:cNvPicPr>
                      <a:picLocks noChangeAspect="1" noChangeArrowheads="1"/>
                    </pic:cNvPicPr>
                  </pic:nvPicPr>
                  <pic:blipFill rotWithShape="1">
                    <a:blip r:embed="rId274" cstate="email">
                      <a:extLst>
                        <a:ext uri="{28A0092B-C50C-407E-A947-70E740481C1C}">
                          <a14:useLocalDpi xmlns:a14="http://schemas.microsoft.com/office/drawing/2010/main" val="0"/>
                        </a:ext>
                      </a:extLst>
                    </a:blip>
                    <a:srcRect/>
                    <a:stretch/>
                  </pic:blipFill>
                  <pic:spPr bwMode="auto">
                    <a:xfrm>
                      <a:off x="0" y="0"/>
                      <a:ext cx="5572125" cy="3895725"/>
                    </a:xfrm>
                    <a:prstGeom prst="rect">
                      <a:avLst/>
                    </a:prstGeom>
                    <a:noFill/>
                    <a:ln>
                      <a:noFill/>
                    </a:ln>
                    <a:extLst>
                      <a:ext uri="{53640926-AAD7-44D8-BBD7-CCE9431645EC}">
                        <a14:shadowObscured xmlns:a14="http://schemas.microsoft.com/office/drawing/2010/main"/>
                      </a:ext>
                    </a:extLst>
                  </pic:spPr>
                </pic:pic>
              </a:graphicData>
            </a:graphic>
          </wp:inline>
        </w:drawing>
      </w:r>
    </w:p>
    <w:p w14:paraId="7F88144D" w14:textId="6214785A" w:rsidR="00F95AEC" w:rsidRPr="00F95AEC" w:rsidRDefault="0021767E" w:rsidP="0021767E">
      <w:pPr>
        <w:pStyle w:val="FigureTableNoteSource"/>
      </w:pPr>
      <w:r w:rsidRPr="00846769">
        <w:rPr>
          <w:rStyle w:val="Emphasis"/>
          <w:b/>
          <w:bCs/>
          <w:i w:val="0"/>
          <w:iCs w:val="0"/>
        </w:rPr>
        <w:t>Data source</w:t>
      </w:r>
      <w:r w:rsidRPr="00846769">
        <w:rPr>
          <w:rStyle w:val="Emphasis"/>
          <w:i w:val="0"/>
          <w:iCs w:val="0"/>
        </w:rPr>
        <w:t>:</w:t>
      </w:r>
      <w:r w:rsidRPr="00846769">
        <w:rPr>
          <w:rStyle w:val="Emphasis"/>
        </w:rPr>
        <w:t xml:space="preserve"> </w:t>
      </w:r>
      <w:r>
        <w:rPr>
          <w:rStyle w:val="Emphasis"/>
          <w:i w:val="0"/>
          <w:iCs w:val="0"/>
        </w:rPr>
        <w:t>Australian Bureau of Agricultural and Resource Economics and Sciences (</w:t>
      </w:r>
      <w:r>
        <w:t>ABARES) 2024</w:t>
      </w:r>
    </w:p>
    <w:p w14:paraId="28849966" w14:textId="77777777" w:rsidR="00FB178D" w:rsidRPr="00846769" w:rsidRDefault="00FB178D" w:rsidP="00FB178D">
      <w:pPr>
        <w:pStyle w:val="Heading5"/>
        <w:spacing w:before="40" w:after="40"/>
        <w:ind w:left="851" w:hanging="851"/>
        <w:rPr>
          <w:rFonts w:cstheme="minorHAnsi"/>
        </w:rPr>
      </w:pPr>
      <w:r w:rsidRPr="00846769">
        <w:rPr>
          <w:rFonts w:cstheme="minorHAnsi"/>
        </w:rPr>
        <w:t>Invasion history</w:t>
      </w:r>
    </w:p>
    <w:p w14:paraId="6A526A2A" w14:textId="77777777" w:rsidR="00900367" w:rsidRPr="00634A79" w:rsidRDefault="00900367" w:rsidP="00900367">
      <w:r w:rsidRPr="00846769">
        <w:rPr>
          <w:i/>
          <w:iCs/>
        </w:rPr>
        <w:t xml:space="preserve">Magallana ariakensis </w:t>
      </w:r>
      <w:r w:rsidRPr="00846769">
        <w:t xml:space="preserve">was accidentally introduced to Oregon on </w:t>
      </w:r>
      <w:r w:rsidRPr="00B25DD3">
        <w:t xml:space="preserve">the United States west coast with shipments of </w:t>
      </w:r>
      <w:r w:rsidRPr="00B25DD3">
        <w:rPr>
          <w:i/>
          <w:iCs/>
        </w:rPr>
        <w:t xml:space="preserve">M. gigas </w:t>
      </w:r>
      <w:r w:rsidRPr="00B25DD3">
        <w:t xml:space="preserve">from Japan, but no wild population established (Langdon &amp; Robinson 1996). </w:t>
      </w:r>
      <w:r w:rsidRPr="00634A79">
        <w:t xml:space="preserve">Plantings of </w:t>
      </w:r>
      <w:r w:rsidRPr="00634A79">
        <w:rPr>
          <w:i/>
          <w:iCs/>
        </w:rPr>
        <w:t xml:space="preserve">M. ariakensis </w:t>
      </w:r>
      <w:r w:rsidRPr="00634A79">
        <w:t xml:space="preserve">were also detected in Puget Sound, Washington, but also failed to establish (Langdon &amp; Robinson 1996). </w:t>
      </w:r>
    </w:p>
    <w:p w14:paraId="6F3C9011" w14:textId="0259DAD3" w:rsidR="00EE251F" w:rsidRPr="00846769" w:rsidRDefault="00EE251F" w:rsidP="003575DA">
      <w:pPr>
        <w:rPr>
          <w:i/>
          <w:iCs/>
        </w:rPr>
      </w:pPr>
      <w:r w:rsidRPr="00634A79">
        <w:t xml:space="preserve">The species garnered attention as a possible replacement or supplement for oyster populations affected by disease. Importation of </w:t>
      </w:r>
      <w:r w:rsidRPr="00634A79">
        <w:rPr>
          <w:i/>
          <w:iCs/>
        </w:rPr>
        <w:t>M. ariakensis</w:t>
      </w:r>
      <w:r w:rsidRPr="00634A79">
        <w:t xml:space="preserve"> was considered in France (</w:t>
      </w:r>
      <w:proofErr w:type="spellStart"/>
      <w:r w:rsidRPr="00634A79">
        <w:t>Goulletquer</w:t>
      </w:r>
      <w:proofErr w:type="spellEnd"/>
      <w:r w:rsidRPr="00634A79">
        <w:t xml:space="preserve"> et al. 2002), </w:t>
      </w:r>
      <w:proofErr w:type="gramStart"/>
      <w:r w:rsidRPr="00634A79">
        <w:t>and also</w:t>
      </w:r>
      <w:proofErr w:type="gramEnd"/>
      <w:r w:rsidRPr="00634A79">
        <w:t xml:space="preserve"> in </w:t>
      </w:r>
      <w:r w:rsidR="00A138E3" w:rsidRPr="00634A79">
        <w:t>Virginia</w:t>
      </w:r>
      <w:r w:rsidRPr="00634A79">
        <w:t xml:space="preserve"> and North Carolina on the United States east coast</w:t>
      </w:r>
      <w:r w:rsidR="00900367" w:rsidRPr="00634A79">
        <w:t>.</w:t>
      </w:r>
      <w:r w:rsidRPr="00634A79">
        <w:t xml:space="preserve"> </w:t>
      </w:r>
      <w:r w:rsidR="00A138E3" w:rsidRPr="00634A79">
        <w:t>O</w:t>
      </w:r>
      <w:r w:rsidRPr="00634A79">
        <w:t xml:space="preserve">n the </w:t>
      </w:r>
      <w:r w:rsidR="00A138E3" w:rsidRPr="00634A79">
        <w:t xml:space="preserve">United States east coast, </w:t>
      </w:r>
      <w:r w:rsidRPr="00634A79">
        <w:t xml:space="preserve">decline of the oyster </w:t>
      </w:r>
      <w:r w:rsidRPr="00634A79">
        <w:rPr>
          <w:i/>
          <w:iCs/>
        </w:rPr>
        <w:t xml:space="preserve">M. virginica </w:t>
      </w:r>
      <w:r w:rsidRPr="00634A79">
        <w:t xml:space="preserve">from disease led to interest in importing exotic, disease-resistant </w:t>
      </w:r>
      <w:r w:rsidRPr="00634A79">
        <w:rPr>
          <w:i/>
          <w:iCs/>
        </w:rPr>
        <w:t xml:space="preserve">M. ariakensis. </w:t>
      </w:r>
      <w:r w:rsidRPr="00634A79">
        <w:t xml:space="preserve">In 1998, </w:t>
      </w:r>
      <w:r w:rsidR="00A138E3" w:rsidRPr="00634A79">
        <w:t>trails</w:t>
      </w:r>
      <w:r w:rsidRPr="00634A79">
        <w:t xml:space="preserve"> were carried out with </w:t>
      </w:r>
      <w:r w:rsidRPr="00634A79">
        <w:rPr>
          <w:i/>
          <w:iCs/>
        </w:rPr>
        <w:t xml:space="preserve">M. ariakensis </w:t>
      </w:r>
      <w:r w:rsidRPr="00634A79">
        <w:t xml:space="preserve">stock </w:t>
      </w:r>
      <w:r w:rsidR="00A138E3" w:rsidRPr="00634A79">
        <w:t>obtained from Oregon hatcheries, and successful, small-scale trials led to extensive stocking of triploid (sterile) oysters into open waters of Chesapeake Bay</w:t>
      </w:r>
      <w:r w:rsidR="00E112C2" w:rsidRPr="00634A79">
        <w:t xml:space="preserve"> and North Carolina</w:t>
      </w:r>
      <w:r w:rsidR="00A138E3" w:rsidRPr="00634A79">
        <w:t xml:space="preserve">. A review of </w:t>
      </w:r>
      <w:r w:rsidR="00A138E3" w:rsidRPr="00634A79">
        <w:rPr>
          <w:i/>
          <w:iCs/>
        </w:rPr>
        <w:t xml:space="preserve">M. ariakensis </w:t>
      </w:r>
      <w:r w:rsidR="00A138E3" w:rsidRPr="00634A79">
        <w:t xml:space="preserve">biology, including low genetic diversity of the cultured stock, </w:t>
      </w:r>
      <w:r w:rsidR="00E112C2" w:rsidRPr="00634A79">
        <w:t>susceptibility</w:t>
      </w:r>
      <w:r w:rsidR="00A138E3" w:rsidRPr="00634A79">
        <w:t xml:space="preserve"> to </w:t>
      </w:r>
      <w:proofErr w:type="spellStart"/>
      <w:r w:rsidR="00A138E3" w:rsidRPr="00634A79">
        <w:rPr>
          <w:i/>
          <w:iCs/>
        </w:rPr>
        <w:t>Bonamia</w:t>
      </w:r>
      <w:proofErr w:type="spellEnd"/>
      <w:r w:rsidR="00A138E3" w:rsidRPr="00634A79">
        <w:rPr>
          <w:i/>
          <w:iCs/>
        </w:rPr>
        <w:t xml:space="preserve"> </w:t>
      </w:r>
      <w:r w:rsidR="00A138E3" w:rsidRPr="00634A79">
        <w:t xml:space="preserve">spp. infection, and risk of triploid reversion, found that the risk of cultivating </w:t>
      </w:r>
      <w:r w:rsidR="00A138E3" w:rsidRPr="00634A79">
        <w:rPr>
          <w:i/>
          <w:iCs/>
        </w:rPr>
        <w:t xml:space="preserve">M. ariakensis </w:t>
      </w:r>
      <w:r w:rsidR="00A138E3" w:rsidRPr="00634A79">
        <w:t xml:space="preserve">outweighed the benefits </w:t>
      </w:r>
      <w:r w:rsidR="00E112C2" w:rsidRPr="00634A79">
        <w:t>(Grabowski et al. 2007</w:t>
      </w:r>
      <w:r w:rsidR="00A138E3" w:rsidRPr="00634A79">
        <w:t xml:space="preserve">). </w:t>
      </w:r>
      <w:r w:rsidR="00E112C2" w:rsidRPr="00634A79">
        <w:t>In 2009,</w:t>
      </w:r>
      <w:r w:rsidR="00A138E3" w:rsidRPr="00634A79">
        <w:t xml:space="preserve"> cultivation of triploid oysters in open waters was ceased, and introduction of diploid </w:t>
      </w:r>
      <w:r w:rsidR="00A138E3" w:rsidRPr="00634A79">
        <w:rPr>
          <w:i/>
          <w:iCs/>
        </w:rPr>
        <w:t>M. ariakensis</w:t>
      </w:r>
      <w:r w:rsidR="00A138E3" w:rsidRPr="00846769">
        <w:rPr>
          <w:i/>
          <w:iCs/>
        </w:rPr>
        <w:t xml:space="preserve"> </w:t>
      </w:r>
      <w:r w:rsidR="00A138E3" w:rsidRPr="00846769">
        <w:t xml:space="preserve">was prohibited. </w:t>
      </w:r>
    </w:p>
    <w:p w14:paraId="6450A309" w14:textId="21FD7217" w:rsidR="003575DA" w:rsidRPr="00846769" w:rsidRDefault="009B4461" w:rsidP="003575DA">
      <w:r w:rsidRPr="00846769">
        <w:t xml:space="preserve">In 2023, </w:t>
      </w:r>
      <w:r w:rsidR="003575DA" w:rsidRPr="00846769">
        <w:rPr>
          <w:i/>
          <w:iCs/>
        </w:rPr>
        <w:t>M</w:t>
      </w:r>
      <w:r w:rsidRPr="00846769">
        <w:rPr>
          <w:i/>
          <w:iCs/>
        </w:rPr>
        <w:t>.</w:t>
      </w:r>
      <w:r w:rsidR="003575DA" w:rsidRPr="00846769">
        <w:rPr>
          <w:i/>
          <w:iCs/>
        </w:rPr>
        <w:t xml:space="preserve"> ariakensis </w:t>
      </w:r>
      <w:r w:rsidR="003575DA" w:rsidRPr="00846769">
        <w:t>was first detected in the Moreton Bay region in Queensland, Australia</w:t>
      </w:r>
      <w:r w:rsidR="00E112C2" w:rsidRPr="00846769">
        <w:t xml:space="preserve"> </w:t>
      </w:r>
      <w:r w:rsidR="00E112C2" w:rsidRPr="00865A52">
        <w:t xml:space="preserve">(Queensland </w:t>
      </w:r>
      <w:r w:rsidR="00ED25EB">
        <w:t xml:space="preserve">Government </w:t>
      </w:r>
      <w:r w:rsidR="00E112C2" w:rsidRPr="00865A52">
        <w:t>2024)</w:t>
      </w:r>
      <w:r w:rsidR="00094908">
        <w:t>, the first known detection outside of Asia</w:t>
      </w:r>
      <w:r w:rsidRPr="00865A52">
        <w:t xml:space="preserve">. Specifically, it was detected at Bribie Island within Moreton Bay, </w:t>
      </w:r>
      <w:proofErr w:type="gramStart"/>
      <w:r w:rsidRPr="00865A52">
        <w:t>and also</w:t>
      </w:r>
      <w:proofErr w:type="gramEnd"/>
      <w:r w:rsidRPr="00865A52">
        <w:t xml:space="preserve"> at Boggy Creek, Pinkenba, and</w:t>
      </w:r>
      <w:r w:rsidRPr="00846769">
        <w:t xml:space="preserve"> Kedron Brook </w:t>
      </w:r>
      <w:r w:rsidRPr="00846769">
        <w:lastRenderedPageBreak/>
        <w:t xml:space="preserve">near Brisbane. The full extent and establishment status of the introduced population in Queensland is not yet </w:t>
      </w:r>
      <w:r w:rsidR="00E112C2" w:rsidRPr="00846769">
        <w:t>known</w:t>
      </w:r>
      <w:r w:rsidR="00094908">
        <w:t>.</w:t>
      </w:r>
    </w:p>
    <w:p w14:paraId="01FDA384" w14:textId="77777777" w:rsidR="00FB178D" w:rsidRPr="00846769" w:rsidRDefault="00FB178D" w:rsidP="00FB178D">
      <w:pPr>
        <w:pStyle w:val="Heading5"/>
        <w:spacing w:before="40" w:after="40"/>
        <w:ind w:left="851" w:hanging="851"/>
        <w:rPr>
          <w:color w:val="262626" w:themeColor="text1" w:themeTint="D9"/>
        </w:rPr>
      </w:pPr>
      <w:r w:rsidRPr="00846769">
        <w:rPr>
          <w:color w:val="262626" w:themeColor="text1" w:themeTint="D9"/>
        </w:rPr>
        <w:t>Diseases</w:t>
      </w:r>
    </w:p>
    <w:p w14:paraId="52403B83" w14:textId="2CBAD5F4" w:rsidR="00F17E5E" w:rsidRPr="00846769" w:rsidRDefault="00E72B5E" w:rsidP="00236D4B">
      <w:r w:rsidRPr="00846769">
        <w:rPr>
          <w:i/>
          <w:iCs/>
        </w:rPr>
        <w:t xml:space="preserve">Magallana ariakensis </w:t>
      </w:r>
      <w:r w:rsidRPr="00846769">
        <w:t xml:space="preserve">is susceptible to </w:t>
      </w:r>
      <w:proofErr w:type="spellStart"/>
      <w:r w:rsidRPr="00846769">
        <w:rPr>
          <w:i/>
          <w:iCs/>
        </w:rPr>
        <w:t>Bonamia</w:t>
      </w:r>
      <w:proofErr w:type="spellEnd"/>
      <w:r w:rsidRPr="00846769">
        <w:rPr>
          <w:i/>
          <w:iCs/>
        </w:rPr>
        <w:t xml:space="preserve"> </w:t>
      </w:r>
      <w:r w:rsidRPr="00846769">
        <w:t xml:space="preserve">spp. </w:t>
      </w:r>
      <w:r w:rsidRPr="007C3DB3">
        <w:t>parasites</w:t>
      </w:r>
      <w:r w:rsidR="007C3DB3" w:rsidRPr="007C3DB3">
        <w:t xml:space="preserve"> (</w:t>
      </w:r>
      <w:proofErr w:type="spellStart"/>
      <w:r w:rsidR="007C3DB3" w:rsidRPr="00634A79">
        <w:t>Audemard</w:t>
      </w:r>
      <w:proofErr w:type="spellEnd"/>
      <w:r w:rsidR="007C3DB3" w:rsidRPr="00634A79">
        <w:t xml:space="preserve"> et al. 2008)</w:t>
      </w:r>
      <w:r w:rsidRPr="00634A79">
        <w:t xml:space="preserve">. In France, quarantined experimental populations of </w:t>
      </w:r>
      <w:r w:rsidRPr="00634A79">
        <w:rPr>
          <w:i/>
          <w:iCs/>
        </w:rPr>
        <w:t xml:space="preserve">M. ariakensis </w:t>
      </w:r>
      <w:r w:rsidRPr="00634A79">
        <w:t xml:space="preserve">experienced mortalities from a </w:t>
      </w:r>
      <w:proofErr w:type="spellStart"/>
      <w:r w:rsidRPr="00634A79">
        <w:rPr>
          <w:i/>
          <w:iCs/>
        </w:rPr>
        <w:t>Bonamia</w:t>
      </w:r>
      <w:proofErr w:type="spellEnd"/>
      <w:r w:rsidRPr="00634A79">
        <w:t xml:space="preserve">-like parasite, which had not previously been seen in oysters of the genus </w:t>
      </w:r>
      <w:r w:rsidRPr="00634A79">
        <w:rPr>
          <w:i/>
          <w:iCs/>
        </w:rPr>
        <w:t xml:space="preserve">Magallana </w:t>
      </w:r>
      <w:r w:rsidRPr="00634A79">
        <w:t>(</w:t>
      </w:r>
      <w:proofErr w:type="spellStart"/>
      <w:r w:rsidRPr="00634A79">
        <w:t>Cochennec</w:t>
      </w:r>
      <w:proofErr w:type="spellEnd"/>
      <w:r w:rsidRPr="00634A79">
        <w:t xml:space="preserve"> et al. 1998). In 2003, triploid </w:t>
      </w:r>
      <w:r w:rsidRPr="00634A79">
        <w:rPr>
          <w:i/>
          <w:iCs/>
        </w:rPr>
        <w:t xml:space="preserve">M. ariakensis </w:t>
      </w:r>
      <w:r w:rsidRPr="00634A79">
        <w:t xml:space="preserve">planted in North Carolina also experienced substantial mortality from a </w:t>
      </w:r>
      <w:proofErr w:type="spellStart"/>
      <w:r w:rsidRPr="00634A79">
        <w:rPr>
          <w:i/>
          <w:iCs/>
        </w:rPr>
        <w:t>Bonamia</w:t>
      </w:r>
      <w:proofErr w:type="spellEnd"/>
      <w:r w:rsidRPr="00634A79">
        <w:rPr>
          <w:i/>
          <w:iCs/>
        </w:rPr>
        <w:t xml:space="preserve"> </w:t>
      </w:r>
      <w:r w:rsidRPr="00634A79">
        <w:t xml:space="preserve">parasite, which was genetically most </w:t>
      </w:r>
      <w:proofErr w:type="gramStart"/>
      <w:r w:rsidRPr="00634A79">
        <w:t>similar to</w:t>
      </w:r>
      <w:proofErr w:type="gramEnd"/>
      <w:r w:rsidRPr="00634A79">
        <w:t xml:space="preserve"> known </w:t>
      </w:r>
      <w:proofErr w:type="spellStart"/>
      <w:r w:rsidRPr="00634A79">
        <w:rPr>
          <w:i/>
          <w:iCs/>
        </w:rPr>
        <w:t>Bonamia</w:t>
      </w:r>
      <w:proofErr w:type="spellEnd"/>
      <w:r w:rsidRPr="00634A79">
        <w:rPr>
          <w:i/>
          <w:iCs/>
        </w:rPr>
        <w:t xml:space="preserve"> </w:t>
      </w:r>
      <w:r w:rsidRPr="00634A79">
        <w:t>species in Australia and New Zealand (Bishop et al. 2006).</w:t>
      </w:r>
      <w:r w:rsidRPr="00846769">
        <w:t xml:space="preserve"> </w:t>
      </w:r>
    </w:p>
    <w:p w14:paraId="6C47A58D" w14:textId="60E29A3B" w:rsidR="00F17E5E" w:rsidRPr="00933093" w:rsidRDefault="00E72B5E" w:rsidP="00236D4B">
      <w:proofErr w:type="spellStart"/>
      <w:r w:rsidRPr="00846769">
        <w:rPr>
          <w:i/>
          <w:iCs/>
        </w:rPr>
        <w:t>Bonamia</w:t>
      </w:r>
      <w:proofErr w:type="spellEnd"/>
      <w:r w:rsidRPr="00846769">
        <w:rPr>
          <w:i/>
          <w:iCs/>
        </w:rPr>
        <w:t xml:space="preserve"> </w:t>
      </w:r>
      <w:proofErr w:type="spellStart"/>
      <w:r w:rsidRPr="00846769">
        <w:rPr>
          <w:i/>
          <w:iCs/>
        </w:rPr>
        <w:t>exitiosa</w:t>
      </w:r>
      <w:proofErr w:type="spellEnd"/>
      <w:r w:rsidRPr="00846769">
        <w:t xml:space="preserve"> has previously been detected in Australia, specifically in flat oysters (</w:t>
      </w:r>
      <w:r w:rsidRPr="00846769">
        <w:rPr>
          <w:i/>
          <w:iCs/>
        </w:rPr>
        <w:t xml:space="preserve">Ostrea </w:t>
      </w:r>
      <w:r w:rsidRPr="00846769">
        <w:t xml:space="preserve">spp.) in Victoria and New South Wales. </w:t>
      </w:r>
      <w:proofErr w:type="spellStart"/>
      <w:r w:rsidRPr="00846769">
        <w:rPr>
          <w:i/>
          <w:iCs/>
        </w:rPr>
        <w:t>Bonamia</w:t>
      </w:r>
      <w:proofErr w:type="spellEnd"/>
      <w:r w:rsidRPr="00846769">
        <w:t xml:space="preserve">-like parasites that are likely to be </w:t>
      </w:r>
      <w:r w:rsidRPr="00846769">
        <w:rPr>
          <w:i/>
          <w:iCs/>
        </w:rPr>
        <w:t xml:space="preserve">B. </w:t>
      </w:r>
      <w:proofErr w:type="spellStart"/>
      <w:r w:rsidRPr="00846769">
        <w:rPr>
          <w:i/>
          <w:iCs/>
        </w:rPr>
        <w:t>exitiosa</w:t>
      </w:r>
      <w:proofErr w:type="spellEnd"/>
      <w:r w:rsidRPr="00846769">
        <w:rPr>
          <w:i/>
          <w:iCs/>
        </w:rPr>
        <w:t xml:space="preserve"> </w:t>
      </w:r>
      <w:r w:rsidRPr="00846769">
        <w:t xml:space="preserve">have also been recorded in Tasmania and Western Australia </w:t>
      </w:r>
      <w:r w:rsidRPr="00634A79">
        <w:t xml:space="preserve">(Buss et al. 2020; Carnegie et al. 2014). </w:t>
      </w:r>
      <w:proofErr w:type="spellStart"/>
      <w:r w:rsidR="00F17E5E" w:rsidRPr="00634A79">
        <w:rPr>
          <w:i/>
          <w:iCs/>
        </w:rPr>
        <w:t>Bonamia</w:t>
      </w:r>
      <w:proofErr w:type="spellEnd"/>
      <w:r w:rsidR="00F17E5E" w:rsidRPr="00846769">
        <w:rPr>
          <w:i/>
          <w:iCs/>
        </w:rPr>
        <w:t xml:space="preserve"> </w:t>
      </w:r>
      <w:proofErr w:type="spellStart"/>
      <w:r w:rsidR="00F17E5E" w:rsidRPr="00846769">
        <w:rPr>
          <w:i/>
          <w:iCs/>
        </w:rPr>
        <w:t>exitiosa</w:t>
      </w:r>
      <w:proofErr w:type="spellEnd"/>
      <w:r w:rsidR="00F17E5E" w:rsidRPr="00846769">
        <w:rPr>
          <w:i/>
          <w:iCs/>
        </w:rPr>
        <w:t xml:space="preserve"> </w:t>
      </w:r>
      <w:r w:rsidR="00F17E5E" w:rsidRPr="00846769">
        <w:t xml:space="preserve">is mainly a parasite of </w:t>
      </w:r>
      <w:r w:rsidR="00F17E5E" w:rsidRPr="00846769">
        <w:rPr>
          <w:i/>
          <w:iCs/>
        </w:rPr>
        <w:t xml:space="preserve">Ostrea </w:t>
      </w:r>
      <w:r w:rsidR="00F17E5E" w:rsidRPr="00846769">
        <w:t>flat oysters, however microcells have occasionally been detected in Pacific oysters (</w:t>
      </w:r>
      <w:r w:rsidR="00F17E5E" w:rsidRPr="00846769">
        <w:rPr>
          <w:i/>
          <w:iCs/>
        </w:rPr>
        <w:t>M. gigas</w:t>
      </w:r>
      <w:r w:rsidR="00F17E5E" w:rsidRPr="00846769">
        <w:t>) and Sydney rock oysters (</w:t>
      </w:r>
      <w:r w:rsidR="00F17E5E" w:rsidRPr="00846769">
        <w:rPr>
          <w:i/>
          <w:iCs/>
        </w:rPr>
        <w:t>Saccostrea glom</w:t>
      </w:r>
      <w:r w:rsidR="00F17E5E" w:rsidRPr="00933093">
        <w:rPr>
          <w:i/>
          <w:iCs/>
        </w:rPr>
        <w:t>erata</w:t>
      </w:r>
      <w:r w:rsidR="00F17E5E" w:rsidRPr="00933093">
        <w:t>) (</w:t>
      </w:r>
      <w:r w:rsidR="003575DA" w:rsidRPr="00933093">
        <w:t>DAFF 2020</w:t>
      </w:r>
      <w:r w:rsidR="00933093" w:rsidRPr="00933093">
        <w:t>b</w:t>
      </w:r>
      <w:r w:rsidR="00F17E5E" w:rsidRPr="00933093">
        <w:t xml:space="preserve">). </w:t>
      </w:r>
    </w:p>
    <w:p w14:paraId="5B0B7D10" w14:textId="130E9EE5" w:rsidR="00FB178D" w:rsidRPr="00846769" w:rsidRDefault="00F17E5E" w:rsidP="00236D4B">
      <w:proofErr w:type="spellStart"/>
      <w:r w:rsidRPr="00933093">
        <w:rPr>
          <w:i/>
          <w:iCs/>
        </w:rPr>
        <w:t>Bonamia</w:t>
      </w:r>
      <w:proofErr w:type="spellEnd"/>
      <w:r w:rsidRPr="00933093">
        <w:rPr>
          <w:i/>
          <w:iCs/>
        </w:rPr>
        <w:t xml:space="preserve"> </w:t>
      </w:r>
      <w:proofErr w:type="spellStart"/>
      <w:r w:rsidRPr="00933093">
        <w:rPr>
          <w:i/>
          <w:iCs/>
        </w:rPr>
        <w:t>ostreae</w:t>
      </w:r>
      <w:proofErr w:type="spellEnd"/>
      <w:r w:rsidRPr="00933093">
        <w:rPr>
          <w:i/>
          <w:iCs/>
        </w:rPr>
        <w:t xml:space="preserve"> </w:t>
      </w:r>
      <w:r w:rsidRPr="00933093">
        <w:t xml:space="preserve">is exotic to Australia, but microcells have been detected in cupped oyster species such as </w:t>
      </w:r>
      <w:r w:rsidRPr="00933093">
        <w:rPr>
          <w:i/>
          <w:iCs/>
        </w:rPr>
        <w:t xml:space="preserve">M. ariakensis. </w:t>
      </w:r>
      <w:r w:rsidRPr="00933093">
        <w:t xml:space="preserve">Therefore, these oysters are considered naturally susceptible to infection by </w:t>
      </w:r>
      <w:r w:rsidRPr="00933093">
        <w:rPr>
          <w:i/>
          <w:iCs/>
        </w:rPr>
        <w:t>B.</w:t>
      </w:r>
      <w:r w:rsidR="00070E64">
        <w:rPr>
          <w:i/>
          <w:iCs/>
        </w:rPr>
        <w:t> </w:t>
      </w:r>
      <w:proofErr w:type="spellStart"/>
      <w:r w:rsidRPr="00933093">
        <w:rPr>
          <w:i/>
          <w:iCs/>
        </w:rPr>
        <w:t>ostreae</w:t>
      </w:r>
      <w:proofErr w:type="spellEnd"/>
      <w:r w:rsidRPr="00933093">
        <w:rPr>
          <w:i/>
          <w:iCs/>
        </w:rPr>
        <w:t xml:space="preserve"> </w:t>
      </w:r>
      <w:r w:rsidRPr="00933093">
        <w:t xml:space="preserve">and could be a risk pathway (DAFF </w:t>
      </w:r>
      <w:r w:rsidR="003575DA" w:rsidRPr="00933093">
        <w:t>2020</w:t>
      </w:r>
      <w:r w:rsidR="00933093" w:rsidRPr="00933093">
        <w:t>b</w:t>
      </w:r>
      <w:r w:rsidR="003575DA" w:rsidRPr="00933093">
        <w:t>).</w:t>
      </w:r>
      <w:r w:rsidRPr="00933093">
        <w:rPr>
          <w:i/>
          <w:iCs/>
        </w:rPr>
        <w:t xml:space="preserve"> </w:t>
      </w:r>
      <w:r w:rsidRPr="00933093">
        <w:t>As</w:t>
      </w:r>
      <w:r w:rsidRPr="00846769">
        <w:t xml:space="preserve"> the detection of </w:t>
      </w:r>
      <w:r w:rsidRPr="00846769">
        <w:rPr>
          <w:i/>
          <w:iCs/>
        </w:rPr>
        <w:t xml:space="preserve">M. ariakensis </w:t>
      </w:r>
      <w:r w:rsidRPr="00846769">
        <w:t>in Queensland is recent</w:t>
      </w:r>
      <w:r w:rsidR="00804195" w:rsidRPr="00846769">
        <w:rPr>
          <w:rFonts w:ascii="Calibri" w:eastAsia="Calibri" w:hAnsi="Calibri" w:cs="Arial"/>
        </w:rPr>
        <w:t>, little is known about</w:t>
      </w:r>
      <w:r w:rsidR="00094908">
        <w:rPr>
          <w:rFonts w:ascii="Calibri" w:eastAsia="Calibri" w:hAnsi="Calibri" w:cs="Arial"/>
        </w:rPr>
        <w:t xml:space="preserve"> potential</w:t>
      </w:r>
      <w:r w:rsidR="00804195" w:rsidRPr="00846769">
        <w:rPr>
          <w:rFonts w:ascii="Calibri" w:eastAsia="Calibri" w:hAnsi="Calibri" w:cs="Arial"/>
        </w:rPr>
        <w:t xml:space="preserve"> </w:t>
      </w:r>
      <w:proofErr w:type="spellStart"/>
      <w:r w:rsidR="00804195" w:rsidRPr="00846769">
        <w:rPr>
          <w:rFonts w:ascii="Calibri" w:eastAsia="Calibri" w:hAnsi="Calibri" w:cs="Arial"/>
          <w:i/>
          <w:iCs/>
        </w:rPr>
        <w:t>Bonamia</w:t>
      </w:r>
      <w:proofErr w:type="spellEnd"/>
      <w:r w:rsidR="00804195" w:rsidRPr="00846769">
        <w:rPr>
          <w:rFonts w:ascii="Calibri" w:eastAsia="Calibri" w:hAnsi="Calibri" w:cs="Arial"/>
          <w:i/>
          <w:iCs/>
        </w:rPr>
        <w:t xml:space="preserve"> </w:t>
      </w:r>
      <w:r w:rsidR="00804195" w:rsidRPr="00846769">
        <w:rPr>
          <w:rFonts w:ascii="Calibri" w:eastAsia="Calibri" w:hAnsi="Calibri" w:cs="Arial"/>
        </w:rPr>
        <w:t xml:space="preserve">spp. infection in this population or the associated disease transmission risks. However, disease testing on several </w:t>
      </w:r>
      <w:r w:rsidR="00804195" w:rsidRPr="00846769">
        <w:rPr>
          <w:rFonts w:ascii="Calibri" w:eastAsia="Calibri" w:hAnsi="Calibri" w:cs="Arial"/>
          <w:i/>
          <w:iCs/>
        </w:rPr>
        <w:t xml:space="preserve">M. ariakensis </w:t>
      </w:r>
      <w:r w:rsidR="00804195" w:rsidRPr="00846769">
        <w:rPr>
          <w:rFonts w:ascii="Calibri" w:eastAsia="Calibri" w:hAnsi="Calibri" w:cs="Arial"/>
        </w:rPr>
        <w:t xml:space="preserve">specimens collected from Queensland returned negative results for exotic pathogens. </w:t>
      </w:r>
    </w:p>
    <w:p w14:paraId="63253A5A" w14:textId="77777777" w:rsidR="00FB178D" w:rsidRPr="00846769" w:rsidRDefault="00FB178D">
      <w:pPr>
        <w:spacing w:after="160" w:line="259" w:lineRule="auto"/>
      </w:pPr>
      <w:r w:rsidRPr="00846769">
        <w:br w:type="page"/>
      </w:r>
    </w:p>
    <w:p w14:paraId="4A841751" w14:textId="3EF39119" w:rsidR="00930F41" w:rsidRPr="00846769" w:rsidRDefault="00930F41" w:rsidP="00930F41">
      <w:pPr>
        <w:pStyle w:val="Heading4"/>
        <w:spacing w:after="120"/>
        <w:ind w:left="851" w:hanging="851"/>
        <w:rPr>
          <w:rStyle w:val="Emphasis"/>
          <w:color w:val="262626" w:themeColor="text1" w:themeTint="D9"/>
        </w:rPr>
      </w:pPr>
      <w:r w:rsidRPr="00846769">
        <w:rPr>
          <w:rStyle w:val="Emphasis"/>
          <w:color w:val="262626" w:themeColor="text1" w:themeTint="D9"/>
        </w:rPr>
        <w:lastRenderedPageBreak/>
        <w:t>Magallana bilineata</w:t>
      </w:r>
    </w:p>
    <w:p w14:paraId="1401EAAF" w14:textId="1AA7E023" w:rsidR="0091252E" w:rsidRPr="00846769" w:rsidRDefault="00930F41" w:rsidP="00930F41">
      <w:r w:rsidRPr="00846769">
        <w:rPr>
          <w:i/>
          <w:iCs/>
        </w:rPr>
        <w:t>Magallana (</w:t>
      </w:r>
      <w:r w:rsidR="00094908">
        <w:t xml:space="preserve">formerly </w:t>
      </w:r>
      <w:r w:rsidRPr="00846769">
        <w:rPr>
          <w:i/>
          <w:iCs/>
        </w:rPr>
        <w:t xml:space="preserve">Crassostrea) bilineata </w:t>
      </w:r>
      <w:r w:rsidRPr="00846769">
        <w:t>is known as the black-scar oyster. It is a large tropical oyster that can grow to ~210 mm shell length a</w:t>
      </w:r>
      <w:r w:rsidR="0091252E" w:rsidRPr="00846769">
        <w:t>nd</w:t>
      </w:r>
      <w:r w:rsidRPr="00846769">
        <w:t xml:space="preserve"> is native to the Indo-Pacific Ocean, </w:t>
      </w:r>
      <w:r w:rsidR="00A07998" w:rsidRPr="00846769">
        <w:t xml:space="preserve">including Pakistan, India, Sri Lanka, China, Thailand, Malaysia, Indonesia, the Philippines, Japan, and Papua New Guinea </w:t>
      </w:r>
      <w:r w:rsidR="00A07998" w:rsidRPr="00634A79">
        <w:t xml:space="preserve">(Willan et al. 2021). </w:t>
      </w:r>
      <w:r w:rsidR="0091252E" w:rsidRPr="00634A79">
        <w:rPr>
          <w:i/>
          <w:iCs/>
        </w:rPr>
        <w:t xml:space="preserve">Magallana bilineata </w:t>
      </w:r>
      <w:r w:rsidR="0091252E" w:rsidRPr="00634A79">
        <w:t xml:space="preserve">is an important aquaculture species in the Philippines and </w:t>
      </w:r>
      <w:proofErr w:type="gramStart"/>
      <w:r w:rsidR="0091252E" w:rsidRPr="00634A79">
        <w:t>India, and</w:t>
      </w:r>
      <w:proofErr w:type="gramEnd"/>
      <w:r w:rsidR="0091252E" w:rsidRPr="00634A79">
        <w:t xml:space="preserve"> was deliberately introduced to Fiji in the 1970s for aquaculture (Kinch et al. 2019). In</w:t>
      </w:r>
      <w:r w:rsidR="0091252E" w:rsidRPr="00846769">
        <w:t xml:space="preserve"> 2019 it was detected in Far North Queensland, Australia, where it has been found in disturbed habitats (</w:t>
      </w:r>
      <w:r w:rsidR="0004422F">
        <w:t>i.e.</w:t>
      </w:r>
      <w:r w:rsidR="0091252E" w:rsidRPr="00846769">
        <w:t xml:space="preserve"> marinas and harbours) of Cairns</w:t>
      </w:r>
      <w:r w:rsidR="00253145" w:rsidRPr="00846769">
        <w:t xml:space="preserve">, Mission Beach, Mourilyan </w:t>
      </w:r>
      <w:r w:rsidR="00253145" w:rsidRPr="00DD01E4">
        <w:t>Harbour, Elim Beach,</w:t>
      </w:r>
      <w:r w:rsidR="0091252E" w:rsidRPr="00DD01E4">
        <w:t xml:space="preserve"> and Port Douglas, </w:t>
      </w:r>
      <w:proofErr w:type="gramStart"/>
      <w:r w:rsidR="0091252E" w:rsidRPr="00DD01E4">
        <w:t>and also</w:t>
      </w:r>
      <w:proofErr w:type="gramEnd"/>
      <w:r w:rsidR="0091252E" w:rsidRPr="00DD01E4">
        <w:t xml:space="preserve"> on rocks near unmodified anchorages near Cooktown (Willan et al. 2021)</w:t>
      </w:r>
      <w:r w:rsidR="00DA2417">
        <w:t>.</w:t>
      </w:r>
    </w:p>
    <w:p w14:paraId="1A810925" w14:textId="608A030C" w:rsidR="006C5232" w:rsidRPr="00846769" w:rsidRDefault="0091252E" w:rsidP="0090794A">
      <w:r w:rsidRPr="00846769">
        <w:rPr>
          <w:i/>
          <w:iCs/>
        </w:rPr>
        <w:t xml:space="preserve">Magallana </w:t>
      </w:r>
      <w:r w:rsidR="00522508">
        <w:rPr>
          <w:i/>
          <w:iCs/>
        </w:rPr>
        <w:t>bilineata</w:t>
      </w:r>
      <w:r w:rsidRPr="00846769">
        <w:rPr>
          <w:i/>
          <w:iCs/>
        </w:rPr>
        <w:t xml:space="preserve"> </w:t>
      </w:r>
      <w:r w:rsidRPr="00846769">
        <w:t xml:space="preserve">is not nationally listed in Australia on either the APMPL or the EEPL. </w:t>
      </w:r>
      <w:r w:rsidR="00253145" w:rsidRPr="00846769">
        <w:t xml:space="preserve">The potential risks </w:t>
      </w:r>
      <w:r w:rsidR="00236D4B" w:rsidRPr="00846769">
        <w:t>of</w:t>
      </w:r>
      <w:r w:rsidR="00253145" w:rsidRPr="00846769">
        <w:t xml:space="preserve"> </w:t>
      </w:r>
      <w:r w:rsidR="00253145" w:rsidRPr="00846769">
        <w:rPr>
          <w:i/>
          <w:iCs/>
        </w:rPr>
        <w:t xml:space="preserve">M. bilineata </w:t>
      </w:r>
      <w:r w:rsidR="00236D4B" w:rsidRPr="00846769">
        <w:t xml:space="preserve">on </w:t>
      </w:r>
      <w:r w:rsidR="00253145" w:rsidRPr="00846769">
        <w:t>Australia</w:t>
      </w:r>
      <w:r w:rsidR="00236D4B" w:rsidRPr="00846769">
        <w:t>n ecosystems</w:t>
      </w:r>
      <w:r w:rsidR="00253145" w:rsidRPr="00846769">
        <w:t xml:space="preserve"> is unknown, but it is a reportable </w:t>
      </w:r>
      <w:r w:rsidR="00F74B6F" w:rsidRPr="00846769">
        <w:t>‘</w:t>
      </w:r>
      <w:r w:rsidR="00253145" w:rsidRPr="00846769">
        <w:t>biosecurity matter</w:t>
      </w:r>
      <w:r w:rsidR="00F74B6F" w:rsidRPr="00846769">
        <w:t>’</w:t>
      </w:r>
      <w:r w:rsidR="00253145" w:rsidRPr="00846769">
        <w:t xml:space="preserve"> in Queensland.</w:t>
      </w:r>
    </w:p>
    <w:p w14:paraId="1E319D3C" w14:textId="60421B4B" w:rsidR="0090794A" w:rsidRPr="00846769" w:rsidRDefault="0090794A" w:rsidP="0090794A">
      <w:pPr>
        <w:pStyle w:val="Caption"/>
      </w:pPr>
      <w:bookmarkStart w:id="700" w:name="_Toc191999511"/>
      <w:r w:rsidRPr="00846769">
        <w:t xml:space="preserve">Table </w:t>
      </w:r>
      <w:r w:rsidRPr="00846769">
        <w:fldChar w:fldCharType="begin"/>
      </w:r>
      <w:r w:rsidRPr="00846769">
        <w:instrText xml:space="preserve"> SEQ Table \* ARABIC </w:instrText>
      </w:r>
      <w:r w:rsidRPr="00846769">
        <w:fldChar w:fldCharType="separate"/>
      </w:r>
      <w:r w:rsidR="005E4F41">
        <w:rPr>
          <w:noProof/>
        </w:rPr>
        <w:t>16</w:t>
      </w:r>
      <w:r w:rsidRPr="00846769">
        <w:fldChar w:fldCharType="end"/>
      </w:r>
      <w:r w:rsidRPr="00846769">
        <w:t xml:space="preserve"> </w:t>
      </w:r>
      <w:r w:rsidRPr="00846769">
        <w:rPr>
          <w:lang w:eastAsia="ja-JP"/>
        </w:rPr>
        <w:t xml:space="preserve">Taxonomic classification of </w:t>
      </w:r>
      <w:r w:rsidRPr="00846769">
        <w:rPr>
          <w:rStyle w:val="Emphasis"/>
        </w:rPr>
        <w:t>Magallana bilineata</w:t>
      </w:r>
      <w:bookmarkEnd w:id="70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6"/>
        <w:gridCol w:w="2585"/>
      </w:tblGrid>
      <w:tr w:rsidR="0091252E" w:rsidRPr="00846769" w14:paraId="34FF4416" w14:textId="77777777" w:rsidTr="00A04E26">
        <w:trPr>
          <w:cantSplit/>
          <w:tblHeader/>
        </w:trPr>
        <w:tc>
          <w:tcPr>
            <w:tcW w:w="1526" w:type="dxa"/>
            <w:shd w:val="clear" w:color="auto" w:fill="FFFFFF" w:themeFill="background1"/>
          </w:tcPr>
          <w:p w14:paraId="11D8D05E" w14:textId="77777777" w:rsidR="0091252E" w:rsidRPr="00846769" w:rsidRDefault="0091252E" w:rsidP="006966B1">
            <w:pPr>
              <w:pStyle w:val="TableText"/>
              <w:rPr>
                <w:rFonts w:cstheme="minorHAnsi"/>
                <w:b/>
                <w:bCs/>
              </w:rPr>
            </w:pPr>
            <w:bookmarkStart w:id="701" w:name="Table_16"/>
            <w:bookmarkEnd w:id="701"/>
            <w:r w:rsidRPr="00846769">
              <w:rPr>
                <w:rFonts w:cstheme="minorHAnsi"/>
                <w:b/>
                <w:bCs/>
              </w:rPr>
              <w:t>Classification</w:t>
            </w:r>
          </w:p>
        </w:tc>
        <w:tc>
          <w:tcPr>
            <w:tcW w:w="2585" w:type="dxa"/>
            <w:shd w:val="clear" w:color="auto" w:fill="FFFFFF" w:themeFill="background1"/>
          </w:tcPr>
          <w:p w14:paraId="45BE6A42" w14:textId="5BFB1A25" w:rsidR="0091252E" w:rsidRPr="00846769" w:rsidRDefault="0091252E" w:rsidP="006966B1">
            <w:pPr>
              <w:pStyle w:val="TableText"/>
              <w:rPr>
                <w:rStyle w:val="Emphasis"/>
                <w:rFonts w:cstheme="minorHAnsi"/>
                <w:b/>
                <w:bCs/>
              </w:rPr>
            </w:pPr>
            <w:r w:rsidRPr="00846769">
              <w:rPr>
                <w:rStyle w:val="Emphasis"/>
                <w:rFonts w:cstheme="minorHAnsi"/>
                <w:b/>
                <w:bCs/>
              </w:rPr>
              <w:t>Magallana bilineata</w:t>
            </w:r>
          </w:p>
        </w:tc>
      </w:tr>
      <w:tr w:rsidR="0091252E" w:rsidRPr="00846769" w14:paraId="6A459E3D" w14:textId="77777777" w:rsidTr="00A04E26">
        <w:trPr>
          <w:cantSplit/>
          <w:tblHeader/>
        </w:trPr>
        <w:tc>
          <w:tcPr>
            <w:tcW w:w="1526" w:type="dxa"/>
            <w:shd w:val="clear" w:color="auto" w:fill="FFFFFF" w:themeFill="background1"/>
          </w:tcPr>
          <w:p w14:paraId="3FE3DF3A" w14:textId="77777777" w:rsidR="0091252E" w:rsidRPr="00846769" w:rsidRDefault="0091252E" w:rsidP="006966B1">
            <w:pPr>
              <w:pStyle w:val="TableText"/>
              <w:rPr>
                <w:rFonts w:cstheme="minorHAnsi"/>
              </w:rPr>
            </w:pPr>
            <w:r w:rsidRPr="00846769">
              <w:rPr>
                <w:rFonts w:cstheme="minorHAnsi"/>
              </w:rPr>
              <w:t>Phylum</w:t>
            </w:r>
          </w:p>
        </w:tc>
        <w:tc>
          <w:tcPr>
            <w:tcW w:w="2585" w:type="dxa"/>
            <w:shd w:val="clear" w:color="auto" w:fill="FFFFFF" w:themeFill="background1"/>
          </w:tcPr>
          <w:p w14:paraId="23F788BE" w14:textId="77777777" w:rsidR="0091252E" w:rsidRPr="00846769" w:rsidRDefault="0091252E" w:rsidP="006966B1">
            <w:pPr>
              <w:pStyle w:val="TableText"/>
              <w:rPr>
                <w:rFonts w:cstheme="minorHAnsi"/>
              </w:rPr>
            </w:pPr>
            <w:r w:rsidRPr="00846769">
              <w:rPr>
                <w:rFonts w:cstheme="minorHAnsi"/>
              </w:rPr>
              <w:t>Mollusca</w:t>
            </w:r>
          </w:p>
        </w:tc>
      </w:tr>
      <w:tr w:rsidR="0091252E" w:rsidRPr="00846769" w14:paraId="57CDDC75" w14:textId="77777777" w:rsidTr="00A04E26">
        <w:trPr>
          <w:cantSplit/>
          <w:tblHeader/>
        </w:trPr>
        <w:tc>
          <w:tcPr>
            <w:tcW w:w="1526" w:type="dxa"/>
            <w:shd w:val="clear" w:color="auto" w:fill="FFFFFF" w:themeFill="background1"/>
          </w:tcPr>
          <w:p w14:paraId="0BD4735D" w14:textId="77777777" w:rsidR="0091252E" w:rsidRPr="00846769" w:rsidRDefault="0091252E" w:rsidP="006966B1">
            <w:pPr>
              <w:pStyle w:val="TableText"/>
              <w:rPr>
                <w:rFonts w:cstheme="minorHAnsi"/>
              </w:rPr>
            </w:pPr>
            <w:r w:rsidRPr="00846769">
              <w:rPr>
                <w:rFonts w:cstheme="minorHAnsi"/>
              </w:rPr>
              <w:t>Class</w:t>
            </w:r>
          </w:p>
        </w:tc>
        <w:tc>
          <w:tcPr>
            <w:tcW w:w="2585" w:type="dxa"/>
            <w:shd w:val="clear" w:color="auto" w:fill="FFFFFF" w:themeFill="background1"/>
          </w:tcPr>
          <w:p w14:paraId="705A6B28" w14:textId="77777777" w:rsidR="0091252E" w:rsidRPr="00846769" w:rsidRDefault="0091252E" w:rsidP="006966B1">
            <w:pPr>
              <w:pStyle w:val="TableText"/>
              <w:rPr>
                <w:rFonts w:cstheme="minorHAnsi"/>
              </w:rPr>
            </w:pPr>
            <w:r w:rsidRPr="00846769">
              <w:rPr>
                <w:rFonts w:cstheme="minorHAnsi"/>
              </w:rPr>
              <w:t>Bivalvia</w:t>
            </w:r>
          </w:p>
        </w:tc>
      </w:tr>
      <w:tr w:rsidR="0091252E" w:rsidRPr="00846769" w14:paraId="18DCF09C" w14:textId="77777777" w:rsidTr="00A04E26">
        <w:trPr>
          <w:cantSplit/>
          <w:tblHeader/>
        </w:trPr>
        <w:tc>
          <w:tcPr>
            <w:tcW w:w="1526" w:type="dxa"/>
            <w:shd w:val="clear" w:color="auto" w:fill="FFFFFF" w:themeFill="background1"/>
          </w:tcPr>
          <w:p w14:paraId="0F8F6952" w14:textId="77777777" w:rsidR="0091252E" w:rsidRPr="00846769" w:rsidRDefault="0091252E" w:rsidP="006966B1">
            <w:pPr>
              <w:pStyle w:val="TableText"/>
              <w:rPr>
                <w:rFonts w:cstheme="minorHAnsi"/>
              </w:rPr>
            </w:pPr>
            <w:r w:rsidRPr="00846769">
              <w:rPr>
                <w:rFonts w:cstheme="minorHAnsi"/>
              </w:rPr>
              <w:t>Order</w:t>
            </w:r>
          </w:p>
        </w:tc>
        <w:tc>
          <w:tcPr>
            <w:tcW w:w="2585" w:type="dxa"/>
            <w:shd w:val="clear" w:color="auto" w:fill="FFFFFF" w:themeFill="background1"/>
          </w:tcPr>
          <w:p w14:paraId="0BC82916" w14:textId="77777777" w:rsidR="0091252E" w:rsidRPr="00846769" w:rsidRDefault="0091252E" w:rsidP="006966B1">
            <w:pPr>
              <w:pStyle w:val="TableText"/>
              <w:rPr>
                <w:rFonts w:cstheme="minorHAnsi"/>
              </w:rPr>
            </w:pPr>
            <w:proofErr w:type="spellStart"/>
            <w:r w:rsidRPr="00846769">
              <w:rPr>
                <w:rFonts w:cstheme="minorHAnsi"/>
              </w:rPr>
              <w:t>Ostreodia</w:t>
            </w:r>
            <w:proofErr w:type="spellEnd"/>
          </w:p>
        </w:tc>
      </w:tr>
      <w:tr w:rsidR="0091252E" w:rsidRPr="00846769" w14:paraId="6A2E32DD" w14:textId="77777777" w:rsidTr="00A04E26">
        <w:trPr>
          <w:cantSplit/>
          <w:tblHeader/>
        </w:trPr>
        <w:tc>
          <w:tcPr>
            <w:tcW w:w="1526" w:type="dxa"/>
            <w:shd w:val="clear" w:color="auto" w:fill="FFFFFF" w:themeFill="background1"/>
          </w:tcPr>
          <w:p w14:paraId="6F074C50" w14:textId="77777777" w:rsidR="0091252E" w:rsidRPr="00846769" w:rsidRDefault="0091252E" w:rsidP="006966B1">
            <w:pPr>
              <w:pStyle w:val="TableText"/>
              <w:rPr>
                <w:rFonts w:cstheme="minorHAnsi"/>
              </w:rPr>
            </w:pPr>
            <w:r w:rsidRPr="00846769">
              <w:rPr>
                <w:rFonts w:cstheme="minorHAnsi"/>
              </w:rPr>
              <w:t>Family</w:t>
            </w:r>
          </w:p>
        </w:tc>
        <w:tc>
          <w:tcPr>
            <w:tcW w:w="2585" w:type="dxa"/>
            <w:shd w:val="clear" w:color="auto" w:fill="FFFFFF" w:themeFill="background1"/>
          </w:tcPr>
          <w:p w14:paraId="06078962" w14:textId="77777777" w:rsidR="0091252E" w:rsidRPr="00846769" w:rsidRDefault="0091252E" w:rsidP="006966B1">
            <w:pPr>
              <w:pStyle w:val="TableText"/>
              <w:rPr>
                <w:rFonts w:cstheme="minorHAnsi"/>
              </w:rPr>
            </w:pPr>
            <w:proofErr w:type="spellStart"/>
            <w:r w:rsidRPr="00846769">
              <w:rPr>
                <w:rFonts w:cstheme="minorHAnsi"/>
              </w:rPr>
              <w:t>Ostreidae</w:t>
            </w:r>
            <w:proofErr w:type="spellEnd"/>
          </w:p>
        </w:tc>
      </w:tr>
      <w:tr w:rsidR="0091252E" w:rsidRPr="00846769" w14:paraId="4BCCC130" w14:textId="77777777" w:rsidTr="00A04E26">
        <w:trPr>
          <w:cantSplit/>
          <w:tblHeader/>
        </w:trPr>
        <w:tc>
          <w:tcPr>
            <w:tcW w:w="1526" w:type="dxa"/>
            <w:shd w:val="clear" w:color="auto" w:fill="FFFFFF" w:themeFill="background1"/>
          </w:tcPr>
          <w:p w14:paraId="09624651" w14:textId="77777777" w:rsidR="0091252E" w:rsidRPr="00846769" w:rsidRDefault="0091252E" w:rsidP="006966B1">
            <w:pPr>
              <w:pStyle w:val="TableText"/>
              <w:rPr>
                <w:rFonts w:cstheme="minorHAnsi"/>
              </w:rPr>
            </w:pPr>
            <w:r w:rsidRPr="00846769">
              <w:rPr>
                <w:rFonts w:cstheme="minorHAnsi"/>
              </w:rPr>
              <w:t>Genus</w:t>
            </w:r>
          </w:p>
        </w:tc>
        <w:tc>
          <w:tcPr>
            <w:tcW w:w="2585" w:type="dxa"/>
            <w:shd w:val="clear" w:color="auto" w:fill="FFFFFF" w:themeFill="background1"/>
          </w:tcPr>
          <w:p w14:paraId="1A3058D6" w14:textId="77777777" w:rsidR="0091252E" w:rsidRPr="00846769" w:rsidRDefault="0091252E" w:rsidP="006966B1">
            <w:pPr>
              <w:pStyle w:val="TableText"/>
              <w:rPr>
                <w:rStyle w:val="Emphasis"/>
                <w:rFonts w:cstheme="minorHAnsi"/>
              </w:rPr>
            </w:pPr>
            <w:r w:rsidRPr="00846769">
              <w:rPr>
                <w:rStyle w:val="Emphasis"/>
                <w:rFonts w:cstheme="minorHAnsi"/>
              </w:rPr>
              <w:t>Magallana</w:t>
            </w:r>
          </w:p>
        </w:tc>
      </w:tr>
    </w:tbl>
    <w:p w14:paraId="1832D4C8" w14:textId="77777777" w:rsidR="00A07998" w:rsidRPr="00846769" w:rsidRDefault="00A07998" w:rsidP="00A07998">
      <w:pPr>
        <w:pStyle w:val="Heading5"/>
        <w:spacing w:before="120" w:after="120"/>
        <w:rPr>
          <w:color w:val="262626" w:themeColor="text1" w:themeTint="D9"/>
          <w:sz w:val="24"/>
          <w:szCs w:val="24"/>
        </w:rPr>
      </w:pPr>
      <w:r w:rsidRPr="00846769">
        <w:rPr>
          <w:color w:val="262626" w:themeColor="text1" w:themeTint="D9"/>
          <w:sz w:val="24"/>
          <w:szCs w:val="24"/>
        </w:rPr>
        <w:t>Diagnostic features for identification</w:t>
      </w:r>
    </w:p>
    <w:p w14:paraId="7119B0CE" w14:textId="77777777" w:rsidR="00A07998" w:rsidRPr="00846769" w:rsidRDefault="00A07998" w:rsidP="00A07998">
      <w:pPr>
        <w:pStyle w:val="Heading6"/>
        <w:spacing w:after="40"/>
        <w:rPr>
          <w:color w:val="262626" w:themeColor="text1" w:themeTint="D9"/>
        </w:rPr>
      </w:pPr>
      <w:r w:rsidRPr="00846769">
        <w:rPr>
          <w:color w:val="262626" w:themeColor="text1" w:themeTint="D9"/>
        </w:rPr>
        <w:t>Field identification</w:t>
      </w:r>
    </w:p>
    <w:p w14:paraId="670F5625" w14:textId="681851D8" w:rsidR="0091252E" w:rsidRPr="00846769" w:rsidRDefault="00092774" w:rsidP="0091252E">
      <w:r w:rsidRPr="00846769">
        <w:rPr>
          <w:i/>
          <w:iCs/>
        </w:rPr>
        <w:t xml:space="preserve">Magallana bilineata </w:t>
      </w:r>
      <w:r w:rsidRPr="00846769">
        <w:t xml:space="preserve">cannot be identified in the field due to high morphological variability, which makes differentiation between </w:t>
      </w:r>
      <w:proofErr w:type="spellStart"/>
      <w:r w:rsidRPr="00846769">
        <w:t>ostreid</w:t>
      </w:r>
      <w:proofErr w:type="spellEnd"/>
      <w:r w:rsidRPr="00846769">
        <w:t xml:space="preserve"> species </w:t>
      </w:r>
      <w:r w:rsidRPr="00634A79">
        <w:t>challenging (Dridi et al. 2008). Therefore</w:t>
      </w:r>
      <w:r w:rsidRPr="00846769">
        <w:t>, molecular diagnostics are the recommended method for confirming species identity.</w:t>
      </w:r>
    </w:p>
    <w:p w14:paraId="7A6E0AF9" w14:textId="216F1B25" w:rsidR="00F77FF2" w:rsidRPr="00DD01E4" w:rsidRDefault="00092774" w:rsidP="0091252E">
      <w:r w:rsidRPr="00846769">
        <w:t xml:space="preserve">The shell of </w:t>
      </w:r>
      <w:r w:rsidRPr="00846769">
        <w:rPr>
          <w:i/>
          <w:iCs/>
        </w:rPr>
        <w:t>M. bilineata</w:t>
      </w:r>
      <w:r w:rsidRPr="00846769">
        <w:t xml:space="preserve"> is variable in shape, usually elongate or circular, and sometimes possesses lateral ‘</w:t>
      </w:r>
      <w:proofErr w:type="gramStart"/>
      <w:r w:rsidRPr="00846769">
        <w:t>lobes’</w:t>
      </w:r>
      <w:proofErr w:type="gramEnd"/>
      <w:r w:rsidRPr="00846769">
        <w:t xml:space="preserve">. This species can grow up to 180-212 mm long. </w:t>
      </w:r>
      <w:r w:rsidR="00F77FF2" w:rsidRPr="00846769">
        <w:t xml:space="preserve">Characteristic of </w:t>
      </w:r>
      <w:r w:rsidR="00F77FF2" w:rsidRPr="00846769">
        <w:rPr>
          <w:i/>
          <w:iCs/>
        </w:rPr>
        <w:t xml:space="preserve">M. bilineata </w:t>
      </w:r>
      <w:r w:rsidR="00F77FF2" w:rsidRPr="00846769">
        <w:t>is a very dark purple/black adductor muscle scar (</w:t>
      </w:r>
      <w:r w:rsidR="00192097" w:rsidRPr="00846769">
        <w:rPr>
          <w:highlight w:val="yellow"/>
        </w:rPr>
        <w:fldChar w:fldCharType="begin"/>
      </w:r>
      <w:r w:rsidR="00192097" w:rsidRPr="00846769">
        <w:instrText xml:space="preserve"> REF _Ref171945579 \h </w:instrText>
      </w:r>
      <w:r w:rsidR="00192097" w:rsidRPr="00846769">
        <w:rPr>
          <w:highlight w:val="yellow"/>
        </w:rPr>
      </w:r>
      <w:r w:rsidR="00192097" w:rsidRPr="00846769">
        <w:rPr>
          <w:highlight w:val="yellow"/>
        </w:rPr>
        <w:fldChar w:fldCharType="separate"/>
      </w:r>
      <w:r w:rsidR="00192097" w:rsidRPr="00846769">
        <w:t>Photo 25</w:t>
      </w:r>
      <w:r w:rsidR="00192097" w:rsidRPr="00846769">
        <w:rPr>
          <w:highlight w:val="yellow"/>
        </w:rPr>
        <w:fldChar w:fldCharType="end"/>
      </w:r>
      <w:r w:rsidR="00F77FF2" w:rsidRPr="00846769">
        <w:t xml:space="preserve">), which is the distinguishing feature of this species </w:t>
      </w:r>
      <w:r w:rsidR="00F77FF2" w:rsidRPr="00DD01E4">
        <w:t>(Willan et al. 2021). Some other species may</w:t>
      </w:r>
      <w:r w:rsidR="00094908">
        <w:t>, however,</w:t>
      </w:r>
      <w:r w:rsidR="00F77FF2" w:rsidRPr="00DD01E4">
        <w:t xml:space="preserve"> variably possess this trait. </w:t>
      </w:r>
    </w:p>
    <w:p w14:paraId="569E48E2" w14:textId="709D62F4" w:rsidR="00092774" w:rsidRPr="00846769" w:rsidRDefault="00092774" w:rsidP="0091252E">
      <w:r w:rsidRPr="00DD01E4">
        <w:t xml:space="preserve">The external shell is usually pale yellow or purple with thin, flaky lamellae </w:t>
      </w:r>
      <w:r w:rsidR="00B27A64" w:rsidRPr="00DD01E4">
        <w:t>or ‘layers’</w:t>
      </w:r>
      <w:r w:rsidR="00F77FF2" w:rsidRPr="00DD01E4">
        <w:t xml:space="preserve"> (</w:t>
      </w:r>
      <w:r w:rsidR="00192097" w:rsidRPr="00DD01E4">
        <w:fldChar w:fldCharType="begin"/>
      </w:r>
      <w:r w:rsidR="00192097" w:rsidRPr="00DD01E4">
        <w:instrText xml:space="preserve"> REF _Ref171945608 \h </w:instrText>
      </w:r>
      <w:r w:rsidR="00DD01E4">
        <w:instrText xml:space="preserve"> \* MERGEFORMAT </w:instrText>
      </w:r>
      <w:r w:rsidR="00192097" w:rsidRPr="00DD01E4">
        <w:fldChar w:fldCharType="separate"/>
      </w:r>
      <w:r w:rsidR="00192097" w:rsidRPr="00DD01E4">
        <w:t>Photo 26</w:t>
      </w:r>
      <w:r w:rsidR="00192097" w:rsidRPr="00DD01E4">
        <w:fldChar w:fldCharType="end"/>
      </w:r>
      <w:r w:rsidR="00F77FF2" w:rsidRPr="00DD01E4">
        <w:t>)</w:t>
      </w:r>
      <w:r w:rsidRPr="00DD01E4">
        <w:t>. The lower left valve is often deeply cupped, while the right valve is nearly flat (Willan et al. 2021). As</w:t>
      </w:r>
      <w:r w:rsidRPr="00846769">
        <w:t xml:space="preserve"> with all species of </w:t>
      </w:r>
      <w:r w:rsidRPr="00846769">
        <w:rPr>
          <w:i/>
          <w:iCs/>
        </w:rPr>
        <w:t xml:space="preserve">Magallana </w:t>
      </w:r>
      <w:r w:rsidRPr="00846769">
        <w:t xml:space="preserve">and </w:t>
      </w:r>
      <w:r w:rsidRPr="00846769">
        <w:rPr>
          <w:i/>
          <w:iCs/>
        </w:rPr>
        <w:t>Crassostrea</w:t>
      </w:r>
      <w:r w:rsidRPr="00846769">
        <w:t>, the internal shell lacks internal pits (“</w:t>
      </w:r>
      <w:proofErr w:type="spellStart"/>
      <w:r w:rsidRPr="00846769">
        <w:t>chomata</w:t>
      </w:r>
      <w:proofErr w:type="spellEnd"/>
      <w:r w:rsidRPr="00846769">
        <w:t xml:space="preserve">”) around the shell margin. The hinge and ligamental area are straight and short, with the ligament being deeply grooved between equal-sized segments. </w:t>
      </w:r>
    </w:p>
    <w:p w14:paraId="541F5855" w14:textId="3484146A" w:rsidR="00611CCC" w:rsidRPr="00846769" w:rsidRDefault="00611CCC" w:rsidP="00611CCC">
      <w:pPr>
        <w:pStyle w:val="Caption"/>
      </w:pPr>
      <w:bookmarkStart w:id="702" w:name="_Ref171945579"/>
      <w:bookmarkStart w:id="703" w:name="_Toc191999549"/>
      <w:r w:rsidRPr="00846769">
        <w:lastRenderedPageBreak/>
        <w:t xml:space="preserve">Photo </w:t>
      </w:r>
      <w:r w:rsidRPr="00846769">
        <w:fldChar w:fldCharType="begin"/>
      </w:r>
      <w:r w:rsidRPr="00846769">
        <w:instrText xml:space="preserve"> SEQ Photo \* ARABIC </w:instrText>
      </w:r>
      <w:r w:rsidRPr="00846769">
        <w:fldChar w:fldCharType="separate"/>
      </w:r>
      <w:r w:rsidR="00300312" w:rsidRPr="00846769">
        <w:t>25</w:t>
      </w:r>
      <w:r w:rsidRPr="00846769">
        <w:fldChar w:fldCharType="end"/>
      </w:r>
      <w:bookmarkEnd w:id="702"/>
      <w:r w:rsidRPr="00846769">
        <w:t xml:space="preserve"> </w:t>
      </w:r>
      <w:r w:rsidRPr="00846769">
        <w:rPr>
          <w:szCs w:val="24"/>
        </w:rPr>
        <w:t xml:space="preserve">Adult </w:t>
      </w:r>
      <w:r w:rsidRPr="00846769">
        <w:rPr>
          <w:i/>
          <w:iCs/>
          <w:szCs w:val="24"/>
        </w:rPr>
        <w:t xml:space="preserve">Magallana bilineata </w:t>
      </w:r>
      <w:r w:rsidRPr="00846769">
        <w:rPr>
          <w:szCs w:val="24"/>
        </w:rPr>
        <w:t>from Mourilyan Harbour (left) and from Cooktown (right). Note the prominent black adductor scar on the valves</w:t>
      </w:r>
      <w:bookmarkEnd w:id="703"/>
    </w:p>
    <w:p w14:paraId="4D758A27" w14:textId="0F3FAF1D" w:rsidR="00F77FF2" w:rsidRPr="00846769" w:rsidRDefault="00611CCC" w:rsidP="00574C50">
      <w:pPr>
        <w:spacing w:after="120"/>
        <w:rPr>
          <w:b/>
          <w:bCs/>
          <w:sz w:val="24"/>
          <w:szCs w:val="24"/>
        </w:rPr>
      </w:pPr>
      <w:r w:rsidRPr="00846769">
        <w:rPr>
          <w:b/>
          <w:bCs/>
          <w:noProof/>
          <w:sz w:val="24"/>
          <w:szCs w:val="24"/>
        </w:rPr>
        <w:drawing>
          <wp:inline distT="0" distB="0" distL="0" distR="0" wp14:anchorId="7CDC4C13" wp14:editId="2D47016A">
            <wp:extent cx="5731510" cy="2991485"/>
            <wp:effectExtent l="0" t="0" r="2540" b="0"/>
            <wp:docPr id="523900958" name="Picture 10" descr="Coloured photographs showing the open shells of Magallana bilineata and the distinctive black adductor scar in the val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00958" name="Picture 10" descr="Coloured photographs showing the open shells of Magallana bilineata and the distinctive black adductor scar in the valves. "/>
                    <pic:cNvPicPr/>
                  </pic:nvPicPr>
                  <pic:blipFill>
                    <a:blip r:embed="rId275" cstate="email">
                      <a:extLst>
                        <a:ext uri="{28A0092B-C50C-407E-A947-70E740481C1C}">
                          <a14:useLocalDpi xmlns:a14="http://schemas.microsoft.com/office/drawing/2010/main" val="0"/>
                        </a:ext>
                      </a:extLst>
                    </a:blip>
                    <a:stretch>
                      <a:fillRect/>
                    </a:stretch>
                  </pic:blipFill>
                  <pic:spPr>
                    <a:xfrm>
                      <a:off x="0" y="0"/>
                      <a:ext cx="5731510" cy="2991485"/>
                    </a:xfrm>
                    <a:prstGeom prst="rect">
                      <a:avLst/>
                    </a:prstGeom>
                  </pic:spPr>
                </pic:pic>
              </a:graphicData>
            </a:graphic>
          </wp:inline>
        </w:drawing>
      </w:r>
    </w:p>
    <w:p w14:paraId="41AB0BDD" w14:textId="6F562AEC" w:rsidR="00611CCC" w:rsidRPr="00846769" w:rsidRDefault="00F77FF2" w:rsidP="00F77FF2">
      <w:r w:rsidRPr="00846769">
        <w:rPr>
          <w:rStyle w:val="Emphasis"/>
          <w:i w:val="0"/>
          <w:iCs w:val="0"/>
          <w:sz w:val="18"/>
          <w:szCs w:val="18"/>
        </w:rPr>
        <w:t>Source:</w:t>
      </w:r>
      <w:r w:rsidRPr="00846769">
        <w:rPr>
          <w:sz w:val="18"/>
          <w:szCs w:val="18"/>
        </w:rPr>
        <w:t xml:space="preserve"> Evan Rees, Northern Australia Quarantine Strategy (NAQS</w:t>
      </w:r>
      <w:r w:rsidR="00F425BD" w:rsidRPr="00846769">
        <w:rPr>
          <w:sz w:val="18"/>
          <w:szCs w:val="18"/>
        </w:rPr>
        <w:t>)</w:t>
      </w:r>
    </w:p>
    <w:p w14:paraId="59F2F3AD" w14:textId="60AFC882" w:rsidR="00611CCC" w:rsidRPr="00846769" w:rsidRDefault="00611CCC" w:rsidP="00611CCC">
      <w:pPr>
        <w:pStyle w:val="Caption"/>
      </w:pPr>
      <w:bookmarkStart w:id="704" w:name="_Ref171945608"/>
      <w:bookmarkStart w:id="705" w:name="_Toc191999550"/>
      <w:r w:rsidRPr="00846769">
        <w:t xml:space="preserve">Photo </w:t>
      </w:r>
      <w:r w:rsidRPr="00846769">
        <w:fldChar w:fldCharType="begin"/>
      </w:r>
      <w:r w:rsidRPr="00846769">
        <w:instrText xml:space="preserve"> SEQ Photo \* ARABIC </w:instrText>
      </w:r>
      <w:r w:rsidRPr="00846769">
        <w:fldChar w:fldCharType="separate"/>
      </w:r>
      <w:r w:rsidR="00300312" w:rsidRPr="00846769">
        <w:t>26</w:t>
      </w:r>
      <w:r w:rsidRPr="00846769">
        <w:fldChar w:fldCharType="end"/>
      </w:r>
      <w:bookmarkEnd w:id="704"/>
      <w:r w:rsidRPr="00846769">
        <w:t xml:space="preserve"> </w:t>
      </w:r>
      <w:r w:rsidRPr="00846769">
        <w:rPr>
          <w:szCs w:val="24"/>
        </w:rPr>
        <w:t xml:space="preserve">Adult </w:t>
      </w:r>
      <w:r w:rsidRPr="00846769">
        <w:rPr>
          <w:i/>
          <w:iCs/>
          <w:szCs w:val="24"/>
        </w:rPr>
        <w:t xml:space="preserve">Magallana bilineata </w:t>
      </w:r>
      <w:r w:rsidRPr="00846769">
        <w:rPr>
          <w:szCs w:val="24"/>
        </w:rPr>
        <w:t>on rocks with valves closed</w:t>
      </w:r>
      <w:bookmarkEnd w:id="705"/>
    </w:p>
    <w:p w14:paraId="3E4A8FA5" w14:textId="172D588E" w:rsidR="00F77FF2" w:rsidRPr="00846769" w:rsidRDefault="00F77FF2" w:rsidP="00F77FF2">
      <w:pPr>
        <w:rPr>
          <w:rStyle w:val="Emphasis"/>
          <w:i w:val="0"/>
          <w:iCs w:val="0"/>
        </w:rPr>
      </w:pPr>
      <w:r w:rsidRPr="00846769">
        <w:rPr>
          <w:noProof/>
        </w:rPr>
        <w:drawing>
          <wp:inline distT="0" distB="0" distL="0" distR="0" wp14:anchorId="671A8AA6" wp14:editId="13729190">
            <wp:extent cx="4872251" cy="3860406"/>
            <wp:effectExtent l="0" t="0" r="5080" b="6985"/>
            <wp:docPr id="712159608" name="Picture 2" descr="Coloured photograph showing Magallana bilineata on beach rocks with valves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59608" name="Picture 2" descr="Coloured photograph showing Magallana bilineata on beach rocks with valves closed."/>
                    <pic:cNvPicPr/>
                  </pic:nvPicPr>
                  <pic:blipFill rotWithShape="1">
                    <a:blip r:embed="rId276" cstate="email">
                      <a:extLst>
                        <a:ext uri="{28A0092B-C50C-407E-A947-70E740481C1C}">
                          <a14:useLocalDpi xmlns:a14="http://schemas.microsoft.com/office/drawing/2010/main" val="0"/>
                        </a:ext>
                      </a:extLst>
                    </a:blip>
                    <a:srcRect/>
                    <a:stretch/>
                  </pic:blipFill>
                  <pic:spPr bwMode="auto">
                    <a:xfrm>
                      <a:off x="0" y="0"/>
                      <a:ext cx="4880383" cy="3866849"/>
                    </a:xfrm>
                    <a:prstGeom prst="rect">
                      <a:avLst/>
                    </a:prstGeom>
                    <a:ln>
                      <a:noFill/>
                    </a:ln>
                    <a:extLst>
                      <a:ext uri="{53640926-AAD7-44D8-BBD7-CCE9431645EC}">
                        <a14:shadowObscured xmlns:a14="http://schemas.microsoft.com/office/drawing/2010/main"/>
                      </a:ext>
                    </a:extLst>
                  </pic:spPr>
                </pic:pic>
              </a:graphicData>
            </a:graphic>
          </wp:inline>
        </w:drawing>
      </w:r>
    </w:p>
    <w:p w14:paraId="6786E09D" w14:textId="030F7D03" w:rsidR="00092774" w:rsidRPr="00846769" w:rsidRDefault="006C7592" w:rsidP="0091252E">
      <w:r w:rsidRPr="00846769">
        <w:rPr>
          <w:rStyle w:val="Emphasis"/>
          <w:i w:val="0"/>
          <w:iCs w:val="0"/>
          <w:sz w:val="18"/>
          <w:szCs w:val="18"/>
        </w:rPr>
        <w:t>Source:</w:t>
      </w:r>
      <w:r w:rsidRPr="00846769">
        <w:rPr>
          <w:sz w:val="18"/>
          <w:szCs w:val="18"/>
        </w:rPr>
        <w:t xml:space="preserve"> Carmel McDougall, Griffith University</w:t>
      </w:r>
    </w:p>
    <w:p w14:paraId="72553DBB" w14:textId="77777777" w:rsidR="006C7592" w:rsidRPr="00846769" w:rsidRDefault="006C7592" w:rsidP="0091252E"/>
    <w:p w14:paraId="0DE0AAAA" w14:textId="77777777" w:rsidR="00A07998" w:rsidRPr="00846769" w:rsidRDefault="00A07998" w:rsidP="00A07998">
      <w:pPr>
        <w:pStyle w:val="Heading6"/>
        <w:spacing w:after="40"/>
        <w:rPr>
          <w:color w:val="262626" w:themeColor="text1" w:themeTint="D9"/>
        </w:rPr>
      </w:pPr>
      <w:r w:rsidRPr="00846769">
        <w:rPr>
          <w:color w:val="262626" w:themeColor="text1" w:themeTint="D9"/>
        </w:rPr>
        <w:lastRenderedPageBreak/>
        <w:t>Similar native species</w:t>
      </w:r>
    </w:p>
    <w:p w14:paraId="7716C5D2" w14:textId="354E6B84" w:rsidR="00B27A64" w:rsidRPr="00846769" w:rsidRDefault="00F74B6F" w:rsidP="00236D4B">
      <w:r w:rsidRPr="00846769">
        <w:rPr>
          <w:i/>
          <w:iCs/>
        </w:rPr>
        <w:t xml:space="preserve">Magallana </w:t>
      </w:r>
      <w:r w:rsidR="00B27A64" w:rsidRPr="00846769">
        <w:rPr>
          <w:i/>
          <w:iCs/>
        </w:rPr>
        <w:t>bilineata</w:t>
      </w:r>
      <w:r w:rsidRPr="00846769">
        <w:rPr>
          <w:i/>
          <w:iCs/>
        </w:rPr>
        <w:t xml:space="preserve"> </w:t>
      </w:r>
      <w:r w:rsidRPr="00846769">
        <w:t>are not easily distinguished from other oysters until they reach a distinctive size larger than native oyster species</w:t>
      </w:r>
      <w:r w:rsidR="00B27A64" w:rsidRPr="00846769">
        <w:t xml:space="preserve">. </w:t>
      </w:r>
      <w:r w:rsidR="00092774" w:rsidRPr="00846769">
        <w:t xml:space="preserve">This species looks </w:t>
      </w:r>
      <w:proofErr w:type="gramStart"/>
      <w:r w:rsidR="00092774" w:rsidRPr="00846769">
        <w:t>similar to</w:t>
      </w:r>
      <w:proofErr w:type="gramEnd"/>
      <w:r w:rsidR="00092774" w:rsidRPr="00846769">
        <w:t xml:space="preserve"> wild </w:t>
      </w:r>
      <w:r w:rsidR="00092774" w:rsidRPr="00846769">
        <w:rPr>
          <w:i/>
          <w:iCs/>
        </w:rPr>
        <w:t>M. gigas</w:t>
      </w:r>
      <w:r w:rsidR="00092774" w:rsidRPr="00846769">
        <w:t xml:space="preserve">, however the ranges between </w:t>
      </w:r>
      <w:r w:rsidR="00092774" w:rsidRPr="00634A79">
        <w:t xml:space="preserve">the two species do not currently overlap, as </w:t>
      </w:r>
      <w:r w:rsidR="00092774" w:rsidRPr="00634A79">
        <w:rPr>
          <w:i/>
          <w:iCs/>
        </w:rPr>
        <w:t xml:space="preserve">M. bilineata </w:t>
      </w:r>
      <w:r w:rsidR="00092774" w:rsidRPr="00634A79">
        <w:t xml:space="preserve">is a tropical species whereas </w:t>
      </w:r>
      <w:r w:rsidR="00092774" w:rsidRPr="00634A79">
        <w:rPr>
          <w:i/>
          <w:iCs/>
        </w:rPr>
        <w:t xml:space="preserve">M. gigas </w:t>
      </w:r>
      <w:r w:rsidR="00092774" w:rsidRPr="00634A79">
        <w:t>is a temperate spec</w:t>
      </w:r>
      <w:r w:rsidR="00B27A64" w:rsidRPr="00634A79">
        <w:t>i</w:t>
      </w:r>
      <w:r w:rsidR="00092774" w:rsidRPr="00634A79">
        <w:t>es (Ghaffari et al. 2019; Willan et al. 2021).</w:t>
      </w:r>
      <w:r w:rsidR="00B27A64" w:rsidRPr="007075D7">
        <w:t xml:space="preserve"> </w:t>
      </w:r>
      <w:r w:rsidR="00B27A64" w:rsidRPr="007075D7">
        <w:rPr>
          <w:i/>
          <w:iCs/>
        </w:rPr>
        <w:t xml:space="preserve">Magallana bilineata </w:t>
      </w:r>
      <w:r w:rsidR="00B27A64" w:rsidRPr="007075D7">
        <w:t xml:space="preserve">may look </w:t>
      </w:r>
      <w:proofErr w:type="gramStart"/>
      <w:r w:rsidR="00B27A64" w:rsidRPr="007075D7">
        <w:t>similar to</w:t>
      </w:r>
      <w:proofErr w:type="gramEnd"/>
      <w:r w:rsidR="00B27A64" w:rsidRPr="007075D7">
        <w:t xml:space="preserve"> native flat oysters, </w:t>
      </w:r>
      <w:r w:rsidR="00B27A64" w:rsidRPr="007075D7">
        <w:rPr>
          <w:i/>
          <w:iCs/>
        </w:rPr>
        <w:t xml:space="preserve">Ostrea </w:t>
      </w:r>
      <w:proofErr w:type="spellStart"/>
      <w:r w:rsidR="00B27A64" w:rsidRPr="007075D7">
        <w:rPr>
          <w:i/>
          <w:iCs/>
        </w:rPr>
        <w:t>angasi</w:t>
      </w:r>
      <w:proofErr w:type="spellEnd"/>
      <w:r w:rsidR="00B27A64" w:rsidRPr="007075D7">
        <w:t>, and rock</w:t>
      </w:r>
      <w:r w:rsidR="00B27A64" w:rsidRPr="00846769">
        <w:t xml:space="preserve"> oysters, </w:t>
      </w:r>
      <w:r w:rsidR="00B27A64" w:rsidRPr="00846769">
        <w:rPr>
          <w:i/>
          <w:iCs/>
        </w:rPr>
        <w:t xml:space="preserve">Saccostrea </w:t>
      </w:r>
      <w:r w:rsidR="00B27A64" w:rsidRPr="00846769">
        <w:t xml:space="preserve">spp. </w:t>
      </w:r>
    </w:p>
    <w:p w14:paraId="29B34259" w14:textId="77777777" w:rsidR="00A07998" w:rsidRPr="00846769" w:rsidRDefault="00A07998" w:rsidP="00A07998">
      <w:pPr>
        <w:pStyle w:val="Heading6"/>
        <w:spacing w:after="40"/>
        <w:rPr>
          <w:color w:val="262626" w:themeColor="text1" w:themeTint="D9"/>
        </w:rPr>
      </w:pPr>
      <w:r w:rsidRPr="00846769">
        <w:rPr>
          <w:color w:val="262626" w:themeColor="text1" w:themeTint="D9"/>
        </w:rPr>
        <w:t>Laboratory and molecular identification</w:t>
      </w:r>
    </w:p>
    <w:p w14:paraId="0EBC8065" w14:textId="1C7F87C3" w:rsidR="00F74B6F" w:rsidRPr="00846769" w:rsidRDefault="00F74B6F" w:rsidP="00F74B6F">
      <w:r w:rsidRPr="00846769">
        <w:t xml:space="preserve">There are currently no </w:t>
      </w:r>
      <w:r w:rsidRPr="00DD01E4">
        <w:t xml:space="preserve">species-specific qPCR assays for </w:t>
      </w:r>
      <w:r w:rsidRPr="00DD01E4">
        <w:rPr>
          <w:i/>
          <w:iCs/>
        </w:rPr>
        <w:t xml:space="preserve">M. bilineata. </w:t>
      </w:r>
      <w:r w:rsidRPr="00DD01E4">
        <w:t xml:space="preserve">However, sequencing has been </w:t>
      </w:r>
      <w:r w:rsidR="00094908">
        <w:t>carried out</w:t>
      </w:r>
      <w:r w:rsidR="00094908" w:rsidRPr="00DD01E4">
        <w:t xml:space="preserve"> </w:t>
      </w:r>
      <w:r w:rsidRPr="00DD01E4">
        <w:t xml:space="preserve">on </w:t>
      </w:r>
      <w:r w:rsidRPr="00DD01E4">
        <w:rPr>
          <w:i/>
          <w:iCs/>
        </w:rPr>
        <w:t xml:space="preserve">M. bilineata </w:t>
      </w:r>
      <w:r w:rsidRPr="00DD01E4">
        <w:t>in Australia</w:t>
      </w:r>
      <w:r w:rsidRPr="00DD01E4">
        <w:rPr>
          <w:i/>
          <w:iCs/>
        </w:rPr>
        <w:t xml:space="preserve"> </w:t>
      </w:r>
      <w:r w:rsidRPr="00DD01E4">
        <w:t>using universal mitochondrial COI and 16S primers (see Willan et al. 2021).</w:t>
      </w:r>
      <w:r w:rsidRPr="00846769">
        <w:t xml:space="preserve">  </w:t>
      </w:r>
    </w:p>
    <w:p w14:paraId="04174034" w14:textId="29539D5A" w:rsidR="00F74B6F" w:rsidRPr="00846769" w:rsidRDefault="00F74B6F" w:rsidP="00F74B6F">
      <w:pPr>
        <w:rPr>
          <w:rFonts w:cstheme="minorHAnsi"/>
        </w:rPr>
      </w:pPr>
      <w:r w:rsidRPr="00846769">
        <w:rPr>
          <w:rFonts w:cstheme="minorHAnsi"/>
        </w:rPr>
        <w:t>Refer to the guidelines for development and validation of assays for marine pests</w:t>
      </w:r>
      <w:r w:rsidRPr="00846769">
        <w:t xml:space="preserve"> for further information</w:t>
      </w:r>
      <w:r w:rsidRPr="00846769">
        <w:rPr>
          <w:rFonts w:cstheme="minorHAnsi"/>
        </w:rPr>
        <w:t xml:space="preserve"> and </w:t>
      </w:r>
      <w:hyperlink r:id="rId277" w:anchor=":~:text=Compendium%20of%20introduced%20marine%20pest%20molecular%20studies%20relevant%20to%20Australia,-Department%20of%20Agriculture&amp;text=This%20compendium%20provides%20a%20central,research%20and%20surveillance%20in%20Australia." w:history="1">
        <w:r w:rsidRPr="00846769">
          <w:rPr>
            <w:rStyle w:val="Hyperlink"/>
            <w:rFonts w:cstheme="minorHAnsi"/>
          </w:rPr>
          <w:t>compendium of introduced marine pest molecular studies relevant to Australia</w:t>
        </w:r>
      </w:hyperlink>
      <w:r w:rsidRPr="00846769">
        <w:rPr>
          <w:rFonts w:cstheme="minorHAnsi"/>
        </w:rPr>
        <w:t>.</w:t>
      </w:r>
    </w:p>
    <w:p w14:paraId="663FC3AB" w14:textId="77777777" w:rsidR="00A07998" w:rsidRPr="00846769" w:rsidRDefault="00A07998" w:rsidP="00A07998">
      <w:pPr>
        <w:pStyle w:val="Heading5"/>
        <w:spacing w:after="120"/>
        <w:rPr>
          <w:color w:val="262626" w:themeColor="text1" w:themeTint="D9"/>
          <w:sz w:val="24"/>
          <w:szCs w:val="24"/>
        </w:rPr>
      </w:pPr>
      <w:r w:rsidRPr="00846769">
        <w:rPr>
          <w:color w:val="262626" w:themeColor="text1" w:themeTint="D9"/>
          <w:sz w:val="24"/>
          <w:szCs w:val="24"/>
        </w:rPr>
        <w:t>Life history and ecology</w:t>
      </w:r>
    </w:p>
    <w:p w14:paraId="374271B4" w14:textId="77777777" w:rsidR="00A07998" w:rsidRPr="00846769" w:rsidRDefault="00A07998" w:rsidP="00A07998">
      <w:pPr>
        <w:pStyle w:val="Heading6"/>
        <w:spacing w:after="40"/>
        <w:rPr>
          <w:color w:val="262626" w:themeColor="text1" w:themeTint="D9"/>
        </w:rPr>
      </w:pPr>
      <w:r w:rsidRPr="00846769">
        <w:rPr>
          <w:color w:val="262626" w:themeColor="text1" w:themeTint="D9"/>
        </w:rPr>
        <w:t>Life habit</w:t>
      </w:r>
    </w:p>
    <w:p w14:paraId="4247EA24" w14:textId="29A3D254" w:rsidR="008F0BFD" w:rsidRPr="00846769" w:rsidRDefault="00B27A64" w:rsidP="00B27A64">
      <w:r w:rsidRPr="00846769">
        <w:rPr>
          <w:i/>
          <w:iCs/>
        </w:rPr>
        <w:t xml:space="preserve">Magallana bilineata </w:t>
      </w:r>
      <w:r w:rsidRPr="00846769">
        <w:t>is a fouling bivalve, and has been found attached to rocks, pylons, jetties</w:t>
      </w:r>
      <w:r w:rsidR="00A830E1" w:rsidRPr="00846769">
        <w:t>,</w:t>
      </w:r>
      <w:r w:rsidRPr="00846769">
        <w:t xml:space="preserve"> and boat hulls in disturbed estuarine areas</w:t>
      </w:r>
      <w:r w:rsidR="00A830E1" w:rsidRPr="00846769">
        <w:t xml:space="preserve"> in Australia</w:t>
      </w:r>
      <w:r w:rsidRPr="00846769">
        <w:t xml:space="preserve"> </w:t>
      </w:r>
      <w:r w:rsidRPr="00DD01E4">
        <w:t xml:space="preserve">(Willan et al. 2021). </w:t>
      </w:r>
      <w:r w:rsidR="00A830E1" w:rsidRPr="00DD01E4">
        <w:t>Elsewhere</w:t>
      </w:r>
      <w:r w:rsidRPr="00846769">
        <w:t xml:space="preserve">, </w:t>
      </w:r>
      <w:r w:rsidRPr="00846769">
        <w:rPr>
          <w:i/>
          <w:iCs/>
        </w:rPr>
        <w:t xml:space="preserve">M. bilineata </w:t>
      </w:r>
      <w:r w:rsidR="00A830E1" w:rsidRPr="00846769">
        <w:t>lives in turbid, brackish waters such as estuaries, creeks, bays, ports, and harbours. It has also been found in estuaries subjected to extended periods of fres</w:t>
      </w:r>
      <w:r w:rsidR="00A830E1" w:rsidRPr="00634A79">
        <w:t>hwater inflow. This species can be found from the midlittoral zone to a depth of 15</w:t>
      </w:r>
      <w:r w:rsidR="003637A4" w:rsidRPr="00634A79">
        <w:rPr>
          <w:rFonts w:cstheme="minorHAnsi"/>
        </w:rPr>
        <w:t>‒</w:t>
      </w:r>
      <w:r w:rsidR="00A830E1" w:rsidRPr="00634A79">
        <w:t xml:space="preserve">16 m and is reported to form shellfish reefs in some areas (Lau et al. 2020). </w:t>
      </w:r>
      <w:r w:rsidR="008F0BFD" w:rsidRPr="00634A79">
        <w:t>Oysters will settle on a wide range of substrates</w:t>
      </w:r>
      <w:r w:rsidR="008F0BFD" w:rsidRPr="00846769">
        <w:t>, including tiles, rocks, shells, bamboo, tyres</w:t>
      </w:r>
      <w:r w:rsidR="005D69FB" w:rsidRPr="00846769">
        <w:t>,</w:t>
      </w:r>
      <w:r w:rsidR="008F0BFD" w:rsidRPr="00846769">
        <w:t xml:space="preserve"> and PET bottles.</w:t>
      </w:r>
    </w:p>
    <w:p w14:paraId="200B76D5" w14:textId="0BB06616" w:rsidR="008F7779" w:rsidRPr="00846769" w:rsidRDefault="00A830E1" w:rsidP="00B27A64">
      <w:pPr>
        <w:rPr>
          <w:i/>
          <w:iCs/>
        </w:rPr>
      </w:pPr>
      <w:r w:rsidRPr="00846769">
        <w:rPr>
          <w:i/>
          <w:iCs/>
        </w:rPr>
        <w:t xml:space="preserve">Magallana bilineata </w:t>
      </w:r>
      <w:r w:rsidRPr="00846769">
        <w:t xml:space="preserve">is a </w:t>
      </w:r>
      <w:r w:rsidRPr="00634A79">
        <w:t>tropical species that is known to tolerate high temperatures. Adult</w:t>
      </w:r>
      <w:r w:rsidRPr="00634A79">
        <w:rPr>
          <w:i/>
          <w:iCs/>
        </w:rPr>
        <w:t xml:space="preserve">s </w:t>
      </w:r>
      <w:r w:rsidRPr="00634A79">
        <w:t>survive at a minimum temperature of 15°C (Lau et al. 2020), meanwhile the maximum temperature threshold is around 37</w:t>
      </w:r>
      <w:r w:rsidR="003E0CB9" w:rsidRPr="00634A79">
        <w:rPr>
          <w:rFonts w:cstheme="minorHAnsi"/>
        </w:rPr>
        <w:t>‒</w:t>
      </w:r>
      <w:r w:rsidRPr="00634A79">
        <w:t>39°C (Rajagopal et al. 2003</w:t>
      </w:r>
      <w:r w:rsidR="00DD01E4" w:rsidRPr="00634A79">
        <w:t>c</w:t>
      </w:r>
      <w:r w:rsidR="00933BC7">
        <w:t>; Rajagopal et al. 2015</w:t>
      </w:r>
      <w:r w:rsidRPr="00634A79">
        <w:t>). This species can naturally occur at sites that experience salinities as low as 0 ppt (</w:t>
      </w:r>
      <w:proofErr w:type="spellStart"/>
      <w:r w:rsidRPr="00634A79">
        <w:t>Piyathilaka</w:t>
      </w:r>
      <w:proofErr w:type="spellEnd"/>
      <w:r w:rsidRPr="00634A79">
        <w:t xml:space="preserve"> et al. 2012) and can</w:t>
      </w:r>
      <w:r w:rsidRPr="00846769">
        <w:t xml:space="preserve"> survive salinities up to 53 ppt </w:t>
      </w:r>
      <w:r w:rsidRPr="00BD2644">
        <w:t>(Rao 1974).</w:t>
      </w:r>
      <w:r w:rsidRPr="00846769">
        <w:t xml:space="preserve"> </w:t>
      </w:r>
    </w:p>
    <w:p w14:paraId="2B84ADC6" w14:textId="79B1CC11" w:rsidR="00B27A64" w:rsidRPr="00846769" w:rsidRDefault="00B27A64" w:rsidP="00B27A64">
      <w:r w:rsidRPr="00846769">
        <w:rPr>
          <w:i/>
          <w:iCs/>
        </w:rPr>
        <w:t xml:space="preserve">Magallana </w:t>
      </w:r>
      <w:r w:rsidR="00B33003" w:rsidRPr="00846769">
        <w:rPr>
          <w:i/>
          <w:iCs/>
        </w:rPr>
        <w:t>bilineata</w:t>
      </w:r>
      <w:r w:rsidRPr="00846769">
        <w:rPr>
          <w:i/>
          <w:iCs/>
        </w:rPr>
        <w:t xml:space="preserve"> </w:t>
      </w:r>
      <w:r w:rsidRPr="00846769">
        <w:t>are predated on by several marine species</w:t>
      </w:r>
      <w:r w:rsidR="00B33003" w:rsidRPr="00846769">
        <w:t xml:space="preserve"> such as boring snails, boring polychaetes, and crabs. </w:t>
      </w:r>
      <w:r w:rsidR="008F0BFD" w:rsidRPr="00846769">
        <w:t xml:space="preserve">It is an important aquaculture species in some parts of the world. </w:t>
      </w:r>
    </w:p>
    <w:p w14:paraId="665B05C8" w14:textId="77777777" w:rsidR="00A07998" w:rsidRPr="00846769" w:rsidRDefault="00A07998" w:rsidP="00A07998">
      <w:pPr>
        <w:pStyle w:val="Heading6"/>
        <w:spacing w:before="120" w:after="40"/>
        <w:rPr>
          <w:color w:val="262626" w:themeColor="text1" w:themeTint="D9"/>
        </w:rPr>
      </w:pPr>
      <w:r w:rsidRPr="00846769">
        <w:rPr>
          <w:color w:val="262626" w:themeColor="text1" w:themeTint="D9"/>
        </w:rPr>
        <w:t>Reproduction and growth</w:t>
      </w:r>
    </w:p>
    <w:p w14:paraId="2C759E9F" w14:textId="63881164" w:rsidR="00B33003" w:rsidRPr="00634A79" w:rsidRDefault="00B33003" w:rsidP="00B33003">
      <w:r w:rsidRPr="00846769">
        <w:rPr>
          <w:i/>
          <w:iCs/>
        </w:rPr>
        <w:t>Magallana bilineata</w:t>
      </w:r>
      <w:r w:rsidRPr="00846769">
        <w:rPr>
          <w:rStyle w:val="CommentReference"/>
        </w:rPr>
        <w:t xml:space="preserve"> </w:t>
      </w:r>
      <w:r w:rsidRPr="00846769">
        <w:rPr>
          <w:rStyle w:val="CommentReference"/>
          <w:sz w:val="22"/>
          <w:szCs w:val="22"/>
        </w:rPr>
        <w:t>have separate sexes and are</w:t>
      </w:r>
      <w:r w:rsidRPr="00846769">
        <w:t xml:space="preserve"> sequential hermaphrodites, with both male-to-female and female-</w:t>
      </w:r>
      <w:r w:rsidRPr="00634A79">
        <w:t xml:space="preserve">to-male transitions being recorded. The early sexual phase is usually male in most of the population (Rao 1956), however geographical differences in reproductive strategy (hermaphroditism) has been noted (Joseph &amp; </w:t>
      </w:r>
      <w:proofErr w:type="spellStart"/>
      <w:r w:rsidRPr="00634A79">
        <w:t>Madhyastha</w:t>
      </w:r>
      <w:proofErr w:type="spellEnd"/>
      <w:r w:rsidRPr="00634A79">
        <w:t xml:space="preserve"> 1984). </w:t>
      </w:r>
      <w:r w:rsidRPr="00634A79">
        <w:rPr>
          <w:i/>
          <w:iCs/>
        </w:rPr>
        <w:t xml:space="preserve">Magallana bilineata </w:t>
      </w:r>
      <w:r w:rsidRPr="00634A79">
        <w:t xml:space="preserve">are sexually mature after one year and adults can live up to 4 years (Nayar et al. 1984). They grow at around </w:t>
      </w:r>
      <w:r w:rsidR="008F0BFD" w:rsidRPr="00634A79">
        <w:t xml:space="preserve">3 </w:t>
      </w:r>
      <w:r w:rsidRPr="00634A79">
        <w:t xml:space="preserve">mm per </w:t>
      </w:r>
      <w:r w:rsidR="008F0BFD" w:rsidRPr="00634A79">
        <w:t>month</w:t>
      </w:r>
      <w:r w:rsidRPr="00634A79">
        <w:t xml:space="preserve">, reaching </w:t>
      </w:r>
      <w:r w:rsidR="008F0BFD" w:rsidRPr="00634A79">
        <w:t>maturity at shell lengths of 12</w:t>
      </w:r>
      <w:r w:rsidR="003637A4" w:rsidRPr="00634A79">
        <w:rPr>
          <w:rFonts w:cstheme="minorHAnsi"/>
        </w:rPr>
        <w:t>‒</w:t>
      </w:r>
      <w:r w:rsidR="008F0BFD" w:rsidRPr="00634A79">
        <w:t>14 mm in males, and 24</w:t>
      </w:r>
      <w:r w:rsidR="003637A4" w:rsidRPr="00634A79">
        <w:rPr>
          <w:rFonts w:cstheme="minorHAnsi"/>
        </w:rPr>
        <w:t>‒</w:t>
      </w:r>
      <w:r w:rsidR="008F0BFD" w:rsidRPr="00634A79">
        <w:t>26 mm in females</w:t>
      </w:r>
      <w:r w:rsidRPr="00634A79">
        <w:t xml:space="preserve"> (</w:t>
      </w:r>
      <w:r w:rsidR="008F0BFD" w:rsidRPr="00634A79">
        <w:t xml:space="preserve">Joseph &amp; </w:t>
      </w:r>
      <w:proofErr w:type="spellStart"/>
      <w:r w:rsidR="008F0BFD" w:rsidRPr="00634A79">
        <w:t>Madhyastha</w:t>
      </w:r>
      <w:proofErr w:type="spellEnd"/>
      <w:r w:rsidR="008F0BFD" w:rsidRPr="00634A79">
        <w:t xml:space="preserve"> 1984</w:t>
      </w:r>
      <w:r w:rsidRPr="00634A79">
        <w:t xml:space="preserve">). </w:t>
      </w:r>
      <w:r w:rsidR="008F0BFD" w:rsidRPr="00634A79">
        <w:t xml:space="preserve">The lowest temperature that spawning has been recorded in </w:t>
      </w:r>
      <w:r w:rsidR="008F0BFD" w:rsidRPr="00634A79">
        <w:rPr>
          <w:i/>
          <w:iCs/>
        </w:rPr>
        <w:t>M.</w:t>
      </w:r>
      <w:r w:rsidR="00070E64">
        <w:rPr>
          <w:i/>
          <w:iCs/>
        </w:rPr>
        <w:t> </w:t>
      </w:r>
      <w:r w:rsidR="008F0BFD" w:rsidRPr="00634A79">
        <w:rPr>
          <w:i/>
          <w:iCs/>
        </w:rPr>
        <w:t>bilineata</w:t>
      </w:r>
      <w:r w:rsidR="008F0BFD" w:rsidRPr="00634A79">
        <w:t xml:space="preserve"> is</w:t>
      </w:r>
      <w:r w:rsidRPr="00634A79">
        <w:t xml:space="preserve"> </w:t>
      </w:r>
      <w:r w:rsidR="008F0BFD" w:rsidRPr="00634A79">
        <w:t>24</w:t>
      </w:r>
      <w:r w:rsidRPr="00634A79">
        <w:t>°C</w:t>
      </w:r>
      <w:r w:rsidR="008F0BFD" w:rsidRPr="00634A79">
        <w:t xml:space="preserve"> (Rao 1951), but salinity </w:t>
      </w:r>
      <w:r w:rsidR="005D69FB" w:rsidRPr="00634A79">
        <w:t>is also an</w:t>
      </w:r>
      <w:r w:rsidR="008F0BFD" w:rsidRPr="00634A79">
        <w:t xml:space="preserve"> important reproductive cue for this species. </w:t>
      </w:r>
    </w:p>
    <w:p w14:paraId="184865C9" w14:textId="5F537A6C" w:rsidR="00B33003" w:rsidRPr="00846769" w:rsidRDefault="00B33003" w:rsidP="00B33003">
      <w:r w:rsidRPr="00634A79">
        <w:rPr>
          <w:i/>
          <w:iCs/>
        </w:rPr>
        <w:t xml:space="preserve">Magallana </w:t>
      </w:r>
      <w:r w:rsidR="008F0BFD" w:rsidRPr="00634A79">
        <w:rPr>
          <w:i/>
          <w:iCs/>
        </w:rPr>
        <w:t>bilineata</w:t>
      </w:r>
      <w:r w:rsidRPr="00634A79">
        <w:rPr>
          <w:i/>
          <w:iCs/>
        </w:rPr>
        <w:t xml:space="preserve"> </w:t>
      </w:r>
      <w:r w:rsidR="008F0BFD" w:rsidRPr="00634A79">
        <w:t>are broadcast spawners and a large female measuring 80</w:t>
      </w:r>
      <w:r w:rsidR="003E0CB9" w:rsidRPr="00634A79">
        <w:rPr>
          <w:rFonts w:cstheme="minorHAnsi"/>
        </w:rPr>
        <w:t>‒</w:t>
      </w:r>
      <w:r w:rsidR="008F0BFD" w:rsidRPr="00634A79">
        <w:t>90 mm shell length can release up to 15 million eggs (Xavier 2017). Eggs</w:t>
      </w:r>
      <w:r w:rsidR="008F0BFD" w:rsidRPr="00846769">
        <w:t xml:space="preserve"> are fertilised externally and form trochophore </w:t>
      </w:r>
      <w:r w:rsidR="008F0BFD" w:rsidRPr="00846769">
        <w:lastRenderedPageBreak/>
        <w:t>larvae, which will continue to develop over 14</w:t>
      </w:r>
      <w:r w:rsidR="003637A4">
        <w:rPr>
          <w:rFonts w:cstheme="minorHAnsi"/>
        </w:rPr>
        <w:t>‒</w:t>
      </w:r>
      <w:r w:rsidR="008F0BFD" w:rsidRPr="00846769">
        <w:t xml:space="preserve">17 days before settling on the </w:t>
      </w:r>
      <w:r w:rsidR="008F0BFD" w:rsidRPr="007075D7">
        <w:t>benthos (Nayar et al. 1984). Spawning</w:t>
      </w:r>
      <w:r w:rsidR="008F0BFD" w:rsidRPr="00846769">
        <w:t xml:space="preserve"> </w:t>
      </w:r>
      <w:r w:rsidR="00094908">
        <w:t xml:space="preserve">periods </w:t>
      </w:r>
      <w:r w:rsidR="008F0BFD" w:rsidRPr="00846769">
        <w:t xml:space="preserve">of </w:t>
      </w:r>
      <w:r w:rsidR="008F0BFD" w:rsidRPr="00846769">
        <w:rPr>
          <w:i/>
          <w:iCs/>
        </w:rPr>
        <w:t xml:space="preserve">M. bilineata </w:t>
      </w:r>
      <w:r w:rsidR="008F0BFD" w:rsidRPr="00846769">
        <w:t xml:space="preserve">differ across its geographic range, influenced by both temperature </w:t>
      </w:r>
      <w:r w:rsidR="008F0BFD" w:rsidRPr="00BD2644">
        <w:t>and salinity (Rao 1956),</w:t>
      </w:r>
      <w:r w:rsidR="008F0BFD" w:rsidRPr="00846769">
        <w:t xml:space="preserve"> but</w:t>
      </w:r>
      <w:r w:rsidR="00094908">
        <w:t xml:space="preserve"> spawning</w:t>
      </w:r>
      <w:r w:rsidR="008F0BFD" w:rsidRPr="00846769">
        <w:t xml:space="preserve"> can occur year-round. </w:t>
      </w:r>
      <w:r w:rsidR="00202CF5" w:rsidRPr="00846769">
        <w:t xml:space="preserve">Maturation and spawning </w:t>
      </w:r>
      <w:r w:rsidR="005D69FB" w:rsidRPr="00846769">
        <w:t>occur</w:t>
      </w:r>
      <w:r w:rsidR="00202CF5" w:rsidRPr="00846769">
        <w:t xml:space="preserve"> between 23.5 and 32°C (</w:t>
      </w:r>
      <w:r w:rsidR="00202CF5" w:rsidRPr="007075D7">
        <w:t>Nayar et al. 1984). The optimal</w:t>
      </w:r>
      <w:r w:rsidR="00202CF5" w:rsidRPr="00846769">
        <w:t xml:space="preserve"> salinity range for spawning is between 20 and 28 ppt </w:t>
      </w:r>
      <w:r w:rsidR="00202CF5" w:rsidRPr="007075D7">
        <w:t>(Rao 1951).</w:t>
      </w:r>
      <w:r w:rsidR="00202CF5" w:rsidRPr="00846769">
        <w:t xml:space="preserve"> </w:t>
      </w:r>
    </w:p>
    <w:p w14:paraId="292984CA" w14:textId="77777777" w:rsidR="00A07998" w:rsidRPr="00846769" w:rsidRDefault="00A07998" w:rsidP="00A07998">
      <w:pPr>
        <w:pStyle w:val="Heading6"/>
        <w:spacing w:before="120" w:after="40"/>
        <w:rPr>
          <w:color w:val="262626" w:themeColor="text1" w:themeTint="D9"/>
        </w:rPr>
      </w:pPr>
      <w:r w:rsidRPr="00846769">
        <w:rPr>
          <w:color w:val="262626" w:themeColor="text1" w:themeTint="D9"/>
        </w:rPr>
        <w:t>Pathways and vectors</w:t>
      </w:r>
    </w:p>
    <w:p w14:paraId="7685F454" w14:textId="208C5ED2" w:rsidR="003367A5" w:rsidRPr="00846769" w:rsidRDefault="003367A5" w:rsidP="003367A5">
      <w:r w:rsidRPr="00846769">
        <w:t xml:space="preserve">Like </w:t>
      </w:r>
      <w:r w:rsidR="000353F1" w:rsidRPr="00846769">
        <w:t xml:space="preserve">other </w:t>
      </w:r>
      <w:r w:rsidR="000353F1" w:rsidRPr="00846769">
        <w:rPr>
          <w:i/>
          <w:iCs/>
        </w:rPr>
        <w:t xml:space="preserve">Magallana </w:t>
      </w:r>
      <w:r w:rsidR="000353F1" w:rsidRPr="00846769">
        <w:t>spp.</w:t>
      </w:r>
      <w:r w:rsidRPr="00846769">
        <w:t xml:space="preserve">, vessel biofouling or introductions for aquaculture </w:t>
      </w:r>
      <w:r w:rsidR="000353F1" w:rsidRPr="00846769">
        <w:t xml:space="preserve">(accidental or deliberate) </w:t>
      </w:r>
      <w:r w:rsidRPr="00846769">
        <w:t>constitute</w:t>
      </w:r>
      <w:r w:rsidR="00094908">
        <w:t xml:space="preserve"> </w:t>
      </w:r>
      <w:r w:rsidRPr="00846769">
        <w:t xml:space="preserve">the main risk pathways and vectors for </w:t>
      </w:r>
      <w:r w:rsidRPr="00846769">
        <w:rPr>
          <w:i/>
          <w:iCs/>
        </w:rPr>
        <w:t xml:space="preserve">M. bilineata. </w:t>
      </w:r>
      <w:r w:rsidRPr="00846769">
        <w:t xml:space="preserve">Outside of its native range, </w:t>
      </w:r>
      <w:r w:rsidRPr="00846769">
        <w:rPr>
          <w:i/>
          <w:iCs/>
        </w:rPr>
        <w:t xml:space="preserve">M. bilineata </w:t>
      </w:r>
      <w:r w:rsidRPr="00846769">
        <w:t xml:space="preserve">was deliberately introduced into Fiji to establish aquaculture. In </w:t>
      </w:r>
      <w:r w:rsidR="00A9243C" w:rsidRPr="00846769">
        <w:t xml:space="preserve">Far North Queensland, Australia, </w:t>
      </w:r>
      <w:r w:rsidRPr="00846769">
        <w:rPr>
          <w:i/>
          <w:iCs/>
        </w:rPr>
        <w:t xml:space="preserve">M. bilineata </w:t>
      </w:r>
      <w:r w:rsidRPr="00846769">
        <w:t xml:space="preserve">has been found in large numbers on boat hulls in </w:t>
      </w:r>
      <w:r w:rsidR="00A9243C" w:rsidRPr="00846769">
        <w:t xml:space="preserve">several ports and marinas. </w:t>
      </w:r>
      <w:r w:rsidRPr="00846769">
        <w:t xml:space="preserve">This suggests that hull biofouling is the most likely vector </w:t>
      </w:r>
      <w:r w:rsidR="00A9243C" w:rsidRPr="00846769">
        <w:t xml:space="preserve">for this species into and within </w:t>
      </w:r>
      <w:r w:rsidR="00A9243C" w:rsidRPr="00DD01E4">
        <w:t>Australia (Willan et al. 2021).</w:t>
      </w:r>
      <w:r w:rsidR="00A9243C" w:rsidRPr="00846769">
        <w:t xml:space="preserve"> </w:t>
      </w:r>
    </w:p>
    <w:p w14:paraId="2F459B88" w14:textId="77777777" w:rsidR="00A07998" w:rsidRPr="00846769" w:rsidRDefault="00A07998" w:rsidP="00A07998">
      <w:pPr>
        <w:pStyle w:val="Heading6"/>
        <w:spacing w:after="40"/>
        <w:rPr>
          <w:color w:val="262626" w:themeColor="text1" w:themeTint="D9"/>
        </w:rPr>
      </w:pPr>
      <w:r w:rsidRPr="00846769">
        <w:rPr>
          <w:color w:val="262626" w:themeColor="text1" w:themeTint="D9"/>
        </w:rPr>
        <w:t>Potential impacts</w:t>
      </w:r>
    </w:p>
    <w:p w14:paraId="38126749" w14:textId="025D0937" w:rsidR="0019529D" w:rsidRPr="00634A79" w:rsidRDefault="003367A5" w:rsidP="0019529D">
      <w:r w:rsidRPr="00846769">
        <w:t xml:space="preserve">The potential impacts and invasiveness of </w:t>
      </w:r>
      <w:r w:rsidRPr="00846769">
        <w:rPr>
          <w:i/>
          <w:iCs/>
        </w:rPr>
        <w:t xml:space="preserve">M. bilineata </w:t>
      </w:r>
      <w:r w:rsidRPr="00846769">
        <w:t xml:space="preserve">in Australia is not known, however, it can foul submerged and floating infrastructure including pylons, pontoons, and boats. It also </w:t>
      </w:r>
      <w:proofErr w:type="gramStart"/>
      <w:r w:rsidRPr="00846769">
        <w:t>has the ability to</w:t>
      </w:r>
      <w:proofErr w:type="gramEnd"/>
      <w:r w:rsidRPr="00846769">
        <w:t xml:space="preserve"> occupy disturbed habitats </w:t>
      </w:r>
      <w:r w:rsidRPr="00634A79">
        <w:t xml:space="preserve">including shallow subtidal sites. </w:t>
      </w:r>
      <w:r w:rsidR="00A9243C" w:rsidRPr="00634A79">
        <w:t>Internationally, it is known to foul infrastructure including cooling water systems for power stations (Rajagopal et al. 2003</w:t>
      </w:r>
      <w:r w:rsidR="00DD01E4" w:rsidRPr="00634A79">
        <w:t>c</w:t>
      </w:r>
      <w:r w:rsidR="00A9243C" w:rsidRPr="00634A79">
        <w:t xml:space="preserve">). </w:t>
      </w:r>
      <w:r w:rsidR="00A9243C" w:rsidRPr="00634A79">
        <w:rPr>
          <w:i/>
          <w:iCs/>
        </w:rPr>
        <w:t xml:space="preserve">Magallana bilineata </w:t>
      </w:r>
      <w:r w:rsidR="00A9243C" w:rsidRPr="00634A79">
        <w:t xml:space="preserve">is a vector for </w:t>
      </w:r>
      <w:proofErr w:type="gramStart"/>
      <w:r w:rsidR="00A9243C" w:rsidRPr="00634A79">
        <w:t>a number of</w:t>
      </w:r>
      <w:proofErr w:type="gramEnd"/>
      <w:r w:rsidR="00A9243C" w:rsidRPr="00634A79">
        <w:t xml:space="preserve"> oyster pathogens (</w:t>
      </w:r>
      <w:proofErr w:type="spellStart"/>
      <w:r w:rsidR="005D69FB" w:rsidRPr="00634A79">
        <w:t>Nu</w:t>
      </w:r>
      <w:r w:rsidR="005D69FB" w:rsidRPr="00634A79">
        <w:rPr>
          <w:rFonts w:cstheme="minorHAnsi"/>
        </w:rPr>
        <w:t>ñ</w:t>
      </w:r>
      <w:r w:rsidR="005D69FB" w:rsidRPr="00634A79">
        <w:t>al</w:t>
      </w:r>
      <w:proofErr w:type="spellEnd"/>
      <w:r w:rsidR="005D69FB" w:rsidRPr="00634A79">
        <w:t xml:space="preserve"> et al. 2023; </w:t>
      </w:r>
      <w:r w:rsidR="00A9243C" w:rsidRPr="00634A79">
        <w:t xml:space="preserve">Suja et al. 2020). </w:t>
      </w:r>
    </w:p>
    <w:p w14:paraId="0D4BDF76" w14:textId="77777777" w:rsidR="00A07998" w:rsidRPr="00634A79" w:rsidRDefault="00A07998" w:rsidP="00A07998">
      <w:pPr>
        <w:pStyle w:val="Heading5"/>
        <w:spacing w:after="40"/>
        <w:rPr>
          <w:color w:val="262626" w:themeColor="text1" w:themeTint="D9"/>
          <w:sz w:val="24"/>
          <w:szCs w:val="24"/>
        </w:rPr>
      </w:pPr>
      <w:r w:rsidRPr="00634A79">
        <w:rPr>
          <w:color w:val="262626" w:themeColor="text1" w:themeTint="D9"/>
          <w:sz w:val="24"/>
          <w:szCs w:val="24"/>
        </w:rPr>
        <w:t>Global and Australian distribution</w:t>
      </w:r>
    </w:p>
    <w:p w14:paraId="368B974B" w14:textId="1A360B8D" w:rsidR="0019529D" w:rsidRPr="00846769" w:rsidRDefault="0019529D" w:rsidP="0019529D">
      <w:r w:rsidRPr="00634A79">
        <w:rPr>
          <w:i/>
          <w:iCs/>
        </w:rPr>
        <w:t xml:space="preserve">Magallana </w:t>
      </w:r>
      <w:r w:rsidR="00546414" w:rsidRPr="00634A79">
        <w:rPr>
          <w:i/>
          <w:iCs/>
        </w:rPr>
        <w:t>bilineata</w:t>
      </w:r>
      <w:r w:rsidRPr="00634A79">
        <w:rPr>
          <w:i/>
          <w:iCs/>
        </w:rPr>
        <w:t xml:space="preserve"> </w:t>
      </w:r>
      <w:r w:rsidRPr="00634A79">
        <w:t xml:space="preserve">is native to </w:t>
      </w:r>
      <w:r w:rsidR="00546414" w:rsidRPr="00634A79">
        <w:t xml:space="preserve">the Indo-Pacific Ocean, with a wide distribution that spans Pakistan, India, Sri Lanka, China, Thailand, Malaysia, Indonesia, the Philippines, Japan, and Papua New Guinea (Willan et al. 2021). It is an important aquaculture species in its native </w:t>
      </w:r>
      <w:r w:rsidR="008F7779" w:rsidRPr="00634A79">
        <w:t>range and</w:t>
      </w:r>
      <w:r w:rsidR="00546414" w:rsidRPr="00634A79">
        <w:t xml:space="preserve"> has been introduced to Fiji (Kinch et al. 2019) and Australia</w:t>
      </w:r>
      <w:r w:rsidR="00546414" w:rsidRPr="00846769">
        <w:t xml:space="preserve"> (</w:t>
      </w:r>
      <w:r w:rsidR="00546414" w:rsidRPr="00DD01E4">
        <w:t>Willan et al. 2021).</w:t>
      </w:r>
      <w:r w:rsidR="005D69FB" w:rsidRPr="00DD01E4">
        <w:t xml:space="preserve"> </w:t>
      </w:r>
      <w:r w:rsidRPr="00DD01E4">
        <w:t>In</w:t>
      </w:r>
      <w:r w:rsidRPr="00846769">
        <w:t xml:space="preserve"> Australia, established wild populations of </w:t>
      </w:r>
      <w:r w:rsidRPr="00846769">
        <w:rPr>
          <w:i/>
          <w:iCs/>
        </w:rPr>
        <w:t xml:space="preserve">M. </w:t>
      </w:r>
      <w:r w:rsidR="00546414" w:rsidRPr="00846769">
        <w:rPr>
          <w:i/>
          <w:iCs/>
        </w:rPr>
        <w:t>bilineata</w:t>
      </w:r>
      <w:r w:rsidRPr="00846769">
        <w:rPr>
          <w:i/>
          <w:iCs/>
        </w:rPr>
        <w:t xml:space="preserve"> </w:t>
      </w:r>
      <w:r w:rsidR="00546414" w:rsidRPr="00846769">
        <w:t>occur in Far North Queensland, notably in Cairns, Port Douglas, Elim Beach, Cooktown, and Mourilyan Harbour (</w:t>
      </w:r>
      <w:r w:rsidR="008F7779">
        <w:fldChar w:fldCharType="begin"/>
      </w:r>
      <w:r w:rsidR="008F7779">
        <w:instrText xml:space="preserve"> REF _Ref189520112 \h </w:instrText>
      </w:r>
      <w:r w:rsidR="008F7779">
        <w:fldChar w:fldCharType="separate"/>
      </w:r>
      <w:r w:rsidR="008F7779">
        <w:t xml:space="preserve">Map </w:t>
      </w:r>
      <w:r w:rsidR="008F7779">
        <w:rPr>
          <w:noProof/>
        </w:rPr>
        <w:t>21</w:t>
      </w:r>
      <w:r w:rsidR="008F7779">
        <w:fldChar w:fldCharType="end"/>
      </w:r>
      <w:r w:rsidR="00546414" w:rsidRPr="00846769">
        <w:t>).</w:t>
      </w:r>
      <w:r w:rsidR="008F7779">
        <w:t xml:space="preserve"> </w:t>
      </w:r>
      <w:r w:rsidR="00DA2417">
        <w:t xml:space="preserve">It has previously been detected in Weipa, North Queensland, but the status of </w:t>
      </w:r>
      <w:r w:rsidR="00DA2417">
        <w:rPr>
          <w:i/>
          <w:iCs/>
        </w:rPr>
        <w:t xml:space="preserve">M. bilineata </w:t>
      </w:r>
      <w:r w:rsidR="00DA2417">
        <w:t xml:space="preserve">at Weipa is currently unknown. </w:t>
      </w:r>
      <w:r w:rsidR="008F7779">
        <w:t xml:space="preserve">Species range mapping from ABARES shows that the northern half of Australia, from Shark Bay in WA to Port Macquarie in NSW, is potentially suitable for </w:t>
      </w:r>
      <w:r w:rsidR="008F7779">
        <w:rPr>
          <w:i/>
          <w:iCs/>
        </w:rPr>
        <w:t xml:space="preserve">M. bilineata </w:t>
      </w:r>
      <w:r w:rsidR="008F7779">
        <w:t>establishment (</w:t>
      </w:r>
      <w:r w:rsidR="008F7779">
        <w:fldChar w:fldCharType="begin"/>
      </w:r>
      <w:r w:rsidR="008F7779">
        <w:instrText xml:space="preserve"> REF _Ref189520191 \h </w:instrText>
      </w:r>
      <w:r w:rsidR="008F7779">
        <w:fldChar w:fldCharType="separate"/>
      </w:r>
      <w:r w:rsidR="008F7779">
        <w:t xml:space="preserve">Map </w:t>
      </w:r>
      <w:r w:rsidR="008F7779">
        <w:rPr>
          <w:noProof/>
        </w:rPr>
        <w:t>22</w:t>
      </w:r>
      <w:r w:rsidR="008F7779">
        <w:fldChar w:fldCharType="end"/>
      </w:r>
      <w:r w:rsidR="008F7779">
        <w:t>).</w:t>
      </w:r>
    </w:p>
    <w:p w14:paraId="03D8AA69" w14:textId="3DAD3572" w:rsidR="00F95AEC" w:rsidRDefault="00F95AEC" w:rsidP="00F95AEC">
      <w:pPr>
        <w:pStyle w:val="Caption"/>
      </w:pPr>
      <w:bookmarkStart w:id="706" w:name="_Ref189520112"/>
      <w:bookmarkStart w:id="707" w:name="_Toc191999575"/>
      <w:r>
        <w:lastRenderedPageBreak/>
        <w:t xml:space="preserve">Map </w:t>
      </w:r>
      <w:r>
        <w:fldChar w:fldCharType="begin"/>
      </w:r>
      <w:r>
        <w:instrText xml:space="preserve"> SEQ Map \* ARABIC </w:instrText>
      </w:r>
      <w:r>
        <w:fldChar w:fldCharType="separate"/>
      </w:r>
      <w:r>
        <w:rPr>
          <w:noProof/>
        </w:rPr>
        <w:t>21</w:t>
      </w:r>
      <w:r>
        <w:fldChar w:fldCharType="end"/>
      </w:r>
      <w:bookmarkEnd w:id="706"/>
      <w:r>
        <w:t xml:space="preserve"> </w:t>
      </w:r>
      <w:r w:rsidRPr="00846769">
        <w:t xml:space="preserve">Known global distribution of </w:t>
      </w:r>
      <w:r w:rsidRPr="00846769">
        <w:rPr>
          <w:i/>
          <w:iCs/>
        </w:rPr>
        <w:t>Magallana bilineata</w:t>
      </w:r>
      <w:bookmarkEnd w:id="707"/>
    </w:p>
    <w:p w14:paraId="76649E90" w14:textId="349136D7" w:rsidR="0019529D" w:rsidRPr="00846769" w:rsidRDefault="0019529D" w:rsidP="0019529D">
      <w:r w:rsidRPr="00846769">
        <w:rPr>
          <w:noProof/>
        </w:rPr>
        <w:drawing>
          <wp:inline distT="0" distB="0" distL="0" distR="0" wp14:anchorId="41F1B4AA" wp14:editId="31FB5EDA">
            <wp:extent cx="5731510" cy="2798832"/>
            <wp:effectExtent l="0" t="0" r="2540" b="1905"/>
            <wp:docPr id="760781475" name="Picture 1" descr="Greyscale world map for the known global distribution of Magallana bilineata. Distribution is shown in blue circles, yellow diamonds and re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81475" name="Picture 1" descr="Greyscale world map for the known global distribution of Magallana bilineata. Distribution is shown in blue circles, yellow diamonds and red triangles."/>
                    <pic:cNvPicPr/>
                  </pic:nvPicPr>
                  <pic:blipFill>
                    <a:blip r:embed="rId278" cstate="email">
                      <a:extLst>
                        <a:ext uri="{28A0092B-C50C-407E-A947-70E740481C1C}">
                          <a14:useLocalDpi xmlns:a14="http://schemas.microsoft.com/office/drawing/2010/main" val="0"/>
                        </a:ext>
                      </a:extLst>
                    </a:blip>
                    <a:stretch>
                      <a:fillRect/>
                    </a:stretch>
                  </pic:blipFill>
                  <pic:spPr>
                    <a:xfrm>
                      <a:off x="0" y="0"/>
                      <a:ext cx="5731510" cy="2798832"/>
                    </a:xfrm>
                    <a:prstGeom prst="rect">
                      <a:avLst/>
                    </a:prstGeom>
                  </pic:spPr>
                </pic:pic>
              </a:graphicData>
            </a:graphic>
          </wp:inline>
        </w:drawing>
      </w:r>
    </w:p>
    <w:p w14:paraId="79290AAD" w14:textId="332E1460" w:rsidR="0019529D" w:rsidRDefault="00546414" w:rsidP="00546414">
      <w:pPr>
        <w:pStyle w:val="FigureTableNoteSource"/>
      </w:pPr>
      <w:r w:rsidRPr="00846769">
        <w:rPr>
          <w:rStyle w:val="Emphasis"/>
          <w:b/>
          <w:bCs/>
          <w:i w:val="0"/>
          <w:iCs w:val="0"/>
        </w:rPr>
        <w:t>Data source:</w:t>
      </w:r>
      <w:r w:rsidRPr="00846769">
        <w:rPr>
          <w:rStyle w:val="Emphasis"/>
        </w:rPr>
        <w:t xml:space="preserve"> </w:t>
      </w:r>
      <w:r w:rsidRPr="00846769">
        <w:t>GBIF.org (8 June 2024). GBIF Occurrence Download: </w:t>
      </w:r>
      <w:hyperlink r:id="rId279" w:history="1">
        <w:r w:rsidR="00F95AEC" w:rsidRPr="00E642E2">
          <w:rPr>
            <w:rStyle w:val="Hyperlink"/>
            <w:sz w:val="18"/>
          </w:rPr>
          <w:t>https://doi.org/10.15468/dl.n9j3f4</w:t>
        </w:r>
      </w:hyperlink>
      <w:r w:rsidR="00F95AEC">
        <w:t xml:space="preserve"> </w:t>
      </w:r>
    </w:p>
    <w:p w14:paraId="64F7A3ED" w14:textId="1991D646" w:rsidR="00F95AEC" w:rsidRDefault="00F95AEC" w:rsidP="00F95AEC">
      <w:pPr>
        <w:pStyle w:val="Caption"/>
      </w:pPr>
      <w:bookmarkStart w:id="708" w:name="_Ref189520191"/>
      <w:bookmarkStart w:id="709" w:name="_Toc191999576"/>
      <w:r>
        <w:t xml:space="preserve">Map </w:t>
      </w:r>
      <w:r>
        <w:fldChar w:fldCharType="begin"/>
      </w:r>
      <w:r>
        <w:instrText xml:space="preserve"> SEQ Map \* ARABIC </w:instrText>
      </w:r>
      <w:r>
        <w:fldChar w:fldCharType="separate"/>
      </w:r>
      <w:r>
        <w:rPr>
          <w:noProof/>
        </w:rPr>
        <w:t>22</w:t>
      </w:r>
      <w:r>
        <w:fldChar w:fldCharType="end"/>
      </w:r>
      <w:bookmarkEnd w:id="708"/>
      <w:r w:rsidR="008F7779">
        <w:t xml:space="preserve"> Maximum potential range of </w:t>
      </w:r>
      <w:r w:rsidR="008F7779">
        <w:rPr>
          <w:i/>
          <w:iCs/>
        </w:rPr>
        <w:t xml:space="preserve">Magallana bilineata </w:t>
      </w:r>
      <w:r w:rsidR="008F7779">
        <w:t>in Australian waters, indicating areas of potential suitability in red, and potential unsuitability in green</w:t>
      </w:r>
      <w:bookmarkEnd w:id="709"/>
    </w:p>
    <w:p w14:paraId="106BAD81" w14:textId="6FA136A1" w:rsidR="00F95AEC" w:rsidRDefault="00F95AEC" w:rsidP="00F95AEC">
      <w:r>
        <w:rPr>
          <w:noProof/>
        </w:rPr>
        <w:drawing>
          <wp:inline distT="0" distB="0" distL="0" distR="0" wp14:anchorId="536C4382" wp14:editId="00E37B3C">
            <wp:extent cx="5600700" cy="3914775"/>
            <wp:effectExtent l="0" t="0" r="0" b="9525"/>
            <wp:docPr id="1153377982" name="Picture 12" descr="Red and green map of Australia showing the potential range for Magallana biline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77982" name="Picture 12" descr="Red and green map of Australia showing the potential range for Magallana bilineata."/>
                    <pic:cNvPicPr>
                      <a:picLocks noChangeAspect="1" noChangeArrowheads="1"/>
                    </pic:cNvPicPr>
                  </pic:nvPicPr>
                  <pic:blipFill rotWithShape="1">
                    <a:blip r:embed="rId280" cstate="email">
                      <a:extLst>
                        <a:ext uri="{28A0092B-C50C-407E-A947-70E740481C1C}">
                          <a14:useLocalDpi xmlns:a14="http://schemas.microsoft.com/office/drawing/2010/main" val="0"/>
                        </a:ext>
                      </a:extLst>
                    </a:blip>
                    <a:srcRect/>
                    <a:stretch/>
                  </pic:blipFill>
                  <pic:spPr bwMode="auto">
                    <a:xfrm>
                      <a:off x="0" y="0"/>
                      <a:ext cx="5600700"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70CD15CF" w14:textId="48036960" w:rsidR="00F95AEC" w:rsidRPr="00F95AEC" w:rsidRDefault="008F7779" w:rsidP="008F7779">
      <w:pPr>
        <w:pStyle w:val="FigureTableNoteSource"/>
      </w:pPr>
      <w:r w:rsidRPr="00846769">
        <w:rPr>
          <w:rStyle w:val="Emphasis"/>
          <w:b/>
          <w:bCs/>
          <w:i w:val="0"/>
          <w:iCs w:val="0"/>
        </w:rPr>
        <w:t>Data source</w:t>
      </w:r>
      <w:r w:rsidRPr="00846769">
        <w:rPr>
          <w:rStyle w:val="Emphasis"/>
          <w:i w:val="0"/>
          <w:iCs w:val="0"/>
        </w:rPr>
        <w:t>:</w:t>
      </w:r>
      <w:r w:rsidRPr="00846769">
        <w:rPr>
          <w:rStyle w:val="Emphasis"/>
        </w:rPr>
        <w:t xml:space="preserve"> </w:t>
      </w:r>
      <w:r>
        <w:rPr>
          <w:rStyle w:val="Emphasis"/>
          <w:i w:val="0"/>
          <w:iCs w:val="0"/>
        </w:rPr>
        <w:t>Australian Bureau of Agricultural and Resource Economics and Sciences (</w:t>
      </w:r>
      <w:r>
        <w:t>ABARES) 2021</w:t>
      </w:r>
    </w:p>
    <w:p w14:paraId="2E7330A5" w14:textId="77777777" w:rsidR="00A07998" w:rsidRPr="00846769" w:rsidRDefault="00A07998" w:rsidP="00A07998">
      <w:pPr>
        <w:pStyle w:val="Heading5"/>
        <w:spacing w:before="40" w:after="40"/>
        <w:ind w:left="851" w:hanging="851"/>
        <w:rPr>
          <w:rFonts w:cstheme="minorHAnsi"/>
        </w:rPr>
      </w:pPr>
      <w:r w:rsidRPr="00846769">
        <w:rPr>
          <w:rFonts w:cstheme="minorHAnsi"/>
        </w:rPr>
        <w:lastRenderedPageBreak/>
        <w:t>Invasion history</w:t>
      </w:r>
    </w:p>
    <w:p w14:paraId="618F0D83" w14:textId="3C88BFA2" w:rsidR="00546414" w:rsidRPr="00846769" w:rsidRDefault="00546414" w:rsidP="00546414">
      <w:r w:rsidRPr="00846769">
        <w:t xml:space="preserve">In its native range in India and the Philippines, </w:t>
      </w:r>
      <w:r w:rsidRPr="00846769">
        <w:rPr>
          <w:i/>
          <w:iCs/>
        </w:rPr>
        <w:t xml:space="preserve">M. bilineata </w:t>
      </w:r>
      <w:r w:rsidRPr="00846769">
        <w:t xml:space="preserve">is an important aquaculture species. </w:t>
      </w:r>
      <w:r w:rsidRPr="00846769">
        <w:rPr>
          <w:i/>
          <w:iCs/>
        </w:rPr>
        <w:t xml:space="preserve">Magallana bilineata </w:t>
      </w:r>
      <w:r w:rsidRPr="00846769">
        <w:t xml:space="preserve">was deliberately introduced to Fiji in the 1970s for the purpose of aquaculture, where it is now </w:t>
      </w:r>
      <w:r w:rsidRPr="000D4121">
        <w:t>established (Kinch et al. 2019).</w:t>
      </w:r>
      <w:r w:rsidRPr="000D4121">
        <w:rPr>
          <w:i/>
          <w:iCs/>
        </w:rPr>
        <w:t xml:space="preserve"> </w:t>
      </w:r>
      <w:r w:rsidR="003367A5" w:rsidRPr="000D4121">
        <w:t>In</w:t>
      </w:r>
      <w:r w:rsidR="003367A5" w:rsidRPr="00846769">
        <w:t xml:space="preserve"> 2019, it was detected in Far North Queensland, Australia, where it has now established. Hull biofouling is the most likely mechanism of translocation of the </w:t>
      </w:r>
      <w:r w:rsidR="003367A5" w:rsidRPr="00DD01E4">
        <w:t>species in Australia (Willan et al. 2021).</w:t>
      </w:r>
      <w:r w:rsidR="003367A5" w:rsidRPr="00846769">
        <w:t xml:space="preserve"> </w:t>
      </w:r>
    </w:p>
    <w:p w14:paraId="59EF1617" w14:textId="77777777" w:rsidR="00A07998" w:rsidRPr="00846769" w:rsidRDefault="00A07998" w:rsidP="00A07998">
      <w:pPr>
        <w:pStyle w:val="Heading5"/>
        <w:spacing w:before="40" w:after="40"/>
        <w:ind w:left="851" w:hanging="851"/>
        <w:rPr>
          <w:color w:val="262626" w:themeColor="text1" w:themeTint="D9"/>
        </w:rPr>
      </w:pPr>
      <w:r w:rsidRPr="00846769">
        <w:rPr>
          <w:color w:val="262626" w:themeColor="text1" w:themeTint="D9"/>
        </w:rPr>
        <w:t>Diseases</w:t>
      </w:r>
    </w:p>
    <w:p w14:paraId="6CF28207" w14:textId="441E731C" w:rsidR="00A07998" w:rsidRPr="00846769" w:rsidRDefault="00A9243C" w:rsidP="00A07998">
      <w:r w:rsidRPr="00BD2644">
        <w:t>Suja et al. (2020) identified</w:t>
      </w:r>
      <w:r w:rsidRPr="00846769">
        <w:t xml:space="preserve"> that wild </w:t>
      </w:r>
      <w:r w:rsidR="00C6216B" w:rsidRPr="00846769">
        <w:t xml:space="preserve">and farmed </w:t>
      </w:r>
      <w:r w:rsidRPr="00846769">
        <w:rPr>
          <w:i/>
          <w:iCs/>
        </w:rPr>
        <w:t xml:space="preserve">M. bilineata </w:t>
      </w:r>
      <w:r w:rsidRPr="00846769">
        <w:t>populations in India</w:t>
      </w:r>
      <w:r w:rsidRPr="00846769">
        <w:rPr>
          <w:i/>
          <w:iCs/>
        </w:rPr>
        <w:t xml:space="preserve"> </w:t>
      </w:r>
      <w:r w:rsidRPr="00846769">
        <w:t xml:space="preserve">are vectors for </w:t>
      </w:r>
      <w:r w:rsidR="00C6216B" w:rsidRPr="00846769">
        <w:t>numerous</w:t>
      </w:r>
      <w:r w:rsidRPr="00846769">
        <w:t xml:space="preserve"> oyster pathogens. Wild oysters were infected with protozoans (</w:t>
      </w:r>
      <w:proofErr w:type="spellStart"/>
      <w:r w:rsidRPr="00846769">
        <w:rPr>
          <w:i/>
          <w:iCs/>
        </w:rPr>
        <w:t>Perkinsus</w:t>
      </w:r>
      <w:proofErr w:type="spellEnd"/>
      <w:r w:rsidRPr="00846769">
        <w:rPr>
          <w:i/>
          <w:iCs/>
        </w:rPr>
        <w:t xml:space="preserve"> </w:t>
      </w:r>
      <w:proofErr w:type="spellStart"/>
      <w:r w:rsidRPr="00846769">
        <w:rPr>
          <w:i/>
          <w:iCs/>
        </w:rPr>
        <w:t>beihaiensis</w:t>
      </w:r>
      <w:proofErr w:type="spellEnd"/>
      <w:r w:rsidRPr="00846769">
        <w:t xml:space="preserve">, </w:t>
      </w:r>
      <w:proofErr w:type="spellStart"/>
      <w:r w:rsidRPr="00846769">
        <w:rPr>
          <w:i/>
          <w:iCs/>
        </w:rPr>
        <w:t>Nematopsis</w:t>
      </w:r>
      <w:proofErr w:type="spellEnd"/>
      <w:r w:rsidRPr="00846769">
        <w:rPr>
          <w:i/>
          <w:iCs/>
        </w:rPr>
        <w:t xml:space="preserve"> </w:t>
      </w:r>
      <w:r w:rsidRPr="00846769">
        <w:t xml:space="preserve">sp., </w:t>
      </w:r>
      <w:proofErr w:type="spellStart"/>
      <w:r w:rsidRPr="00846769">
        <w:rPr>
          <w:i/>
          <w:iCs/>
        </w:rPr>
        <w:t>Sphenophyra</w:t>
      </w:r>
      <w:proofErr w:type="spellEnd"/>
      <w:r w:rsidRPr="00846769">
        <w:rPr>
          <w:i/>
          <w:iCs/>
        </w:rPr>
        <w:t xml:space="preserve"> </w:t>
      </w:r>
      <w:r w:rsidRPr="00846769">
        <w:t xml:space="preserve">sp., </w:t>
      </w:r>
      <w:proofErr w:type="spellStart"/>
      <w:r w:rsidRPr="00846769">
        <w:rPr>
          <w:i/>
          <w:iCs/>
        </w:rPr>
        <w:t>Stegotricha</w:t>
      </w:r>
      <w:proofErr w:type="spellEnd"/>
      <w:r w:rsidRPr="00846769">
        <w:rPr>
          <w:i/>
          <w:iCs/>
        </w:rPr>
        <w:t xml:space="preserve"> </w:t>
      </w:r>
      <w:r w:rsidRPr="00846769">
        <w:t>sp.), metazoans (cestodes and crustaceans), and shell parasites (</w:t>
      </w:r>
      <w:proofErr w:type="spellStart"/>
      <w:r w:rsidRPr="00846769">
        <w:rPr>
          <w:i/>
          <w:iCs/>
        </w:rPr>
        <w:t>Polydora</w:t>
      </w:r>
      <w:proofErr w:type="spellEnd"/>
      <w:r w:rsidRPr="00846769">
        <w:rPr>
          <w:i/>
          <w:iCs/>
        </w:rPr>
        <w:t xml:space="preserve"> </w:t>
      </w:r>
      <w:r w:rsidRPr="00846769">
        <w:t xml:space="preserve">spp. and </w:t>
      </w:r>
      <w:r w:rsidRPr="00846769">
        <w:rPr>
          <w:i/>
          <w:iCs/>
        </w:rPr>
        <w:t xml:space="preserve">Cliona </w:t>
      </w:r>
      <w:r w:rsidRPr="00846769">
        <w:t>spp.).</w:t>
      </w:r>
      <w:r w:rsidR="00C6216B" w:rsidRPr="00846769">
        <w:t xml:space="preserve"> Farmed </w:t>
      </w:r>
      <w:r w:rsidR="00C6216B" w:rsidRPr="00846769">
        <w:rPr>
          <w:i/>
          <w:iCs/>
        </w:rPr>
        <w:t xml:space="preserve">M. bilineata </w:t>
      </w:r>
      <w:r w:rsidR="00C6216B" w:rsidRPr="00846769">
        <w:t xml:space="preserve">populations exhibited fewer pathogens and pathological conditions than wild populations in India. Detections of pathogens such as </w:t>
      </w:r>
      <w:r w:rsidR="00C6216B" w:rsidRPr="00846769">
        <w:rPr>
          <w:i/>
          <w:iCs/>
        </w:rPr>
        <w:t>Escherichia coli</w:t>
      </w:r>
      <w:r w:rsidR="00C6216B" w:rsidRPr="00846769">
        <w:t xml:space="preserve">, </w:t>
      </w:r>
      <w:r w:rsidR="00C6216B" w:rsidRPr="00846769">
        <w:rPr>
          <w:i/>
          <w:iCs/>
        </w:rPr>
        <w:t xml:space="preserve">Vibrio </w:t>
      </w:r>
      <w:r w:rsidR="00C6216B" w:rsidRPr="00846769">
        <w:t xml:space="preserve">spp., and </w:t>
      </w:r>
      <w:r w:rsidR="00C6216B" w:rsidRPr="00846769">
        <w:rPr>
          <w:i/>
          <w:iCs/>
        </w:rPr>
        <w:t xml:space="preserve">Salmonella </w:t>
      </w:r>
      <w:r w:rsidR="00C6216B" w:rsidRPr="00846769">
        <w:t xml:space="preserve">spp. have </w:t>
      </w:r>
      <w:r w:rsidR="00094908">
        <w:t>occurred</w:t>
      </w:r>
      <w:r w:rsidR="00C6216B" w:rsidRPr="00846769">
        <w:t xml:space="preserve"> in </w:t>
      </w:r>
      <w:r w:rsidR="00C6216B" w:rsidRPr="00846769">
        <w:rPr>
          <w:i/>
          <w:iCs/>
        </w:rPr>
        <w:t xml:space="preserve">M. bilineata </w:t>
      </w:r>
      <w:r w:rsidR="00C6216B" w:rsidRPr="00846769">
        <w:t>farmed in the Philip</w:t>
      </w:r>
      <w:r w:rsidR="00C6216B" w:rsidRPr="00341E8D">
        <w:t>pines (</w:t>
      </w:r>
      <w:proofErr w:type="spellStart"/>
      <w:r w:rsidR="00C6216B" w:rsidRPr="00341E8D">
        <w:t>Nu</w:t>
      </w:r>
      <w:r w:rsidR="00C6216B" w:rsidRPr="00341E8D">
        <w:rPr>
          <w:rFonts w:cstheme="minorHAnsi"/>
        </w:rPr>
        <w:t>ñ</w:t>
      </w:r>
      <w:r w:rsidR="00C6216B" w:rsidRPr="00341E8D">
        <w:t>al</w:t>
      </w:r>
      <w:proofErr w:type="spellEnd"/>
      <w:r w:rsidR="00C6216B" w:rsidRPr="00341E8D">
        <w:t xml:space="preserve"> et al. 2023). </w:t>
      </w:r>
      <w:r w:rsidR="005D69FB" w:rsidRPr="00341E8D">
        <w:t>These</w:t>
      </w:r>
      <w:r w:rsidR="005D69FB" w:rsidRPr="00846769">
        <w:t xml:space="preserve"> pathogens may impact human health when oysters are consumed. </w:t>
      </w:r>
    </w:p>
    <w:p w14:paraId="084D01D4" w14:textId="77777777" w:rsidR="00A07998" w:rsidRPr="00846769" w:rsidRDefault="00A07998" w:rsidP="00A07998"/>
    <w:p w14:paraId="206E6B42" w14:textId="442F6984" w:rsidR="00A07998" w:rsidRPr="00846769" w:rsidRDefault="00A07998">
      <w:pPr>
        <w:spacing w:after="160" w:line="259" w:lineRule="auto"/>
      </w:pPr>
      <w:r w:rsidRPr="00846769">
        <w:br w:type="page"/>
      </w:r>
    </w:p>
    <w:p w14:paraId="45E176A7" w14:textId="77777777" w:rsidR="006939E1" w:rsidRPr="00846769" w:rsidRDefault="00B5740F" w:rsidP="003E53E0">
      <w:pPr>
        <w:pStyle w:val="Heading4"/>
        <w:spacing w:after="120"/>
        <w:ind w:left="851" w:hanging="851"/>
        <w:rPr>
          <w:rStyle w:val="Emphasis"/>
          <w:color w:val="262626" w:themeColor="text1" w:themeTint="D9"/>
        </w:rPr>
      </w:pPr>
      <w:r w:rsidRPr="00846769">
        <w:rPr>
          <w:rStyle w:val="Emphasis"/>
          <w:color w:val="262626" w:themeColor="text1" w:themeTint="D9"/>
        </w:rPr>
        <w:lastRenderedPageBreak/>
        <w:t>Magallana gigas</w:t>
      </w:r>
    </w:p>
    <w:p w14:paraId="15B296AF" w14:textId="25635016" w:rsidR="00C13ABE" w:rsidRPr="00846769" w:rsidRDefault="2D45FC2C" w:rsidP="00BF317B">
      <w:r w:rsidRPr="00846769">
        <w:rPr>
          <w:i/>
          <w:iCs/>
        </w:rPr>
        <w:t xml:space="preserve">Magallana </w:t>
      </w:r>
      <w:r w:rsidR="00C66C45" w:rsidRPr="00846769">
        <w:rPr>
          <w:i/>
          <w:iCs/>
        </w:rPr>
        <w:t>(</w:t>
      </w:r>
      <w:r w:rsidR="00522508">
        <w:t xml:space="preserve">formerly </w:t>
      </w:r>
      <w:r w:rsidR="00C66C45" w:rsidRPr="00DD01E4">
        <w:rPr>
          <w:i/>
          <w:iCs/>
        </w:rPr>
        <w:t xml:space="preserve">Crassostrea) </w:t>
      </w:r>
      <w:r w:rsidRPr="00634A79">
        <w:rPr>
          <w:i/>
          <w:iCs/>
        </w:rPr>
        <w:t xml:space="preserve">gigas </w:t>
      </w:r>
      <w:r w:rsidRPr="00634A79">
        <w:t xml:space="preserve">is </w:t>
      </w:r>
      <w:r w:rsidR="463081B9" w:rsidRPr="00634A79">
        <w:t>commonly called the</w:t>
      </w:r>
      <w:r w:rsidRPr="00634A79">
        <w:t xml:space="preserve"> Pacific oyster. </w:t>
      </w:r>
      <w:r w:rsidRPr="00634A79">
        <w:rPr>
          <w:i/>
          <w:iCs/>
        </w:rPr>
        <w:t xml:space="preserve">Magallana gigas </w:t>
      </w:r>
      <w:r w:rsidRPr="00634A79">
        <w:t xml:space="preserve">used to belong to the genus </w:t>
      </w:r>
      <w:r w:rsidRPr="00634A79">
        <w:rPr>
          <w:i/>
          <w:iCs/>
        </w:rPr>
        <w:t xml:space="preserve">Crassostrea </w:t>
      </w:r>
      <w:r w:rsidRPr="00634A79">
        <w:t xml:space="preserve">until it was placed into a new genus </w:t>
      </w:r>
      <w:r w:rsidRPr="00634A79">
        <w:rPr>
          <w:i/>
          <w:iCs/>
        </w:rPr>
        <w:t xml:space="preserve">Magallana </w:t>
      </w:r>
      <w:r w:rsidR="00094908">
        <w:t xml:space="preserve">along with other Asia-Pacific cupped oysters </w:t>
      </w:r>
      <w:r w:rsidRPr="00634A79">
        <w:t xml:space="preserve">(Salvi &amp; </w:t>
      </w:r>
      <w:proofErr w:type="spellStart"/>
      <w:r w:rsidRPr="00634A79">
        <w:t>Mariottini</w:t>
      </w:r>
      <w:proofErr w:type="spellEnd"/>
      <w:r w:rsidRPr="00634A79">
        <w:t xml:space="preserve"> 2017)</w:t>
      </w:r>
      <w:r w:rsidRPr="00634A79">
        <w:rPr>
          <w:i/>
          <w:iCs/>
        </w:rPr>
        <w:t xml:space="preserve">. </w:t>
      </w:r>
      <w:r w:rsidR="345B028D" w:rsidRPr="00634A79">
        <w:t xml:space="preserve">Records up until around 2017 will exclusively use the genus </w:t>
      </w:r>
      <w:r w:rsidR="67371A69" w:rsidRPr="00634A79">
        <w:t xml:space="preserve">name </w:t>
      </w:r>
      <w:r w:rsidR="345B028D" w:rsidRPr="00634A79">
        <w:rPr>
          <w:i/>
          <w:iCs/>
        </w:rPr>
        <w:t>Crassostrea</w:t>
      </w:r>
      <w:r w:rsidR="00C13ABE" w:rsidRPr="00634A79">
        <w:rPr>
          <w:i/>
          <w:iCs/>
        </w:rPr>
        <w:t xml:space="preserve"> </w:t>
      </w:r>
      <w:r w:rsidR="00C13ABE" w:rsidRPr="00634A79">
        <w:t>(Willan 2021)</w:t>
      </w:r>
      <w:r w:rsidR="345B028D" w:rsidRPr="00634A79">
        <w:rPr>
          <w:i/>
          <w:iCs/>
        </w:rPr>
        <w:t xml:space="preserve">. </w:t>
      </w:r>
      <w:r w:rsidRPr="00634A79">
        <w:t xml:space="preserve">Some current records still refer to </w:t>
      </w:r>
      <w:r w:rsidRPr="00634A79">
        <w:rPr>
          <w:i/>
          <w:iCs/>
        </w:rPr>
        <w:t xml:space="preserve">C. gigas </w:t>
      </w:r>
      <w:r w:rsidRPr="00634A79">
        <w:t xml:space="preserve">because of an opposition to the new genus </w:t>
      </w:r>
      <w:r w:rsidRPr="00634A79">
        <w:rPr>
          <w:i/>
          <w:iCs/>
        </w:rPr>
        <w:t xml:space="preserve">Magallana </w:t>
      </w:r>
      <w:r w:rsidRPr="00634A79">
        <w:t>(Bayne et al. 2017).</w:t>
      </w:r>
      <w:r w:rsidRPr="00846769">
        <w:t xml:space="preserve"> </w:t>
      </w:r>
    </w:p>
    <w:p w14:paraId="7591B49D" w14:textId="0A60287B" w:rsidR="006939E1" w:rsidRPr="00846769" w:rsidRDefault="2D45FC2C" w:rsidP="00BF317B">
      <w:r w:rsidRPr="00846769">
        <w:t xml:space="preserve">The </w:t>
      </w:r>
      <w:r w:rsidR="3D2CFCD2" w:rsidRPr="00846769">
        <w:t xml:space="preserve">species </w:t>
      </w:r>
      <w:r w:rsidRPr="00846769">
        <w:t xml:space="preserve">has been introduced to every continent except for Antarctica. It is native to Japan and south China. </w:t>
      </w:r>
      <w:r w:rsidRPr="00846769">
        <w:rPr>
          <w:i/>
          <w:iCs/>
        </w:rPr>
        <w:t xml:space="preserve">Magallana gigas </w:t>
      </w:r>
      <w:r w:rsidRPr="00846769">
        <w:t xml:space="preserve">dominates world bivalve aquaculture production and </w:t>
      </w:r>
      <w:r w:rsidR="00094908">
        <w:t xml:space="preserve">it </w:t>
      </w:r>
      <w:r w:rsidRPr="00846769">
        <w:t xml:space="preserve">is farmed throughout the world including Australia. </w:t>
      </w:r>
      <w:r w:rsidRPr="00846769">
        <w:rPr>
          <w:i/>
          <w:iCs/>
        </w:rPr>
        <w:t xml:space="preserve">Magallana gigas </w:t>
      </w:r>
      <w:r w:rsidRPr="00846769">
        <w:t>was introduced into Tasmania, South Australia, Victoria</w:t>
      </w:r>
      <w:r w:rsidR="00C13ABE" w:rsidRPr="00846769">
        <w:t>,</w:t>
      </w:r>
      <w:r w:rsidRPr="00846769">
        <w:t xml:space="preserve"> and Western Australia in the mid-1900s. The oyster established in Tasmania and South Australia, is rare in Victoria, and did not establish in Western Australia. </w:t>
      </w:r>
      <w:r w:rsidRPr="00846769">
        <w:rPr>
          <w:i/>
          <w:iCs/>
        </w:rPr>
        <w:t>Magallana gigas</w:t>
      </w:r>
      <w:r w:rsidRPr="00846769">
        <w:t xml:space="preserve"> was reported in New South Wales in the 19</w:t>
      </w:r>
      <w:r w:rsidR="00B8664E" w:rsidRPr="00846769">
        <w:t>8</w:t>
      </w:r>
      <w:r w:rsidRPr="00846769">
        <w:t>0s after it was suspected to have been introduced illegally. It is now established throughout the estuarie</w:t>
      </w:r>
      <w:r w:rsidR="47BD1FE7" w:rsidRPr="00846769">
        <w:t>s</w:t>
      </w:r>
      <w:r w:rsidR="00C66C45" w:rsidRPr="00846769">
        <w:t xml:space="preserve"> of </w:t>
      </w:r>
      <w:r w:rsidRPr="00846769">
        <w:t>New South Wales and is under movement controls to prevent further spread. It</w:t>
      </w:r>
      <w:r w:rsidRPr="00846769">
        <w:rPr>
          <w:i/>
          <w:iCs/>
        </w:rPr>
        <w:t xml:space="preserve"> </w:t>
      </w:r>
      <w:r w:rsidRPr="00846769">
        <w:t xml:space="preserve">is also considered a pest in Tasmania and South Australia outside of aquaculture settings. </w:t>
      </w:r>
      <w:r w:rsidRPr="00846769">
        <w:rPr>
          <w:i/>
          <w:iCs/>
        </w:rPr>
        <w:t>Magallana gigas</w:t>
      </w:r>
      <w:r w:rsidR="00B8664E" w:rsidRPr="00846769">
        <w:t xml:space="preserve"> is</w:t>
      </w:r>
      <w:r w:rsidRPr="00846769">
        <w:t xml:space="preserve"> affected by the </w:t>
      </w:r>
      <w:proofErr w:type="spellStart"/>
      <w:r w:rsidRPr="00846769">
        <w:t>ostreid</w:t>
      </w:r>
      <w:proofErr w:type="spellEnd"/>
      <w:r w:rsidRPr="00846769">
        <w:t xml:space="preserve"> herpesvirus-1 microvariant (OsHV-1 µvar) which can cause </w:t>
      </w:r>
      <w:r w:rsidR="00C90206" w:rsidRPr="00846769">
        <w:t xml:space="preserve">Pacific oyster mortality syndrome (POMS) disease, resulting in </w:t>
      </w:r>
      <w:r w:rsidRPr="00846769">
        <w:t xml:space="preserve">high mortality in affected populations. </w:t>
      </w:r>
    </w:p>
    <w:p w14:paraId="45BD60FE" w14:textId="2AD95EA9" w:rsidR="006C5232" w:rsidRPr="00846769" w:rsidRDefault="00C66C45" w:rsidP="0090794A">
      <w:r w:rsidRPr="00846769">
        <w:rPr>
          <w:i/>
          <w:iCs/>
        </w:rPr>
        <w:t xml:space="preserve">Magallana gigas </w:t>
      </w:r>
      <w:r w:rsidRPr="00846769">
        <w:t xml:space="preserve">is not nationally listed in Australia on either the APMPL or </w:t>
      </w:r>
      <w:r w:rsidR="00B8664E" w:rsidRPr="00846769">
        <w:t xml:space="preserve">the </w:t>
      </w:r>
      <w:r w:rsidRPr="00846769">
        <w:t>EEPL</w:t>
      </w:r>
      <w:r w:rsidR="00B8664E" w:rsidRPr="00846769">
        <w:t xml:space="preserve">. It was excluded from the APMPL for being a widely cultivated species. </w:t>
      </w:r>
      <w:r w:rsidRPr="00846769">
        <w:t>Despite being widely cultivated in Australia, non-</w:t>
      </w:r>
      <w:r w:rsidRPr="00634A79">
        <w:t xml:space="preserve">cultivated populations of </w:t>
      </w:r>
      <w:r w:rsidRPr="00634A79">
        <w:rPr>
          <w:i/>
          <w:iCs/>
        </w:rPr>
        <w:t>M. gigas</w:t>
      </w:r>
      <w:r w:rsidRPr="00634A79">
        <w:t xml:space="preserve"> still pose threats to native bivalves</w:t>
      </w:r>
      <w:r w:rsidR="006327EB" w:rsidRPr="00634A79">
        <w:t xml:space="preserve"> and ecological communities</w:t>
      </w:r>
      <w:r w:rsidR="00B8664E" w:rsidRPr="00634A79">
        <w:t xml:space="preserve"> (Herbe</w:t>
      </w:r>
      <w:r w:rsidR="00341E8D" w:rsidRPr="00634A79">
        <w:t>r</w:t>
      </w:r>
      <w:r w:rsidR="00B8664E" w:rsidRPr="00634A79">
        <w:t>t et al. 2016)</w:t>
      </w:r>
      <w:r w:rsidR="006327EB" w:rsidRPr="00634A79">
        <w:t xml:space="preserve">, and </w:t>
      </w:r>
      <w:r w:rsidR="00B8664E" w:rsidRPr="00634A79">
        <w:t>may have</w:t>
      </w:r>
      <w:r w:rsidR="006327EB" w:rsidRPr="00634A79">
        <w:t xml:space="preserve"> social, economic, or cultura</w:t>
      </w:r>
      <w:r w:rsidR="00B8664E" w:rsidRPr="00634A79">
        <w:t>l impacts</w:t>
      </w:r>
      <w:r w:rsidR="006327EB" w:rsidRPr="00634A79">
        <w:t xml:space="preserve"> (</w:t>
      </w:r>
      <w:r w:rsidR="00341E8D" w:rsidRPr="00634A79">
        <w:t>Mart</w:t>
      </w:r>
      <w:r w:rsidR="00341E8D" w:rsidRPr="00634A79">
        <w:rPr>
          <w:rFonts w:cstheme="minorHAnsi"/>
        </w:rPr>
        <w:t>ínez-</w:t>
      </w:r>
      <w:r w:rsidR="00B8664E" w:rsidRPr="00634A79">
        <w:t>Garc</w:t>
      </w:r>
      <w:r w:rsidR="00B8664E" w:rsidRPr="00634A79">
        <w:rPr>
          <w:rFonts w:cstheme="minorHAnsi"/>
        </w:rPr>
        <w:t>í</w:t>
      </w:r>
      <w:r w:rsidR="00B8664E" w:rsidRPr="00634A79">
        <w:t>a et al. 2021</w:t>
      </w:r>
      <w:r w:rsidR="006327EB" w:rsidRPr="00634A79">
        <w:t>).</w:t>
      </w:r>
      <w:r w:rsidR="006327EB" w:rsidRPr="00846769">
        <w:t xml:space="preserve"> </w:t>
      </w:r>
    </w:p>
    <w:p w14:paraId="5863B229" w14:textId="31378806" w:rsidR="0090794A" w:rsidRPr="00846769" w:rsidRDefault="0090794A" w:rsidP="0090794A">
      <w:pPr>
        <w:pStyle w:val="Caption"/>
      </w:pPr>
      <w:bookmarkStart w:id="710" w:name="_Toc191999512"/>
      <w:r w:rsidRPr="00846769">
        <w:t xml:space="preserve">Table </w:t>
      </w:r>
      <w:r w:rsidRPr="00846769">
        <w:fldChar w:fldCharType="begin"/>
      </w:r>
      <w:r w:rsidRPr="00846769">
        <w:instrText xml:space="preserve"> SEQ Table \* ARABIC </w:instrText>
      </w:r>
      <w:r w:rsidRPr="00846769">
        <w:fldChar w:fldCharType="separate"/>
      </w:r>
      <w:r w:rsidR="005E4F41">
        <w:rPr>
          <w:noProof/>
        </w:rPr>
        <w:t>17</w:t>
      </w:r>
      <w:r w:rsidRPr="00846769">
        <w:fldChar w:fldCharType="end"/>
      </w:r>
      <w:r w:rsidRPr="00846769">
        <w:t xml:space="preserve"> </w:t>
      </w:r>
      <w:r w:rsidRPr="00846769">
        <w:rPr>
          <w:lang w:eastAsia="ja-JP"/>
        </w:rPr>
        <w:t xml:space="preserve">Taxonomic classification of </w:t>
      </w:r>
      <w:r w:rsidRPr="00846769">
        <w:rPr>
          <w:rStyle w:val="Emphasis"/>
        </w:rPr>
        <w:t>Magallana gigas</w:t>
      </w:r>
      <w:bookmarkEnd w:id="71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6"/>
        <w:gridCol w:w="2585"/>
      </w:tblGrid>
      <w:tr w:rsidR="00B439AA" w:rsidRPr="00846769" w14:paraId="72D7CBC6" w14:textId="77777777" w:rsidTr="00A04E26">
        <w:trPr>
          <w:cantSplit/>
          <w:tblHeader/>
        </w:trPr>
        <w:tc>
          <w:tcPr>
            <w:tcW w:w="1526" w:type="dxa"/>
            <w:shd w:val="clear" w:color="auto" w:fill="FFFFFF" w:themeFill="background1"/>
          </w:tcPr>
          <w:p w14:paraId="0F988188" w14:textId="77777777" w:rsidR="006939E1" w:rsidRPr="00846769" w:rsidRDefault="00B5740F" w:rsidP="00BF317B">
            <w:pPr>
              <w:pStyle w:val="TableText"/>
              <w:rPr>
                <w:rFonts w:cstheme="minorHAnsi"/>
                <w:b/>
                <w:bCs/>
              </w:rPr>
            </w:pPr>
            <w:bookmarkStart w:id="711" w:name="Table_17"/>
            <w:bookmarkEnd w:id="711"/>
            <w:r w:rsidRPr="00846769">
              <w:rPr>
                <w:rFonts w:cstheme="minorHAnsi"/>
                <w:b/>
                <w:bCs/>
              </w:rPr>
              <w:t>Classification</w:t>
            </w:r>
          </w:p>
        </w:tc>
        <w:tc>
          <w:tcPr>
            <w:tcW w:w="2585" w:type="dxa"/>
            <w:shd w:val="clear" w:color="auto" w:fill="FFFFFF" w:themeFill="background1"/>
          </w:tcPr>
          <w:p w14:paraId="68ADE930" w14:textId="77777777" w:rsidR="006939E1" w:rsidRPr="00846769" w:rsidRDefault="00B5740F" w:rsidP="00BF317B">
            <w:pPr>
              <w:pStyle w:val="TableText"/>
              <w:rPr>
                <w:rStyle w:val="Emphasis"/>
                <w:rFonts w:cstheme="minorHAnsi"/>
                <w:b/>
                <w:bCs/>
              </w:rPr>
            </w:pPr>
            <w:r w:rsidRPr="00846769">
              <w:rPr>
                <w:rStyle w:val="Emphasis"/>
                <w:rFonts w:cstheme="minorHAnsi"/>
                <w:b/>
                <w:bCs/>
              </w:rPr>
              <w:t>Magallana gigas</w:t>
            </w:r>
          </w:p>
        </w:tc>
      </w:tr>
      <w:tr w:rsidR="00B439AA" w:rsidRPr="00846769" w14:paraId="6F09FF45" w14:textId="77777777" w:rsidTr="00A04E26">
        <w:trPr>
          <w:cantSplit/>
          <w:tblHeader/>
        </w:trPr>
        <w:tc>
          <w:tcPr>
            <w:tcW w:w="1526" w:type="dxa"/>
            <w:shd w:val="clear" w:color="auto" w:fill="FFFFFF" w:themeFill="background1"/>
          </w:tcPr>
          <w:p w14:paraId="5BB15600" w14:textId="77777777" w:rsidR="006939E1" w:rsidRPr="00846769" w:rsidRDefault="00B5740F" w:rsidP="00BF317B">
            <w:pPr>
              <w:pStyle w:val="TableText"/>
              <w:rPr>
                <w:rFonts w:cstheme="minorHAnsi"/>
              </w:rPr>
            </w:pPr>
            <w:r w:rsidRPr="00846769">
              <w:rPr>
                <w:rFonts w:cstheme="minorHAnsi"/>
              </w:rPr>
              <w:t>Phylum</w:t>
            </w:r>
          </w:p>
        </w:tc>
        <w:tc>
          <w:tcPr>
            <w:tcW w:w="2585" w:type="dxa"/>
            <w:shd w:val="clear" w:color="auto" w:fill="FFFFFF" w:themeFill="background1"/>
          </w:tcPr>
          <w:p w14:paraId="3D3D2D92" w14:textId="77777777" w:rsidR="006939E1" w:rsidRPr="00846769" w:rsidRDefault="00B5740F" w:rsidP="00BF317B">
            <w:pPr>
              <w:pStyle w:val="TableText"/>
              <w:rPr>
                <w:rFonts w:cstheme="minorHAnsi"/>
              </w:rPr>
            </w:pPr>
            <w:r w:rsidRPr="00846769">
              <w:rPr>
                <w:rFonts w:cstheme="minorHAnsi"/>
              </w:rPr>
              <w:t>Mollusca</w:t>
            </w:r>
          </w:p>
        </w:tc>
      </w:tr>
      <w:tr w:rsidR="00B439AA" w:rsidRPr="00846769" w14:paraId="44631F2E" w14:textId="77777777" w:rsidTr="00A04E26">
        <w:trPr>
          <w:cantSplit/>
          <w:tblHeader/>
        </w:trPr>
        <w:tc>
          <w:tcPr>
            <w:tcW w:w="1526" w:type="dxa"/>
            <w:shd w:val="clear" w:color="auto" w:fill="FFFFFF" w:themeFill="background1"/>
          </w:tcPr>
          <w:p w14:paraId="6D92F3F9" w14:textId="77777777" w:rsidR="006939E1" w:rsidRPr="00846769" w:rsidRDefault="00B5740F" w:rsidP="00BF317B">
            <w:pPr>
              <w:pStyle w:val="TableText"/>
              <w:rPr>
                <w:rFonts w:cstheme="minorHAnsi"/>
              </w:rPr>
            </w:pPr>
            <w:r w:rsidRPr="00846769">
              <w:rPr>
                <w:rFonts w:cstheme="minorHAnsi"/>
              </w:rPr>
              <w:t>Class</w:t>
            </w:r>
          </w:p>
        </w:tc>
        <w:tc>
          <w:tcPr>
            <w:tcW w:w="2585" w:type="dxa"/>
            <w:shd w:val="clear" w:color="auto" w:fill="FFFFFF" w:themeFill="background1"/>
          </w:tcPr>
          <w:p w14:paraId="39A685AD" w14:textId="77777777" w:rsidR="006939E1" w:rsidRPr="00846769" w:rsidRDefault="00B5740F" w:rsidP="00BF317B">
            <w:pPr>
              <w:pStyle w:val="TableText"/>
              <w:rPr>
                <w:rFonts w:cstheme="minorHAnsi"/>
              </w:rPr>
            </w:pPr>
            <w:r w:rsidRPr="00846769">
              <w:rPr>
                <w:rFonts w:cstheme="minorHAnsi"/>
              </w:rPr>
              <w:t>Bivalvia</w:t>
            </w:r>
          </w:p>
        </w:tc>
      </w:tr>
      <w:tr w:rsidR="00B439AA" w:rsidRPr="00846769" w14:paraId="267D8651" w14:textId="77777777" w:rsidTr="00A04E26">
        <w:trPr>
          <w:cantSplit/>
          <w:tblHeader/>
        </w:trPr>
        <w:tc>
          <w:tcPr>
            <w:tcW w:w="1526" w:type="dxa"/>
            <w:shd w:val="clear" w:color="auto" w:fill="FFFFFF" w:themeFill="background1"/>
          </w:tcPr>
          <w:p w14:paraId="29AFFFAE" w14:textId="77777777" w:rsidR="006939E1" w:rsidRPr="00846769" w:rsidRDefault="00B5740F" w:rsidP="00BF317B">
            <w:pPr>
              <w:pStyle w:val="TableText"/>
              <w:rPr>
                <w:rFonts w:cstheme="minorHAnsi"/>
              </w:rPr>
            </w:pPr>
            <w:r w:rsidRPr="00846769">
              <w:rPr>
                <w:rFonts w:cstheme="minorHAnsi"/>
              </w:rPr>
              <w:t>Order</w:t>
            </w:r>
          </w:p>
        </w:tc>
        <w:tc>
          <w:tcPr>
            <w:tcW w:w="2585" w:type="dxa"/>
            <w:shd w:val="clear" w:color="auto" w:fill="FFFFFF" w:themeFill="background1"/>
          </w:tcPr>
          <w:p w14:paraId="5FF07320" w14:textId="77777777" w:rsidR="006939E1" w:rsidRPr="00846769" w:rsidRDefault="00B5740F" w:rsidP="00BF317B">
            <w:pPr>
              <w:pStyle w:val="TableText"/>
              <w:rPr>
                <w:rFonts w:cstheme="minorHAnsi"/>
              </w:rPr>
            </w:pPr>
            <w:proofErr w:type="spellStart"/>
            <w:r w:rsidRPr="00846769">
              <w:rPr>
                <w:rFonts w:cstheme="minorHAnsi"/>
              </w:rPr>
              <w:t>Ostreodia</w:t>
            </w:r>
            <w:proofErr w:type="spellEnd"/>
          </w:p>
        </w:tc>
      </w:tr>
      <w:tr w:rsidR="00B439AA" w:rsidRPr="00846769" w14:paraId="7F4A67E0" w14:textId="77777777" w:rsidTr="00A04E26">
        <w:trPr>
          <w:cantSplit/>
          <w:tblHeader/>
        </w:trPr>
        <w:tc>
          <w:tcPr>
            <w:tcW w:w="1526" w:type="dxa"/>
            <w:shd w:val="clear" w:color="auto" w:fill="FFFFFF" w:themeFill="background1"/>
          </w:tcPr>
          <w:p w14:paraId="38969649" w14:textId="77777777" w:rsidR="006939E1" w:rsidRPr="00846769" w:rsidRDefault="00B5740F" w:rsidP="00BF317B">
            <w:pPr>
              <w:pStyle w:val="TableText"/>
              <w:rPr>
                <w:rFonts w:cstheme="minorHAnsi"/>
              </w:rPr>
            </w:pPr>
            <w:r w:rsidRPr="00846769">
              <w:rPr>
                <w:rFonts w:cstheme="minorHAnsi"/>
              </w:rPr>
              <w:t>Family</w:t>
            </w:r>
          </w:p>
        </w:tc>
        <w:tc>
          <w:tcPr>
            <w:tcW w:w="2585" w:type="dxa"/>
            <w:shd w:val="clear" w:color="auto" w:fill="FFFFFF" w:themeFill="background1"/>
          </w:tcPr>
          <w:p w14:paraId="04104597" w14:textId="77777777" w:rsidR="006939E1" w:rsidRPr="00846769" w:rsidRDefault="00B5740F" w:rsidP="00BF317B">
            <w:pPr>
              <w:pStyle w:val="TableText"/>
              <w:rPr>
                <w:rFonts w:cstheme="minorHAnsi"/>
              </w:rPr>
            </w:pPr>
            <w:proofErr w:type="spellStart"/>
            <w:r w:rsidRPr="00846769">
              <w:rPr>
                <w:rFonts w:cstheme="minorHAnsi"/>
              </w:rPr>
              <w:t>Ostreidae</w:t>
            </w:r>
            <w:proofErr w:type="spellEnd"/>
          </w:p>
        </w:tc>
      </w:tr>
      <w:tr w:rsidR="00B439AA" w:rsidRPr="00846769" w14:paraId="62FD4527" w14:textId="77777777" w:rsidTr="00A04E26">
        <w:trPr>
          <w:cantSplit/>
          <w:tblHeader/>
        </w:trPr>
        <w:tc>
          <w:tcPr>
            <w:tcW w:w="1526" w:type="dxa"/>
            <w:shd w:val="clear" w:color="auto" w:fill="FFFFFF" w:themeFill="background1"/>
          </w:tcPr>
          <w:p w14:paraId="647FFB27" w14:textId="77777777" w:rsidR="006939E1" w:rsidRPr="00846769" w:rsidRDefault="00B5740F" w:rsidP="00BF317B">
            <w:pPr>
              <w:pStyle w:val="TableText"/>
              <w:rPr>
                <w:rFonts w:cstheme="minorHAnsi"/>
              </w:rPr>
            </w:pPr>
            <w:r w:rsidRPr="00846769">
              <w:rPr>
                <w:rFonts w:cstheme="minorHAnsi"/>
              </w:rPr>
              <w:t>Genus</w:t>
            </w:r>
          </w:p>
        </w:tc>
        <w:tc>
          <w:tcPr>
            <w:tcW w:w="2585" w:type="dxa"/>
            <w:shd w:val="clear" w:color="auto" w:fill="FFFFFF" w:themeFill="background1"/>
          </w:tcPr>
          <w:p w14:paraId="1CD2EDE6" w14:textId="77777777" w:rsidR="006939E1" w:rsidRPr="00846769" w:rsidRDefault="00B5740F" w:rsidP="00BF317B">
            <w:pPr>
              <w:pStyle w:val="TableText"/>
              <w:rPr>
                <w:rStyle w:val="Emphasis"/>
                <w:rFonts w:cstheme="minorHAnsi"/>
              </w:rPr>
            </w:pPr>
            <w:r w:rsidRPr="00846769">
              <w:rPr>
                <w:rStyle w:val="Emphasis"/>
                <w:rFonts w:cstheme="minorHAnsi"/>
              </w:rPr>
              <w:t>Magallana</w:t>
            </w:r>
          </w:p>
        </w:tc>
      </w:tr>
    </w:tbl>
    <w:p w14:paraId="5CD3813E" w14:textId="77777777" w:rsidR="00C13ABE" w:rsidRPr="00846769" w:rsidRDefault="00C13ABE" w:rsidP="00C13ABE">
      <w:pPr>
        <w:pStyle w:val="Heading5"/>
        <w:spacing w:before="120" w:after="120"/>
        <w:rPr>
          <w:color w:val="262626" w:themeColor="text1" w:themeTint="D9"/>
          <w:sz w:val="24"/>
          <w:szCs w:val="24"/>
        </w:rPr>
      </w:pPr>
      <w:r w:rsidRPr="00846769">
        <w:rPr>
          <w:color w:val="262626" w:themeColor="text1" w:themeTint="D9"/>
          <w:sz w:val="24"/>
          <w:szCs w:val="24"/>
        </w:rPr>
        <w:t>Diagnostic features for identification</w:t>
      </w:r>
    </w:p>
    <w:p w14:paraId="39121332" w14:textId="77777777" w:rsidR="00C13ABE" w:rsidRPr="00846769" w:rsidRDefault="00C13ABE" w:rsidP="00C13ABE">
      <w:pPr>
        <w:pStyle w:val="Heading6"/>
        <w:spacing w:after="40"/>
        <w:rPr>
          <w:color w:val="262626" w:themeColor="text1" w:themeTint="D9"/>
        </w:rPr>
      </w:pPr>
      <w:r w:rsidRPr="00846769">
        <w:rPr>
          <w:color w:val="262626" w:themeColor="text1" w:themeTint="D9"/>
        </w:rPr>
        <w:t>Field identification</w:t>
      </w:r>
    </w:p>
    <w:p w14:paraId="0921016B" w14:textId="291F9048" w:rsidR="006327EB" w:rsidRPr="00634A79" w:rsidRDefault="00B5740F" w:rsidP="00BF317B">
      <w:r w:rsidRPr="00846769">
        <w:rPr>
          <w:i/>
          <w:iCs/>
        </w:rPr>
        <w:t xml:space="preserve">Magallana gigas </w:t>
      </w:r>
      <w:r w:rsidRPr="00846769">
        <w:t>can</w:t>
      </w:r>
      <w:r w:rsidR="006327EB" w:rsidRPr="00846769">
        <w:t>not</w:t>
      </w:r>
      <w:r w:rsidRPr="00846769">
        <w:t xml:space="preserve"> be identified in the field</w:t>
      </w:r>
      <w:r w:rsidR="006327EB" w:rsidRPr="00846769">
        <w:t xml:space="preserve"> due to high morphological variability, which makes differentiation between </w:t>
      </w:r>
      <w:proofErr w:type="spellStart"/>
      <w:r w:rsidR="006327EB" w:rsidRPr="00846769">
        <w:t>ostreid</w:t>
      </w:r>
      <w:proofErr w:type="spellEnd"/>
      <w:r w:rsidR="006327EB" w:rsidRPr="00846769">
        <w:t xml:space="preserve"> </w:t>
      </w:r>
      <w:r w:rsidR="006327EB" w:rsidRPr="00634A79">
        <w:t xml:space="preserve">species challenging (Dridi et al. 2008). It cannot be consistently distinguished from </w:t>
      </w:r>
      <w:r w:rsidR="006327EB" w:rsidRPr="00634A79">
        <w:rPr>
          <w:i/>
          <w:iCs/>
        </w:rPr>
        <w:t xml:space="preserve">Saccostrea glomerata </w:t>
      </w:r>
      <w:r w:rsidR="006327EB" w:rsidRPr="00634A79">
        <w:t>in the field (Richard Willan</w:t>
      </w:r>
      <w:r w:rsidR="00F47511" w:rsidRPr="00634A79">
        <w:t xml:space="preserve"> [MAGNT]</w:t>
      </w:r>
      <w:r w:rsidR="006327EB" w:rsidRPr="00634A79">
        <w:t>, pers. comm., April 202</w:t>
      </w:r>
      <w:r w:rsidR="008A6B6B" w:rsidRPr="00634A79">
        <w:t>3</w:t>
      </w:r>
      <w:r w:rsidR="006327EB" w:rsidRPr="00634A79">
        <w:t xml:space="preserve">). </w:t>
      </w:r>
      <w:r w:rsidR="00680E91" w:rsidRPr="00634A79">
        <w:t>Identification</w:t>
      </w:r>
      <w:r w:rsidR="006327EB" w:rsidRPr="00634A79">
        <w:t xml:space="preserve"> needs confirmation from</w:t>
      </w:r>
      <w:r w:rsidR="00680E91" w:rsidRPr="00634A79">
        <w:t xml:space="preserve"> an experienced taxonomist by assessing</w:t>
      </w:r>
      <w:r w:rsidR="006327EB" w:rsidRPr="00634A79">
        <w:t xml:space="preserve"> internal characters (particularly </w:t>
      </w:r>
      <w:proofErr w:type="spellStart"/>
      <w:r w:rsidR="006327EB" w:rsidRPr="00634A79">
        <w:t>chomata</w:t>
      </w:r>
      <w:proofErr w:type="spellEnd"/>
      <w:r w:rsidR="006327EB" w:rsidRPr="00634A79">
        <w:t>)</w:t>
      </w:r>
      <w:r w:rsidR="00680E91" w:rsidRPr="00634A79">
        <w:t xml:space="preserve"> or through molecular diagnostics. </w:t>
      </w:r>
      <w:r w:rsidRPr="00634A79">
        <w:t xml:space="preserve"> </w:t>
      </w:r>
    </w:p>
    <w:p w14:paraId="7FE4AFC3" w14:textId="6273E4D2" w:rsidR="006939E1" w:rsidRPr="00846769" w:rsidRDefault="00B5740F" w:rsidP="00BF317B">
      <w:r w:rsidRPr="00634A79">
        <w:rPr>
          <w:i/>
          <w:iCs/>
        </w:rPr>
        <w:t xml:space="preserve">Magallana gigas </w:t>
      </w:r>
      <w:r w:rsidRPr="00634A79">
        <w:t xml:space="preserve">have </w:t>
      </w:r>
      <w:r w:rsidR="00CB13DE" w:rsidRPr="00634A79">
        <w:t xml:space="preserve">an </w:t>
      </w:r>
      <w:r w:rsidRPr="00634A79">
        <w:t>elongated</w:t>
      </w:r>
      <w:r w:rsidR="00CB13DE" w:rsidRPr="00634A79">
        <w:t>,</w:t>
      </w:r>
      <w:r w:rsidRPr="00634A79">
        <w:t xml:space="preserve"> irregularly shaped shell that can grow up to 450 mm long (Huber 2010), however, </w:t>
      </w:r>
      <w:r w:rsidR="00094908">
        <w:t xml:space="preserve">most specimens </w:t>
      </w:r>
      <w:r w:rsidRPr="00634A79">
        <w:t xml:space="preserve">are </w:t>
      </w:r>
      <w:r w:rsidRPr="00846769">
        <w:t xml:space="preserve">around 80 to 150 mm. The valves are uneven in shape. The left valve is slightly convex whereas the right valve is deep, cup </w:t>
      </w:r>
      <w:proofErr w:type="gramStart"/>
      <w:r w:rsidRPr="00846769">
        <w:t>shaped</w:t>
      </w:r>
      <w:r w:rsidR="00CB13DE" w:rsidRPr="00846769">
        <w:t>,</w:t>
      </w:r>
      <w:r w:rsidRPr="00846769">
        <w:t xml:space="preserve"> and</w:t>
      </w:r>
      <w:proofErr w:type="gramEnd"/>
      <w:r w:rsidRPr="00846769">
        <w:t xml:space="preserve"> overlaps with a frilled-folded appearance (</w:t>
      </w:r>
      <w:r w:rsidR="00192097" w:rsidRPr="00846769">
        <w:rPr>
          <w:highlight w:val="yellow"/>
        </w:rPr>
        <w:fldChar w:fldCharType="begin"/>
      </w:r>
      <w:r w:rsidR="00192097" w:rsidRPr="00846769">
        <w:instrText xml:space="preserve"> REF _Ref171945672 \h </w:instrText>
      </w:r>
      <w:r w:rsidR="00192097" w:rsidRPr="00846769">
        <w:rPr>
          <w:highlight w:val="yellow"/>
        </w:rPr>
      </w:r>
      <w:r w:rsidR="00192097" w:rsidRPr="00846769">
        <w:rPr>
          <w:highlight w:val="yellow"/>
        </w:rPr>
        <w:fldChar w:fldCharType="separate"/>
      </w:r>
      <w:r w:rsidR="00192097" w:rsidRPr="00846769">
        <w:t>Photo 27</w:t>
      </w:r>
      <w:r w:rsidR="00192097" w:rsidRPr="00846769">
        <w:rPr>
          <w:highlight w:val="yellow"/>
        </w:rPr>
        <w:fldChar w:fldCharType="end"/>
      </w:r>
      <w:r w:rsidRPr="00846769">
        <w:t xml:space="preserve">). </w:t>
      </w:r>
      <w:r w:rsidR="00EB1905" w:rsidRPr="00846769">
        <w:t xml:space="preserve">Concentric lamellae are present in mature specimens. Wild </w:t>
      </w:r>
      <w:r w:rsidR="00EB1905" w:rsidRPr="00846769">
        <w:rPr>
          <w:i/>
          <w:iCs/>
        </w:rPr>
        <w:t xml:space="preserve">M. </w:t>
      </w:r>
      <w:r w:rsidR="00EB1905" w:rsidRPr="00846769">
        <w:rPr>
          <w:i/>
          <w:iCs/>
        </w:rPr>
        <w:lastRenderedPageBreak/>
        <w:t xml:space="preserve">gigas </w:t>
      </w:r>
      <w:r w:rsidR="00EB1905" w:rsidRPr="00846769">
        <w:t xml:space="preserve">found on Australian shores have morphologically very different appearances to cultivated </w:t>
      </w:r>
      <w:r w:rsidR="00EB1905" w:rsidRPr="00846769">
        <w:rPr>
          <w:i/>
          <w:iCs/>
        </w:rPr>
        <w:t>M. gigas</w:t>
      </w:r>
      <w:r w:rsidR="00070E64">
        <w:rPr>
          <w:i/>
          <w:iCs/>
        </w:rPr>
        <w:t>.</w:t>
      </w:r>
    </w:p>
    <w:p w14:paraId="1EADB8B3" w14:textId="547D06C6" w:rsidR="00611CCC" w:rsidRPr="00846769" w:rsidRDefault="00611CCC" w:rsidP="00611CCC">
      <w:pPr>
        <w:pStyle w:val="Caption"/>
        <w:rPr>
          <w:rFonts w:asciiTheme="minorHAnsi" w:hAnsiTheme="minorHAnsi"/>
        </w:rPr>
      </w:pPr>
      <w:bookmarkStart w:id="712" w:name="_Ref171945672"/>
      <w:bookmarkStart w:id="713" w:name="_Toc191999551"/>
      <w:r w:rsidRPr="00846769">
        <w:t xml:space="preserve">Photo </w:t>
      </w:r>
      <w:r w:rsidRPr="00846769">
        <w:fldChar w:fldCharType="begin"/>
      </w:r>
      <w:r w:rsidRPr="00846769">
        <w:instrText xml:space="preserve"> SEQ Photo \* ARABIC </w:instrText>
      </w:r>
      <w:r w:rsidRPr="00846769">
        <w:fldChar w:fldCharType="separate"/>
      </w:r>
      <w:r w:rsidR="00300312" w:rsidRPr="00846769">
        <w:t>27</w:t>
      </w:r>
      <w:r w:rsidRPr="00846769">
        <w:fldChar w:fldCharType="end"/>
      </w:r>
      <w:bookmarkEnd w:id="712"/>
      <w:r w:rsidRPr="00846769">
        <w:t xml:space="preserve"> Adult </w:t>
      </w:r>
      <w:r w:rsidRPr="00846769">
        <w:rPr>
          <w:i/>
          <w:iCs/>
        </w:rPr>
        <w:t xml:space="preserve">Magallana gigas </w:t>
      </w:r>
      <w:r w:rsidRPr="00846769">
        <w:t>showing the wild, non-cultivated form</w:t>
      </w:r>
      <w:bookmarkEnd w:id="713"/>
    </w:p>
    <w:p w14:paraId="1423CF10" w14:textId="216848F3" w:rsidR="002952D6" w:rsidRPr="00846769" w:rsidRDefault="002952D6" w:rsidP="002952D6">
      <w:r w:rsidRPr="00846769">
        <w:rPr>
          <w:noProof/>
        </w:rPr>
        <w:drawing>
          <wp:inline distT="0" distB="0" distL="0" distR="0" wp14:anchorId="122764D4" wp14:editId="615E7CB8">
            <wp:extent cx="3678173" cy="4389681"/>
            <wp:effectExtent l="6350" t="0" r="5080" b="5080"/>
            <wp:docPr id="905738079" name="Picture 14" descr="Coloured photograph showing the typical shell shape of non-cultivated, wild Magallana gi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38079" name="Picture 14" descr="Coloured photograph showing the typical shell shape of non-cultivated, wild Magallana gigas."/>
                    <pic:cNvPicPr/>
                  </pic:nvPicPr>
                  <pic:blipFill rotWithShape="1">
                    <a:blip r:embed="rId281" cstate="email">
                      <a:extLst>
                        <a:ext uri="{28A0092B-C50C-407E-A947-70E740481C1C}">
                          <a14:useLocalDpi xmlns:a14="http://schemas.microsoft.com/office/drawing/2010/main" val="0"/>
                        </a:ext>
                      </a:extLst>
                    </a:blip>
                    <a:srcRect/>
                    <a:stretch/>
                  </pic:blipFill>
                  <pic:spPr bwMode="auto">
                    <a:xfrm rot="5400000">
                      <a:off x="0" y="0"/>
                      <a:ext cx="3699650" cy="4415312"/>
                    </a:xfrm>
                    <a:prstGeom prst="rect">
                      <a:avLst/>
                    </a:prstGeom>
                    <a:ln>
                      <a:noFill/>
                    </a:ln>
                    <a:extLst>
                      <a:ext uri="{53640926-AAD7-44D8-BBD7-CCE9431645EC}">
                        <a14:shadowObscured xmlns:a14="http://schemas.microsoft.com/office/drawing/2010/main"/>
                      </a:ext>
                    </a:extLst>
                  </pic:spPr>
                </pic:pic>
              </a:graphicData>
            </a:graphic>
          </wp:inline>
        </w:drawing>
      </w:r>
    </w:p>
    <w:p w14:paraId="5D998BCC" w14:textId="3FAA9FB5" w:rsidR="002952D6" w:rsidRPr="00846769" w:rsidRDefault="00CB13DE" w:rsidP="00611CCC">
      <w:pPr>
        <w:pStyle w:val="FigureTableNoteSource"/>
        <w:spacing w:before="0"/>
      </w:pPr>
      <w:r w:rsidRPr="00846769">
        <w:rPr>
          <w:rStyle w:val="Emphasis"/>
          <w:i w:val="0"/>
          <w:iCs w:val="0"/>
        </w:rPr>
        <w:t>Source:</w:t>
      </w:r>
      <w:r w:rsidRPr="00846769">
        <w:t xml:space="preserve"> Evan Rees, </w:t>
      </w:r>
      <w:r w:rsidR="00B8664E" w:rsidRPr="00846769">
        <w:t>Northern Australia Quarantine Strategy (NAQS)</w:t>
      </w:r>
    </w:p>
    <w:p w14:paraId="323C1072" w14:textId="77777777" w:rsidR="00C13ABE" w:rsidRPr="00846769" w:rsidRDefault="00C13ABE" w:rsidP="00C13ABE">
      <w:pPr>
        <w:pStyle w:val="Heading6"/>
        <w:spacing w:after="40"/>
        <w:rPr>
          <w:color w:val="262626" w:themeColor="text1" w:themeTint="D9"/>
        </w:rPr>
      </w:pPr>
      <w:r w:rsidRPr="00846769">
        <w:rPr>
          <w:color w:val="262626" w:themeColor="text1" w:themeTint="D9"/>
        </w:rPr>
        <w:t>Similar native species</w:t>
      </w:r>
    </w:p>
    <w:p w14:paraId="4E5460D8" w14:textId="131E4933" w:rsidR="0069408B" w:rsidRPr="00846769" w:rsidRDefault="0069408B" w:rsidP="0069408B">
      <w:r w:rsidRPr="00846769">
        <w:rPr>
          <w:i/>
          <w:iCs/>
        </w:rPr>
        <w:t xml:space="preserve">Magallana gigas </w:t>
      </w:r>
      <w:r w:rsidRPr="00846769">
        <w:t xml:space="preserve">can be difficult to </w:t>
      </w:r>
      <w:r w:rsidR="00094908">
        <w:t>distinguish</w:t>
      </w:r>
      <w:r w:rsidRPr="00846769">
        <w:t xml:space="preserve"> from other oysters, including native oysters </w:t>
      </w:r>
      <w:r w:rsidRPr="00846769">
        <w:rPr>
          <w:i/>
          <w:iCs/>
        </w:rPr>
        <w:t xml:space="preserve">Ostrea </w:t>
      </w:r>
      <w:proofErr w:type="spellStart"/>
      <w:r w:rsidRPr="00846769">
        <w:rPr>
          <w:i/>
          <w:iCs/>
        </w:rPr>
        <w:t>angasi</w:t>
      </w:r>
      <w:proofErr w:type="spellEnd"/>
      <w:r w:rsidRPr="00846769">
        <w:t xml:space="preserve">, </w:t>
      </w:r>
      <w:r w:rsidRPr="00846769">
        <w:rPr>
          <w:i/>
          <w:iCs/>
        </w:rPr>
        <w:t>Saccostrea glomerata,</w:t>
      </w:r>
      <w:r w:rsidRPr="00846769">
        <w:t xml:space="preserve"> and </w:t>
      </w:r>
      <w:r w:rsidRPr="00846769">
        <w:rPr>
          <w:i/>
          <w:iCs/>
        </w:rPr>
        <w:t>S. cucullata</w:t>
      </w:r>
      <w:r w:rsidRPr="00846769">
        <w:t xml:space="preserve">. </w:t>
      </w:r>
      <w:proofErr w:type="spellStart"/>
      <w:r w:rsidRPr="00846769">
        <w:t>Ostreid</w:t>
      </w:r>
      <w:proofErr w:type="spellEnd"/>
      <w:r w:rsidRPr="00846769">
        <w:t xml:space="preserve"> </w:t>
      </w:r>
      <w:r w:rsidRPr="00634A79">
        <w:t>species have shells that are highly variable in shape and colour, mainly due to the substrate where the spat settles (Poppe &amp; Goto 1991). This</w:t>
      </w:r>
      <w:r w:rsidRPr="00846769">
        <w:t xml:space="preserve"> variability makes identification challenging and molecular methods such as DNA barcoding can assist.</w:t>
      </w:r>
    </w:p>
    <w:p w14:paraId="11317AAE" w14:textId="0BEAD524" w:rsidR="00C13ABE" w:rsidRPr="00846769" w:rsidRDefault="0069408B" w:rsidP="00C13ABE">
      <w:r w:rsidRPr="00846769">
        <w:t xml:space="preserve">The congeneric </w:t>
      </w:r>
      <w:r w:rsidRPr="00846769">
        <w:rPr>
          <w:i/>
          <w:iCs/>
        </w:rPr>
        <w:t xml:space="preserve">M. bilineata </w:t>
      </w:r>
      <w:r w:rsidRPr="00846769">
        <w:t xml:space="preserve">has been recorded in northern Queensland and is considered an introduced pest. </w:t>
      </w:r>
      <w:r w:rsidRPr="00846769">
        <w:rPr>
          <w:i/>
          <w:iCs/>
        </w:rPr>
        <w:t xml:space="preserve">Magallana gigas </w:t>
      </w:r>
      <w:r w:rsidRPr="00846769">
        <w:t xml:space="preserve">can be distinguished from </w:t>
      </w:r>
      <w:r w:rsidRPr="00846769">
        <w:rPr>
          <w:i/>
          <w:iCs/>
        </w:rPr>
        <w:t xml:space="preserve">M. bilineata </w:t>
      </w:r>
      <w:r w:rsidRPr="00846769">
        <w:t xml:space="preserve">by the black muscle attachment scar present in the internal surface of both valves of </w:t>
      </w:r>
      <w:r w:rsidRPr="00846769">
        <w:rPr>
          <w:i/>
          <w:iCs/>
        </w:rPr>
        <w:t>M. bilineata</w:t>
      </w:r>
      <w:r w:rsidRPr="00846769">
        <w:t xml:space="preserve">. In 2023, </w:t>
      </w:r>
      <w:r w:rsidR="008A6B6B" w:rsidRPr="00846769">
        <w:t>the Suminoe oyster</w:t>
      </w:r>
      <w:r w:rsidR="00BF18C5" w:rsidRPr="00846769">
        <w:t>,</w:t>
      </w:r>
      <w:r w:rsidR="008A6B6B" w:rsidRPr="00846769">
        <w:t xml:space="preserve"> </w:t>
      </w:r>
      <w:r w:rsidRPr="00846769">
        <w:rPr>
          <w:i/>
          <w:iCs/>
        </w:rPr>
        <w:t>M. ariakensis</w:t>
      </w:r>
      <w:r w:rsidR="00BF18C5" w:rsidRPr="00846769">
        <w:rPr>
          <w:i/>
          <w:iCs/>
        </w:rPr>
        <w:t>,</w:t>
      </w:r>
      <w:r w:rsidRPr="00846769">
        <w:rPr>
          <w:i/>
          <w:iCs/>
        </w:rPr>
        <w:t xml:space="preserve"> </w:t>
      </w:r>
      <w:r w:rsidRPr="00846769">
        <w:t xml:space="preserve">was detected in Queensland in the Moreton Bay region and looks </w:t>
      </w:r>
      <w:proofErr w:type="gramStart"/>
      <w:r w:rsidRPr="00846769">
        <w:t>similar to</w:t>
      </w:r>
      <w:proofErr w:type="gramEnd"/>
      <w:r w:rsidRPr="00846769">
        <w:t xml:space="preserve"> </w:t>
      </w:r>
      <w:r w:rsidRPr="00846769">
        <w:rPr>
          <w:i/>
          <w:iCs/>
        </w:rPr>
        <w:t>M.</w:t>
      </w:r>
      <w:r w:rsidR="00070E64">
        <w:rPr>
          <w:i/>
          <w:iCs/>
        </w:rPr>
        <w:t> </w:t>
      </w:r>
      <w:r w:rsidRPr="00846769">
        <w:rPr>
          <w:i/>
          <w:iCs/>
        </w:rPr>
        <w:t xml:space="preserve">gigas </w:t>
      </w:r>
      <w:r w:rsidRPr="00846769">
        <w:t xml:space="preserve">and </w:t>
      </w:r>
      <w:r w:rsidRPr="00846769">
        <w:rPr>
          <w:i/>
          <w:iCs/>
        </w:rPr>
        <w:t xml:space="preserve">M. bilineata. </w:t>
      </w:r>
    </w:p>
    <w:p w14:paraId="1E4C5F17" w14:textId="77777777" w:rsidR="00C13ABE" w:rsidRPr="00846769" w:rsidRDefault="00C13ABE" w:rsidP="00C13ABE">
      <w:pPr>
        <w:pStyle w:val="Heading6"/>
        <w:spacing w:after="40"/>
        <w:rPr>
          <w:color w:val="262626" w:themeColor="text1" w:themeTint="D9"/>
        </w:rPr>
      </w:pPr>
      <w:r w:rsidRPr="00846769">
        <w:rPr>
          <w:color w:val="262626" w:themeColor="text1" w:themeTint="D9"/>
        </w:rPr>
        <w:t>Laboratory and molecular identification</w:t>
      </w:r>
    </w:p>
    <w:p w14:paraId="5315E731" w14:textId="0A11C33E" w:rsidR="00522508" w:rsidRPr="001B1659" w:rsidRDefault="00522508" w:rsidP="00522508">
      <w:r>
        <w:t>A</w:t>
      </w:r>
      <w:r w:rsidRPr="00DD01E4">
        <w:t xml:space="preserve"> nested</w:t>
      </w:r>
      <w:r>
        <w:t xml:space="preserve"> PCR for the detection of </w:t>
      </w:r>
      <w:r>
        <w:rPr>
          <w:i/>
          <w:iCs/>
        </w:rPr>
        <w:t xml:space="preserve">Magallana gigas </w:t>
      </w:r>
      <w:r>
        <w:t>was deve</w:t>
      </w:r>
      <w:r w:rsidRPr="00634A79">
        <w:t xml:space="preserve">loped and demonstrated to be species-specific and able to detect </w:t>
      </w:r>
      <w:r w:rsidRPr="00634A79">
        <w:rPr>
          <w:i/>
          <w:iCs/>
        </w:rPr>
        <w:t xml:space="preserve">M. gigas </w:t>
      </w:r>
      <w:r w:rsidRPr="00634A79">
        <w:t xml:space="preserve">larvae added to plankton </w:t>
      </w:r>
      <w:r w:rsidRPr="00634A79">
        <w:rPr>
          <w:noProof/>
        </w:rPr>
        <w:t>(Patil et al. 2005)</w:t>
      </w:r>
      <w:r w:rsidRPr="00634A79">
        <w:t xml:space="preserve">. This assay was modified and adapted to qPCR format by Bott and </w:t>
      </w:r>
      <w:proofErr w:type="spellStart"/>
      <w:r w:rsidRPr="00634A79">
        <w:t>Giblot-Ducray</w:t>
      </w:r>
      <w:proofErr w:type="spellEnd"/>
      <w:r w:rsidRPr="00634A79">
        <w:t xml:space="preserve"> (2012). Performance of the qPCR assay was validated using comparison with HTS testing in plankton samples from Australian areas with </w:t>
      </w:r>
      <w:r w:rsidRPr="00634A79">
        <w:rPr>
          <w:i/>
          <w:iCs/>
        </w:rPr>
        <w:t xml:space="preserve">M. gigas </w:t>
      </w:r>
      <w:r w:rsidRPr="00634A79">
        <w:t xml:space="preserve">populations (Wiltshire et al. 2019b). An alternative qPCR assay for </w:t>
      </w:r>
      <w:r w:rsidRPr="00634A79">
        <w:rPr>
          <w:i/>
          <w:iCs/>
        </w:rPr>
        <w:t xml:space="preserve">M. gigas </w:t>
      </w:r>
      <w:r w:rsidRPr="00634A79">
        <w:t>has been developed in Denmark (Andersen et al. 2018) but has not been</w:t>
      </w:r>
      <w:r>
        <w:t xml:space="preserve"> tested under Australian conditions. </w:t>
      </w:r>
    </w:p>
    <w:p w14:paraId="41A1F6A0" w14:textId="0FB8BB87" w:rsidR="006939E1" w:rsidRPr="00846769" w:rsidRDefault="00B5740F" w:rsidP="00BF317B">
      <w:pPr>
        <w:rPr>
          <w:rFonts w:cstheme="minorHAnsi"/>
        </w:rPr>
      </w:pPr>
      <w:r w:rsidRPr="00846769">
        <w:rPr>
          <w:rFonts w:cstheme="minorHAnsi"/>
        </w:rPr>
        <w:lastRenderedPageBreak/>
        <w:t>Refer to the guidelines for development and validation of assays for marine pests</w:t>
      </w:r>
      <w:r w:rsidRPr="00846769">
        <w:t xml:space="preserve"> for further information</w:t>
      </w:r>
      <w:r w:rsidRPr="00846769">
        <w:rPr>
          <w:rFonts w:cstheme="minorHAnsi"/>
        </w:rPr>
        <w:t xml:space="preserve"> and </w:t>
      </w:r>
      <w:hyperlink r:id="rId282" w:anchor=":~:text=Compendium%20of%20introduced%20marine%20pest%20molecular%20studies%20relevant%20to%20Australia,-Department%20of%20Agriculture&amp;text=This%20compendium%20provides%20a%20central,research%20and%20surveillance%20in%20Australia." w:history="1">
        <w:r w:rsidR="00AD7B94" w:rsidRPr="00846769">
          <w:rPr>
            <w:rStyle w:val="Hyperlink"/>
            <w:rFonts w:cstheme="minorHAnsi"/>
          </w:rPr>
          <w:t>c</w:t>
        </w:r>
        <w:r w:rsidRPr="00846769">
          <w:rPr>
            <w:rStyle w:val="Hyperlink"/>
            <w:rFonts w:cstheme="minorHAnsi"/>
          </w:rPr>
          <w:t>ompendium of introduced marine pest molecular studies relevant to Australia</w:t>
        </w:r>
      </w:hyperlink>
      <w:r w:rsidRPr="00846769">
        <w:rPr>
          <w:rFonts w:cstheme="minorHAnsi"/>
        </w:rPr>
        <w:t>.</w:t>
      </w:r>
    </w:p>
    <w:p w14:paraId="5CCF504F" w14:textId="77777777" w:rsidR="00C13ABE" w:rsidRPr="00846769" w:rsidRDefault="00C13ABE" w:rsidP="00C13ABE">
      <w:pPr>
        <w:pStyle w:val="Heading5"/>
        <w:spacing w:after="120"/>
        <w:rPr>
          <w:color w:val="262626" w:themeColor="text1" w:themeTint="D9"/>
          <w:sz w:val="24"/>
          <w:szCs w:val="24"/>
        </w:rPr>
      </w:pPr>
      <w:r w:rsidRPr="00846769">
        <w:rPr>
          <w:color w:val="262626" w:themeColor="text1" w:themeTint="D9"/>
          <w:sz w:val="24"/>
          <w:szCs w:val="24"/>
        </w:rPr>
        <w:t>Life history and ecology</w:t>
      </w:r>
    </w:p>
    <w:p w14:paraId="1848C051" w14:textId="77777777" w:rsidR="00C13ABE" w:rsidRPr="00846769" w:rsidRDefault="00C13ABE" w:rsidP="00C13ABE">
      <w:pPr>
        <w:pStyle w:val="Heading6"/>
        <w:spacing w:after="40"/>
        <w:rPr>
          <w:color w:val="262626" w:themeColor="text1" w:themeTint="D9"/>
        </w:rPr>
      </w:pPr>
      <w:r w:rsidRPr="00846769">
        <w:rPr>
          <w:color w:val="262626" w:themeColor="text1" w:themeTint="D9"/>
        </w:rPr>
        <w:t>Life habit</w:t>
      </w:r>
    </w:p>
    <w:p w14:paraId="05FAF908" w14:textId="48B3EA4F" w:rsidR="006939E1" w:rsidRPr="00846769" w:rsidRDefault="2D45FC2C" w:rsidP="00BF317B">
      <w:r w:rsidRPr="00846769">
        <w:rPr>
          <w:i/>
          <w:iCs/>
        </w:rPr>
        <w:t xml:space="preserve">Magallana gigas </w:t>
      </w:r>
      <w:r w:rsidRPr="00846769">
        <w:t xml:space="preserve">is a fouling bivalve, capable of attaching to any hard surface in sheltered waters, usually rocks, but </w:t>
      </w:r>
      <w:r w:rsidR="2CDC2243" w:rsidRPr="00846769">
        <w:t xml:space="preserve">also </w:t>
      </w:r>
      <w:r w:rsidRPr="00846769">
        <w:t xml:space="preserve">marine infrastructure </w:t>
      </w:r>
      <w:r w:rsidR="2B20207C" w:rsidRPr="00846769">
        <w:t xml:space="preserve">such </w:t>
      </w:r>
      <w:r w:rsidRPr="00846769">
        <w:t xml:space="preserve">as wharf pylons and boat ramps. They can also settle on the shells of other oyster species. </w:t>
      </w:r>
      <w:r w:rsidRPr="00846769">
        <w:rPr>
          <w:i/>
          <w:iCs/>
        </w:rPr>
        <w:t xml:space="preserve">Magallana gigas </w:t>
      </w:r>
      <w:r w:rsidRPr="00846769">
        <w:t>can settle in high numbers, up to 2000 oysters/m</w:t>
      </w:r>
      <w:r w:rsidRPr="00846769">
        <w:rPr>
          <w:vertAlign w:val="superscript"/>
        </w:rPr>
        <w:t>2</w:t>
      </w:r>
      <w:r w:rsidRPr="00846769">
        <w:t xml:space="preserve"> and are quick growing (around 25 mm per year). The oyster lives in the intertidal or subtidal and is a suspension feeder. </w:t>
      </w:r>
    </w:p>
    <w:p w14:paraId="666FA945" w14:textId="44436124" w:rsidR="00BF18C5" w:rsidRPr="00634A79" w:rsidRDefault="788C6C44" w:rsidP="00BF317B">
      <w:r w:rsidRPr="00846769">
        <w:rPr>
          <w:i/>
          <w:iCs/>
        </w:rPr>
        <w:t xml:space="preserve">Magallana </w:t>
      </w:r>
      <w:r w:rsidR="2D45FC2C" w:rsidRPr="00846769">
        <w:rPr>
          <w:i/>
          <w:iCs/>
        </w:rPr>
        <w:t xml:space="preserve">gigas </w:t>
      </w:r>
      <w:r w:rsidR="2D45FC2C" w:rsidRPr="00846769">
        <w:t xml:space="preserve">has broad environmental </w:t>
      </w:r>
      <w:r w:rsidR="008A6B6B" w:rsidRPr="00846769">
        <w:t>tolerances</w:t>
      </w:r>
      <w:r w:rsidR="2D45FC2C" w:rsidRPr="00846769">
        <w:t xml:space="preserve"> which is expected consider</w:t>
      </w:r>
      <w:r w:rsidR="6E373D11" w:rsidRPr="00846769">
        <w:t>ing</w:t>
      </w:r>
      <w:r w:rsidR="2D45FC2C" w:rsidRPr="00846769">
        <w:t xml:space="preserve"> its geographic range of invasion</w:t>
      </w:r>
      <w:r w:rsidR="00BF18C5" w:rsidRPr="00846769">
        <w:t xml:space="preserve">, suggesting it is adaptable or tolerant </w:t>
      </w:r>
      <w:r w:rsidR="007F5F25" w:rsidRPr="00846769">
        <w:t>of the</w:t>
      </w:r>
      <w:r w:rsidR="00BF18C5" w:rsidRPr="00846769">
        <w:t xml:space="preserve"> local </w:t>
      </w:r>
      <w:r w:rsidR="007F5F25" w:rsidRPr="00846769">
        <w:t xml:space="preserve">thermal </w:t>
      </w:r>
      <w:r w:rsidR="00BF18C5" w:rsidRPr="00846769">
        <w:t>conditions</w:t>
      </w:r>
      <w:r w:rsidR="007F5F25" w:rsidRPr="00846769">
        <w:t xml:space="preserve"> where </w:t>
      </w:r>
      <w:r w:rsidR="00094908">
        <w:t>it grows.</w:t>
      </w:r>
      <w:r w:rsidR="2D45FC2C" w:rsidRPr="00634A79">
        <w:t xml:space="preserve"> </w:t>
      </w:r>
      <w:r w:rsidRPr="00634A79">
        <w:t xml:space="preserve">In </w:t>
      </w:r>
      <w:r w:rsidR="2D45FC2C" w:rsidRPr="00634A79">
        <w:t xml:space="preserve">Maine, USA, </w:t>
      </w:r>
      <w:r w:rsidRPr="00634A79">
        <w:rPr>
          <w:i/>
          <w:iCs/>
        </w:rPr>
        <w:t xml:space="preserve">M. gigas </w:t>
      </w:r>
      <w:r w:rsidR="2D45FC2C" w:rsidRPr="00634A79">
        <w:t xml:space="preserve">can experience water temperatures between </w:t>
      </w:r>
      <w:r w:rsidR="003637A4" w:rsidRPr="00634A79">
        <w:rPr>
          <w:rFonts w:cstheme="minorHAnsi"/>
        </w:rPr>
        <w:t>‒</w:t>
      </w:r>
      <w:r w:rsidR="2D45FC2C" w:rsidRPr="00634A79">
        <w:t xml:space="preserve">1 and 25°C (Shatkin 1997). The upper water temperature threshold for </w:t>
      </w:r>
      <w:r w:rsidR="2D45FC2C" w:rsidRPr="00634A79">
        <w:rPr>
          <w:i/>
          <w:iCs/>
        </w:rPr>
        <w:t xml:space="preserve">M. gigas </w:t>
      </w:r>
      <w:r w:rsidR="2D45FC2C" w:rsidRPr="00634A79">
        <w:t>is around 35°C (Mann et al. 1991), with mortality occurring within an hour at 40 and 43°C (</w:t>
      </w:r>
      <w:proofErr w:type="spellStart"/>
      <w:r w:rsidR="2D45FC2C" w:rsidRPr="00634A79">
        <w:t>Shamseldin</w:t>
      </w:r>
      <w:proofErr w:type="spellEnd"/>
      <w:r w:rsidR="2D45FC2C" w:rsidRPr="00634A79">
        <w:t xml:space="preserve"> et al. 1997). The optimal temperature range for growth is between 15 and 19°C.</w:t>
      </w:r>
      <w:r w:rsidR="261A5E8D" w:rsidRPr="00634A79">
        <w:t xml:space="preserve"> </w:t>
      </w:r>
    </w:p>
    <w:p w14:paraId="08304E6C" w14:textId="36FEDFD5" w:rsidR="006939E1" w:rsidRPr="00846769" w:rsidRDefault="2D45FC2C" w:rsidP="00BF317B">
      <w:r w:rsidRPr="00634A79">
        <w:rPr>
          <w:i/>
          <w:iCs/>
        </w:rPr>
        <w:t>M</w:t>
      </w:r>
      <w:r w:rsidR="788C6C44" w:rsidRPr="00634A79">
        <w:rPr>
          <w:i/>
          <w:iCs/>
        </w:rPr>
        <w:t>agallana</w:t>
      </w:r>
      <w:r w:rsidRPr="00634A79">
        <w:rPr>
          <w:i/>
          <w:iCs/>
        </w:rPr>
        <w:t xml:space="preserve"> gigas </w:t>
      </w:r>
      <w:r w:rsidRPr="00634A79">
        <w:t>can also tolerate a wide range of salinities. The oysters have been reported from salinity as low as 3 ppt (Chu et al. 1996)</w:t>
      </w:r>
      <w:r w:rsidR="788C6C44" w:rsidRPr="00634A79">
        <w:t xml:space="preserve"> </w:t>
      </w:r>
      <w:r w:rsidRPr="00634A79">
        <w:t>with a similar salinity minimum reported from</w:t>
      </w:r>
      <w:r w:rsidRPr="00846769">
        <w:t xml:space="preserve"> other studies (</w:t>
      </w:r>
      <w:r w:rsidRPr="005F7F32">
        <w:t>Mann et al. 1991). The</w:t>
      </w:r>
      <w:r w:rsidRPr="00846769">
        <w:t xml:space="preserve"> salinity maximum for </w:t>
      </w:r>
      <w:r w:rsidRPr="00846769">
        <w:rPr>
          <w:i/>
          <w:iCs/>
        </w:rPr>
        <w:t xml:space="preserve">M. gigas </w:t>
      </w:r>
      <w:r w:rsidRPr="00846769">
        <w:t xml:space="preserve">is over 35 ppt. Freshwater and </w:t>
      </w:r>
      <w:r w:rsidR="00FD10D8" w:rsidRPr="00846769">
        <w:t>hypersalin</w:t>
      </w:r>
      <w:r w:rsidR="00FD10D8">
        <w:t>e</w:t>
      </w:r>
      <w:r w:rsidR="00FD10D8" w:rsidRPr="00846769">
        <w:t xml:space="preserve"> </w:t>
      </w:r>
      <w:r w:rsidRPr="00846769">
        <w:t xml:space="preserve">treatments are unlikely to affect </w:t>
      </w:r>
      <w:r w:rsidRPr="00846769">
        <w:rPr>
          <w:i/>
          <w:iCs/>
        </w:rPr>
        <w:t>M. gigas.</w:t>
      </w:r>
      <w:r w:rsidRPr="00846769">
        <w:t xml:space="preserve"> The salinity range of spat</w:t>
      </w:r>
      <w:r w:rsidR="00094908">
        <w:t xml:space="preserve"> (</w:t>
      </w:r>
      <w:r w:rsidRPr="00846769">
        <w:t>recently settled juvenile oysters</w:t>
      </w:r>
      <w:r w:rsidR="00094908">
        <w:t>)</w:t>
      </w:r>
      <w:r w:rsidRPr="00846769">
        <w:t xml:space="preserve"> is between 15 and 30 ppt. </w:t>
      </w:r>
    </w:p>
    <w:p w14:paraId="403D46A6" w14:textId="5280E12E" w:rsidR="006939E1" w:rsidRPr="00846769" w:rsidRDefault="00B5740F" w:rsidP="00BF317B">
      <w:r w:rsidRPr="00846769">
        <w:rPr>
          <w:i/>
          <w:iCs/>
        </w:rPr>
        <w:t xml:space="preserve">Magallana gigas </w:t>
      </w:r>
      <w:r w:rsidRPr="00846769">
        <w:t xml:space="preserve">are predated on by several marine species in both their native and introduced ranges. Predators include seastars such as </w:t>
      </w:r>
      <w:r w:rsidRPr="00846769">
        <w:rPr>
          <w:i/>
          <w:iCs/>
        </w:rPr>
        <w:t xml:space="preserve">Asterias </w:t>
      </w:r>
      <w:r w:rsidRPr="00846769">
        <w:t>sp., boring gastropods, crabs</w:t>
      </w:r>
      <w:r w:rsidR="00795B31" w:rsidRPr="00846769">
        <w:t xml:space="preserve">, </w:t>
      </w:r>
      <w:r w:rsidRPr="00846769">
        <w:t>fish</w:t>
      </w:r>
      <w:r w:rsidR="00795B31" w:rsidRPr="00846769">
        <w:t>,</w:t>
      </w:r>
      <w:r w:rsidRPr="00846769">
        <w:t xml:space="preserve"> and birds. </w:t>
      </w:r>
      <w:r w:rsidRPr="00846769">
        <w:rPr>
          <w:i/>
          <w:iCs/>
        </w:rPr>
        <w:t xml:space="preserve">Magallana gigas </w:t>
      </w:r>
      <w:r w:rsidRPr="00846769">
        <w:t xml:space="preserve">is severely affected by disease, in particular the </w:t>
      </w:r>
      <w:proofErr w:type="spellStart"/>
      <w:r w:rsidRPr="00846769">
        <w:t>ostreid</w:t>
      </w:r>
      <w:proofErr w:type="spellEnd"/>
      <w:r w:rsidRPr="00846769">
        <w:t xml:space="preserve"> herpesvirus-1 microvariant (OsHV-1 </w:t>
      </w:r>
      <w:r w:rsidRPr="00846769">
        <w:rPr>
          <w:rFonts w:cstheme="minorHAnsi"/>
        </w:rPr>
        <w:t>µ</w:t>
      </w:r>
      <w:r w:rsidRPr="00846769">
        <w:t xml:space="preserve">var). </w:t>
      </w:r>
    </w:p>
    <w:p w14:paraId="2B3C5D8E" w14:textId="77777777" w:rsidR="00C13ABE" w:rsidRPr="00846769" w:rsidRDefault="00C13ABE" w:rsidP="00C13ABE">
      <w:pPr>
        <w:pStyle w:val="Heading6"/>
        <w:spacing w:before="120" w:after="40"/>
        <w:rPr>
          <w:color w:val="262626" w:themeColor="text1" w:themeTint="D9"/>
        </w:rPr>
      </w:pPr>
      <w:r w:rsidRPr="00846769">
        <w:rPr>
          <w:color w:val="262626" w:themeColor="text1" w:themeTint="D9"/>
        </w:rPr>
        <w:t>Reproduction and growth</w:t>
      </w:r>
    </w:p>
    <w:p w14:paraId="3E0A4CF1" w14:textId="7151AF1E" w:rsidR="00795B31" w:rsidRPr="00634A79" w:rsidRDefault="2D45FC2C" w:rsidP="00BF317B">
      <w:r w:rsidRPr="00634A79">
        <w:rPr>
          <w:i/>
          <w:iCs/>
        </w:rPr>
        <w:t xml:space="preserve">Magallana gigas </w:t>
      </w:r>
      <w:r w:rsidRPr="00634A79">
        <w:t xml:space="preserve">are </w:t>
      </w:r>
      <w:r w:rsidR="00795B31" w:rsidRPr="00634A79">
        <w:t xml:space="preserve">protandric </w:t>
      </w:r>
      <w:r w:rsidRPr="00634A79">
        <w:t xml:space="preserve">hermaphrodites, starting off as a male and then changing sex as they grow. </w:t>
      </w:r>
      <w:r w:rsidRPr="00634A79">
        <w:rPr>
          <w:i/>
          <w:iCs/>
        </w:rPr>
        <w:t>M</w:t>
      </w:r>
      <w:r w:rsidR="788C6C44" w:rsidRPr="00634A79">
        <w:rPr>
          <w:i/>
          <w:iCs/>
        </w:rPr>
        <w:t>agallana</w:t>
      </w:r>
      <w:r w:rsidRPr="00634A79">
        <w:rPr>
          <w:i/>
          <w:iCs/>
        </w:rPr>
        <w:t xml:space="preserve"> gigas </w:t>
      </w:r>
      <w:r w:rsidRPr="00634A79">
        <w:t>are sexually mature after one year and adults can live up to 30 years</w:t>
      </w:r>
      <w:r w:rsidR="00795B31" w:rsidRPr="00634A79">
        <w:t xml:space="preserve"> (Nehring 2011)</w:t>
      </w:r>
      <w:r w:rsidRPr="00634A79">
        <w:t xml:space="preserve">. </w:t>
      </w:r>
      <w:r w:rsidR="00795B31" w:rsidRPr="00634A79">
        <w:t>They grow at around 25 mm per year, reaching 10</w:t>
      </w:r>
      <w:r w:rsidR="003637A4" w:rsidRPr="00634A79">
        <w:rPr>
          <w:rFonts w:cstheme="minorHAnsi"/>
        </w:rPr>
        <w:t>–</w:t>
      </w:r>
      <w:r w:rsidR="00795B31" w:rsidRPr="00634A79">
        <w:t>15 cm after 2</w:t>
      </w:r>
      <w:r w:rsidR="003637A4" w:rsidRPr="00634A79">
        <w:rPr>
          <w:rFonts w:cstheme="minorHAnsi"/>
        </w:rPr>
        <w:t>–</w:t>
      </w:r>
      <w:r w:rsidR="00795B31" w:rsidRPr="00634A79">
        <w:t>4 years (</w:t>
      </w:r>
      <w:r w:rsidR="007C3DB3" w:rsidRPr="00634A79">
        <w:t>Harris 2008</w:t>
      </w:r>
      <w:r w:rsidR="00795B31" w:rsidRPr="00634A79">
        <w:t xml:space="preserve">). </w:t>
      </w:r>
      <w:r w:rsidRPr="00634A79">
        <w:t>Spawning is temperature dependent, with breeding peaking in summer when the water is warmest (&gt;20°C), with the optimum temperature between 20 to 25°C</w:t>
      </w:r>
      <w:r w:rsidR="00795B31" w:rsidRPr="00634A79">
        <w:t xml:space="preserve"> (Troost 2010)</w:t>
      </w:r>
      <w:r w:rsidRPr="00634A79">
        <w:t xml:space="preserve">. Spawning does not usually occur at water temperatures below 15°C. </w:t>
      </w:r>
    </w:p>
    <w:p w14:paraId="75B7616F" w14:textId="6ADDBB41" w:rsidR="006939E1" w:rsidRPr="00634A79" w:rsidRDefault="2D45FC2C" w:rsidP="00BF317B">
      <w:r w:rsidRPr="00634A79">
        <w:rPr>
          <w:i/>
          <w:iCs/>
        </w:rPr>
        <w:t xml:space="preserve">Magallana gigas </w:t>
      </w:r>
      <w:r w:rsidRPr="00634A79">
        <w:t>are highly fecund with the average female releasing between 50 to 200 million eggs in a single broadcast spawning event. Fertilisation occurs externally with larvae spending around 3 weeks in plankton</w:t>
      </w:r>
      <w:r w:rsidR="00795B31" w:rsidRPr="00634A79">
        <w:t xml:space="preserve"> (Chanley &amp; Dinamani 1980)</w:t>
      </w:r>
      <w:r w:rsidRPr="00634A79">
        <w:t>.</w:t>
      </w:r>
      <w:r w:rsidRPr="00634A79">
        <w:rPr>
          <w:i/>
          <w:iCs/>
        </w:rPr>
        <w:t xml:space="preserve"> </w:t>
      </w:r>
      <w:r w:rsidRPr="00634A79">
        <w:t>Spawning can occur in any</w:t>
      </w:r>
      <w:r w:rsidRPr="00846769">
        <w:t xml:space="preserve"> salinity between 10 and 42 ppt, however, the optimal salinity range for spat is between 15 and 30 ppt</w:t>
      </w:r>
      <w:r w:rsidR="00795B31" w:rsidRPr="00846769">
        <w:t xml:space="preserve"> </w:t>
      </w:r>
      <w:r w:rsidR="00795B31" w:rsidRPr="00DD01E4">
        <w:t>(</w:t>
      </w:r>
      <w:r w:rsidR="00795B31" w:rsidRPr="00634A79">
        <w:t>Shatkin 1997)</w:t>
      </w:r>
      <w:r w:rsidRPr="00634A79">
        <w:t xml:space="preserve">. The faster growth rate of </w:t>
      </w:r>
      <w:r w:rsidRPr="00634A79">
        <w:rPr>
          <w:i/>
          <w:iCs/>
        </w:rPr>
        <w:t xml:space="preserve">M. gigas </w:t>
      </w:r>
      <w:r w:rsidR="12E301E6" w:rsidRPr="00634A79">
        <w:t>allows it to overgrow</w:t>
      </w:r>
      <w:r w:rsidRPr="00634A79">
        <w:t xml:space="preserve"> the native </w:t>
      </w:r>
      <w:r w:rsidRPr="00634A79">
        <w:rPr>
          <w:i/>
          <w:iCs/>
        </w:rPr>
        <w:t>Saccostrea glomerata</w:t>
      </w:r>
      <w:r w:rsidR="00FD10D8">
        <w:rPr>
          <w:i/>
          <w:iCs/>
        </w:rPr>
        <w:t xml:space="preserve"> </w:t>
      </w:r>
      <w:r w:rsidR="00FD10D8">
        <w:t>in lower tidal zones</w:t>
      </w:r>
      <w:r w:rsidRPr="00634A79">
        <w:t xml:space="preserve">. </w:t>
      </w:r>
    </w:p>
    <w:p w14:paraId="6A01D440" w14:textId="77777777" w:rsidR="00C13ABE" w:rsidRPr="00634A79" w:rsidRDefault="00C13ABE" w:rsidP="00C13ABE">
      <w:pPr>
        <w:pStyle w:val="Heading6"/>
        <w:spacing w:before="120" w:after="40"/>
        <w:rPr>
          <w:color w:val="262626" w:themeColor="text1" w:themeTint="D9"/>
        </w:rPr>
      </w:pPr>
      <w:r w:rsidRPr="00634A79">
        <w:rPr>
          <w:color w:val="262626" w:themeColor="text1" w:themeTint="D9"/>
        </w:rPr>
        <w:t>Pathways and vectors</w:t>
      </w:r>
    </w:p>
    <w:p w14:paraId="06BD5012" w14:textId="57659FDA" w:rsidR="006939E1" w:rsidRPr="00634A79" w:rsidRDefault="2D45FC2C" w:rsidP="00BF317B">
      <w:r w:rsidRPr="00634A79">
        <w:rPr>
          <w:i/>
          <w:iCs/>
        </w:rPr>
        <w:t xml:space="preserve">Magallana gigas </w:t>
      </w:r>
      <w:r w:rsidRPr="00634A79">
        <w:t>is a popular aquaculture species</w:t>
      </w:r>
      <w:r w:rsidR="0C7C6B82" w:rsidRPr="00634A79">
        <w:t xml:space="preserve"> </w:t>
      </w:r>
      <w:r w:rsidR="66271473" w:rsidRPr="00634A79">
        <w:t xml:space="preserve">due to </w:t>
      </w:r>
      <w:r w:rsidR="0C7C6B82" w:rsidRPr="00634A79">
        <w:t>its fast growth rate</w:t>
      </w:r>
      <w:r w:rsidRPr="00634A79">
        <w:t xml:space="preserve">. Because of this, </w:t>
      </w:r>
      <w:r w:rsidRPr="00634A79">
        <w:rPr>
          <w:i/>
          <w:iCs/>
        </w:rPr>
        <w:t>M.</w:t>
      </w:r>
      <w:r w:rsidR="00070E64">
        <w:rPr>
          <w:i/>
          <w:iCs/>
        </w:rPr>
        <w:t> </w:t>
      </w:r>
      <w:r w:rsidRPr="00634A79">
        <w:rPr>
          <w:i/>
          <w:iCs/>
        </w:rPr>
        <w:t xml:space="preserve">gigas </w:t>
      </w:r>
      <w:r w:rsidRPr="00634A79">
        <w:t xml:space="preserve">has been introduced throughout the world to establish aquaculture. </w:t>
      </w:r>
      <w:r w:rsidRPr="00634A79">
        <w:rPr>
          <w:i/>
          <w:iCs/>
        </w:rPr>
        <w:t xml:space="preserve">Magallana gigas </w:t>
      </w:r>
      <w:r w:rsidR="00CE1342" w:rsidRPr="00634A79">
        <w:t xml:space="preserve">has </w:t>
      </w:r>
      <w:r w:rsidR="00CE1342" w:rsidRPr="00634A79">
        <w:lastRenderedPageBreak/>
        <w:t>been</w:t>
      </w:r>
      <w:r w:rsidRPr="00634A79">
        <w:t xml:space="preserve"> introduced to North America, Europe, New Zealand</w:t>
      </w:r>
      <w:r w:rsidR="00CE1342" w:rsidRPr="00634A79">
        <w:t>,</w:t>
      </w:r>
      <w:r w:rsidRPr="00634A79">
        <w:t xml:space="preserve"> and Australia. As a common biofouling species, it can also be translocated across biogeographic areas via hull biofouling and biofouling of other mobile structures.  </w:t>
      </w:r>
    </w:p>
    <w:p w14:paraId="08DC7A6D" w14:textId="77777777" w:rsidR="00C13ABE" w:rsidRPr="00634A79" w:rsidRDefault="00C13ABE" w:rsidP="00C13ABE">
      <w:pPr>
        <w:pStyle w:val="Heading6"/>
        <w:spacing w:after="40"/>
        <w:rPr>
          <w:color w:val="262626" w:themeColor="text1" w:themeTint="D9"/>
        </w:rPr>
      </w:pPr>
      <w:r w:rsidRPr="00634A79">
        <w:rPr>
          <w:color w:val="262626" w:themeColor="text1" w:themeTint="D9"/>
        </w:rPr>
        <w:t>Potential impacts</w:t>
      </w:r>
    </w:p>
    <w:p w14:paraId="780FE287" w14:textId="3EC7B633" w:rsidR="006939E1" w:rsidRPr="00634A79" w:rsidRDefault="2D45FC2C" w:rsidP="00BF317B">
      <w:r w:rsidRPr="00634A79">
        <w:rPr>
          <w:i/>
          <w:iCs/>
        </w:rPr>
        <w:t xml:space="preserve">Magallana gigas </w:t>
      </w:r>
      <w:r w:rsidRPr="00634A79">
        <w:t xml:space="preserve">can settle in dense aggregations in the intertidal zone, limiting space and food for other intertidal species. </w:t>
      </w:r>
      <w:r w:rsidR="00196E13" w:rsidRPr="00634A79">
        <w:t xml:space="preserve">A review by Herbert et al. (2016) found that non-native </w:t>
      </w:r>
      <w:r w:rsidR="00196E13" w:rsidRPr="00634A79">
        <w:rPr>
          <w:i/>
          <w:iCs/>
        </w:rPr>
        <w:t xml:space="preserve">M. gigas </w:t>
      </w:r>
      <w:r w:rsidR="00196E13" w:rsidRPr="00634A79">
        <w:t>reefs in Europe and the UK contribute to changes in ecological community structure in soft sediment and rocky intertidal habitats</w:t>
      </w:r>
      <w:r w:rsidR="00930F41" w:rsidRPr="00634A79">
        <w:t xml:space="preserve">, with some communities displaying positive associations with </w:t>
      </w:r>
      <w:r w:rsidR="00930F41" w:rsidRPr="00634A79">
        <w:rPr>
          <w:i/>
          <w:iCs/>
        </w:rPr>
        <w:t>M. gigas</w:t>
      </w:r>
      <w:r w:rsidR="00196E13" w:rsidRPr="00634A79">
        <w:t>.</w:t>
      </w:r>
      <w:r w:rsidRPr="00634A79">
        <w:t xml:space="preserve"> </w:t>
      </w:r>
      <w:r w:rsidR="005852BE" w:rsidRPr="00634A79">
        <w:t xml:space="preserve">In the Wadden Sea, high numbers of </w:t>
      </w:r>
      <w:r w:rsidR="005852BE" w:rsidRPr="00634A79">
        <w:rPr>
          <w:i/>
          <w:iCs/>
        </w:rPr>
        <w:t xml:space="preserve">M. gigas </w:t>
      </w:r>
      <w:r w:rsidR="005852BE" w:rsidRPr="00634A79">
        <w:t xml:space="preserve">prevented the recruitment and establishment of native mussels (Diederich 2006). </w:t>
      </w:r>
      <w:r w:rsidRPr="00634A79">
        <w:rPr>
          <w:i/>
          <w:iCs/>
        </w:rPr>
        <w:t xml:space="preserve">Magallana gigas </w:t>
      </w:r>
      <w:r w:rsidRPr="00634A79">
        <w:t>are also known to settle on shells of other oyster species, which create financial costs through increase</w:t>
      </w:r>
      <w:r w:rsidR="61B2C737" w:rsidRPr="00634A79">
        <w:t>d</w:t>
      </w:r>
      <w:r w:rsidRPr="00634A79">
        <w:t xml:space="preserve"> cleaning and </w:t>
      </w:r>
      <w:proofErr w:type="spellStart"/>
      <w:r w:rsidRPr="00634A79">
        <w:t>defouling</w:t>
      </w:r>
      <w:proofErr w:type="spellEnd"/>
      <w:r w:rsidRPr="00634A79">
        <w:t xml:space="preserve"> in aquaculture settings. Keating et al. (2010) estimated an additional cost of up to $90,000 for </w:t>
      </w:r>
      <w:r w:rsidRPr="00634A79">
        <w:rPr>
          <w:i/>
          <w:iCs/>
        </w:rPr>
        <w:t xml:space="preserve">S. glomerata </w:t>
      </w:r>
      <w:r w:rsidRPr="00634A79">
        <w:t xml:space="preserve">farmers to manage </w:t>
      </w:r>
      <w:r w:rsidRPr="00634A79">
        <w:rPr>
          <w:i/>
          <w:iCs/>
        </w:rPr>
        <w:t>M. gigas</w:t>
      </w:r>
      <w:r w:rsidRPr="00634A79">
        <w:t xml:space="preserve">. </w:t>
      </w:r>
    </w:p>
    <w:p w14:paraId="06282DAE" w14:textId="77777777" w:rsidR="00C13ABE" w:rsidRPr="00634A79" w:rsidRDefault="00C13ABE" w:rsidP="00C13ABE">
      <w:pPr>
        <w:pStyle w:val="Heading5"/>
        <w:spacing w:after="40"/>
        <w:rPr>
          <w:color w:val="262626" w:themeColor="text1" w:themeTint="D9"/>
          <w:sz w:val="24"/>
          <w:szCs w:val="24"/>
        </w:rPr>
      </w:pPr>
      <w:r w:rsidRPr="00634A79">
        <w:rPr>
          <w:color w:val="262626" w:themeColor="text1" w:themeTint="D9"/>
          <w:sz w:val="24"/>
          <w:szCs w:val="24"/>
        </w:rPr>
        <w:t>Global and Australian distribution</w:t>
      </w:r>
    </w:p>
    <w:p w14:paraId="20B484DB" w14:textId="77DCBCB1" w:rsidR="00611CCC" w:rsidRPr="00846769" w:rsidRDefault="652212BB" w:rsidP="00A04E26">
      <w:r w:rsidRPr="00634A79">
        <w:rPr>
          <w:i/>
          <w:iCs/>
        </w:rPr>
        <w:t>M</w:t>
      </w:r>
      <w:r w:rsidR="26B3462E" w:rsidRPr="00634A79">
        <w:rPr>
          <w:i/>
          <w:iCs/>
        </w:rPr>
        <w:t>agallana</w:t>
      </w:r>
      <w:r w:rsidRPr="00634A79">
        <w:rPr>
          <w:i/>
          <w:iCs/>
        </w:rPr>
        <w:t xml:space="preserve"> gigas </w:t>
      </w:r>
      <w:r w:rsidRPr="00634A79">
        <w:t>is native to Japan and northern China</w:t>
      </w:r>
      <w:r w:rsidR="0962AAA2" w:rsidRPr="00634A79">
        <w:t xml:space="preserve"> and</w:t>
      </w:r>
      <w:r w:rsidR="2C148425" w:rsidRPr="00634A79">
        <w:t xml:space="preserve"> </w:t>
      </w:r>
      <w:r w:rsidRPr="00634A79">
        <w:t xml:space="preserve">has been introduced to every continent, except for Antarctica, and </w:t>
      </w:r>
      <w:r w:rsidR="0962AAA2" w:rsidRPr="00634A79">
        <w:t xml:space="preserve">has </w:t>
      </w:r>
      <w:r w:rsidRPr="00634A79">
        <w:t>established in all major global oceans and seas (</w:t>
      </w:r>
      <w:r w:rsidR="008F7779" w:rsidRPr="00634A79">
        <w:fldChar w:fldCharType="begin"/>
      </w:r>
      <w:r w:rsidR="008F7779" w:rsidRPr="00634A79">
        <w:instrText xml:space="preserve"> REF _Ref189520347 \h </w:instrText>
      </w:r>
      <w:r w:rsidR="00634A79">
        <w:instrText xml:space="preserve"> \* MERGEFORMAT </w:instrText>
      </w:r>
      <w:r w:rsidR="008F7779" w:rsidRPr="00634A79">
        <w:fldChar w:fldCharType="separate"/>
      </w:r>
      <w:r w:rsidR="008F7779" w:rsidRPr="00634A79">
        <w:t xml:space="preserve">Map </w:t>
      </w:r>
      <w:r w:rsidR="008F7779" w:rsidRPr="00634A79">
        <w:rPr>
          <w:noProof/>
        </w:rPr>
        <w:t>23</w:t>
      </w:r>
      <w:r w:rsidR="008F7779" w:rsidRPr="00634A79">
        <w:fldChar w:fldCharType="end"/>
      </w:r>
      <w:r w:rsidRPr="00634A79">
        <w:t xml:space="preserve">) (Padilla 2010). </w:t>
      </w:r>
      <w:r w:rsidR="00CE1342" w:rsidRPr="00634A79">
        <w:t>In Australia,</w:t>
      </w:r>
      <w:r w:rsidRPr="00634A79">
        <w:t xml:space="preserve"> </w:t>
      </w:r>
      <w:r w:rsidR="00CE1342" w:rsidRPr="00634A79">
        <w:t xml:space="preserve">established </w:t>
      </w:r>
      <w:r w:rsidRPr="00634A79">
        <w:t xml:space="preserve">wild populations </w:t>
      </w:r>
      <w:r w:rsidR="00CE1342" w:rsidRPr="00634A79">
        <w:t xml:space="preserve">of </w:t>
      </w:r>
      <w:r w:rsidR="00CE1342" w:rsidRPr="00634A79">
        <w:rPr>
          <w:i/>
          <w:iCs/>
        </w:rPr>
        <w:t xml:space="preserve">M. gigas </w:t>
      </w:r>
      <w:r w:rsidRPr="00634A79">
        <w:t>exist in Tasmania, South Australia</w:t>
      </w:r>
      <w:r w:rsidR="005D45E9" w:rsidRPr="00634A79">
        <w:t>,</w:t>
      </w:r>
      <w:r w:rsidRPr="00634A79">
        <w:t xml:space="preserve"> New South Wales</w:t>
      </w:r>
      <w:r w:rsidR="008F7779" w:rsidRPr="00634A79">
        <w:t>,</w:t>
      </w:r>
      <w:r w:rsidR="005D45E9" w:rsidRPr="00634A79">
        <w:t xml:space="preserve"> </w:t>
      </w:r>
      <w:r w:rsidR="00522508" w:rsidRPr="00634A79">
        <w:t xml:space="preserve">and </w:t>
      </w:r>
      <w:r w:rsidR="008F7779" w:rsidRPr="00634A79">
        <w:t>less commonly</w:t>
      </w:r>
      <w:r w:rsidR="008F7779">
        <w:t xml:space="preserve"> in </w:t>
      </w:r>
      <w:r w:rsidR="00522508">
        <w:t>Victoria</w:t>
      </w:r>
      <w:r w:rsidRPr="00846769">
        <w:t xml:space="preserve">. </w:t>
      </w:r>
      <w:r w:rsidRPr="00846769">
        <w:rPr>
          <w:i/>
          <w:iCs/>
        </w:rPr>
        <w:t>M</w:t>
      </w:r>
      <w:r w:rsidR="26573484" w:rsidRPr="00846769">
        <w:rPr>
          <w:i/>
          <w:iCs/>
        </w:rPr>
        <w:t>agallana</w:t>
      </w:r>
      <w:r w:rsidRPr="00846769">
        <w:rPr>
          <w:i/>
          <w:iCs/>
        </w:rPr>
        <w:t xml:space="preserve"> </w:t>
      </w:r>
      <w:r w:rsidR="55A8344B" w:rsidRPr="00846769">
        <w:rPr>
          <w:i/>
          <w:iCs/>
        </w:rPr>
        <w:t>g</w:t>
      </w:r>
      <w:r w:rsidRPr="00846769">
        <w:rPr>
          <w:i/>
          <w:iCs/>
        </w:rPr>
        <w:t xml:space="preserve">igas </w:t>
      </w:r>
      <w:r w:rsidRPr="00846769">
        <w:t>was intentionally introduced to southern Tasmania, Western Australia</w:t>
      </w:r>
      <w:r w:rsidR="00282619" w:rsidRPr="00846769">
        <w:t xml:space="preserve">, </w:t>
      </w:r>
      <w:r w:rsidRPr="00846769">
        <w:t>and Victoria in the mid-1900s. It was found in the 19</w:t>
      </w:r>
      <w:r w:rsidR="005D45E9" w:rsidRPr="00846769">
        <w:t>80</w:t>
      </w:r>
      <w:r w:rsidRPr="00846769">
        <w:t xml:space="preserve">s in New South Wales, suspected of having been introduced illegally. </w:t>
      </w:r>
    </w:p>
    <w:p w14:paraId="14C7246E" w14:textId="1F4C61B6" w:rsidR="00F95AEC" w:rsidRDefault="00F95AEC" w:rsidP="00F95AEC">
      <w:pPr>
        <w:pStyle w:val="Caption"/>
      </w:pPr>
      <w:bookmarkStart w:id="714" w:name="_Ref189520347"/>
      <w:bookmarkStart w:id="715" w:name="_Toc191999577"/>
      <w:r>
        <w:t xml:space="preserve">Map </w:t>
      </w:r>
      <w:r>
        <w:fldChar w:fldCharType="begin"/>
      </w:r>
      <w:r>
        <w:instrText xml:space="preserve"> SEQ Map \* ARABIC </w:instrText>
      </w:r>
      <w:r>
        <w:fldChar w:fldCharType="separate"/>
      </w:r>
      <w:r>
        <w:rPr>
          <w:noProof/>
        </w:rPr>
        <w:t>23</w:t>
      </w:r>
      <w:r>
        <w:fldChar w:fldCharType="end"/>
      </w:r>
      <w:bookmarkEnd w:id="714"/>
      <w:r>
        <w:t xml:space="preserve"> </w:t>
      </w:r>
      <w:r w:rsidRPr="00846769">
        <w:t xml:space="preserve">Known global distribution of </w:t>
      </w:r>
      <w:r w:rsidRPr="00846769">
        <w:rPr>
          <w:i/>
          <w:iCs/>
        </w:rPr>
        <w:t>Magallana gigas</w:t>
      </w:r>
      <w:bookmarkEnd w:id="715"/>
    </w:p>
    <w:p w14:paraId="0A1C7B17" w14:textId="5ACA2267" w:rsidR="006939E1" w:rsidRPr="00846769" w:rsidRDefault="00150E3C" w:rsidP="00A04E26">
      <w:pPr>
        <w:spacing w:after="120"/>
      </w:pPr>
      <w:r w:rsidRPr="00846769">
        <w:rPr>
          <w:noProof/>
        </w:rPr>
        <w:drawing>
          <wp:inline distT="0" distB="0" distL="0" distR="0" wp14:anchorId="1796AF06" wp14:editId="04EBB3D4">
            <wp:extent cx="5731510" cy="2839720"/>
            <wp:effectExtent l="0" t="0" r="2540" b="0"/>
            <wp:docPr id="134570671" name="Picture 9" descr="Greyscale world map for the known global distribution of Magallana gigas. Distribution is shown in blue circles, red triangles and yellow diam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0671" name="Picture 9" descr="Greyscale world map for the known global distribution of Magallana gigas. Distribution is shown in blue circles, red triangles and yellow diamonds. "/>
                    <pic:cNvPicPr/>
                  </pic:nvPicPr>
                  <pic:blipFill>
                    <a:blip r:embed="rId283" cstate="email">
                      <a:extLst>
                        <a:ext uri="{28A0092B-C50C-407E-A947-70E740481C1C}">
                          <a14:useLocalDpi xmlns:a14="http://schemas.microsoft.com/office/drawing/2010/main" val="0"/>
                        </a:ext>
                      </a:extLst>
                    </a:blip>
                    <a:stretch>
                      <a:fillRect/>
                    </a:stretch>
                  </pic:blipFill>
                  <pic:spPr>
                    <a:xfrm>
                      <a:off x="0" y="0"/>
                      <a:ext cx="5731510" cy="2839720"/>
                    </a:xfrm>
                    <a:prstGeom prst="rect">
                      <a:avLst/>
                    </a:prstGeom>
                  </pic:spPr>
                </pic:pic>
              </a:graphicData>
            </a:graphic>
          </wp:inline>
        </w:drawing>
      </w:r>
    </w:p>
    <w:p w14:paraId="01AAD643" w14:textId="68B2C4D4" w:rsidR="006939E1" w:rsidRPr="00846769" w:rsidRDefault="00B5740F" w:rsidP="00BF317B">
      <w:pPr>
        <w:pStyle w:val="FigureTableNoteSource"/>
      </w:pPr>
      <w:r w:rsidRPr="00846769">
        <w:rPr>
          <w:rStyle w:val="Emphasis"/>
          <w:b/>
          <w:bCs/>
          <w:i w:val="0"/>
          <w:iCs w:val="0"/>
        </w:rPr>
        <w:t>Data source:</w:t>
      </w:r>
      <w:r w:rsidRPr="00846769">
        <w:rPr>
          <w:rStyle w:val="Emphasis"/>
        </w:rPr>
        <w:t xml:space="preserve"> </w:t>
      </w:r>
      <w:r w:rsidRPr="00846769">
        <w:t>GBIF.org (2</w:t>
      </w:r>
      <w:r w:rsidR="00282619" w:rsidRPr="00846769">
        <w:t>7</w:t>
      </w:r>
      <w:r w:rsidRPr="00846769">
        <w:t xml:space="preserve"> May 202</w:t>
      </w:r>
      <w:r w:rsidR="00795B31" w:rsidRPr="00846769">
        <w:t>4</w:t>
      </w:r>
      <w:r w:rsidRPr="00846769">
        <w:t>)</w:t>
      </w:r>
      <w:r w:rsidR="00795B31" w:rsidRPr="00846769">
        <w:t>.</w:t>
      </w:r>
      <w:r w:rsidRPr="00846769">
        <w:t xml:space="preserve"> GBIF Occurrence Download</w:t>
      </w:r>
      <w:r w:rsidR="00795B31" w:rsidRPr="00846769">
        <w:t>:</w:t>
      </w:r>
      <w:r w:rsidRPr="00846769">
        <w:t> </w:t>
      </w:r>
      <w:hyperlink r:id="rId284" w:history="1">
        <w:r w:rsidR="00F95AEC" w:rsidRPr="00E642E2">
          <w:rPr>
            <w:rStyle w:val="Hyperlink"/>
            <w:sz w:val="18"/>
          </w:rPr>
          <w:t>https://doi.org/10.15468/dl.5xh47f</w:t>
        </w:r>
      </w:hyperlink>
      <w:r w:rsidR="00F95AEC">
        <w:t xml:space="preserve"> </w:t>
      </w:r>
    </w:p>
    <w:p w14:paraId="4C00ADA0" w14:textId="77777777" w:rsidR="00C13ABE" w:rsidRPr="00846769" w:rsidRDefault="00C13ABE" w:rsidP="00C13ABE">
      <w:pPr>
        <w:pStyle w:val="Heading5"/>
        <w:spacing w:before="40" w:after="40"/>
        <w:ind w:left="851" w:hanging="851"/>
        <w:rPr>
          <w:rFonts w:cstheme="minorHAnsi"/>
        </w:rPr>
      </w:pPr>
      <w:r w:rsidRPr="00846769">
        <w:rPr>
          <w:rFonts w:cstheme="minorHAnsi"/>
        </w:rPr>
        <w:t>Invasion history</w:t>
      </w:r>
    </w:p>
    <w:p w14:paraId="6AADE159" w14:textId="24BED176" w:rsidR="006939E1" w:rsidRPr="00634A79" w:rsidRDefault="00B5740F" w:rsidP="00BF317B">
      <w:r w:rsidRPr="00846769">
        <w:rPr>
          <w:i/>
          <w:iCs/>
        </w:rPr>
        <w:t xml:space="preserve">Magallana gigas </w:t>
      </w:r>
      <w:r w:rsidRPr="00846769">
        <w:t xml:space="preserve">is the most widely transplanted bivalve in the world and is the world’s most cultivated oyster. Breeding populations have been established in the USA and Canada, Australia, New Zealand, Atlantic and Mediterranean Europe, South America, and South Africa. Common among </w:t>
      </w:r>
      <w:r w:rsidRPr="00846769">
        <w:rPr>
          <w:i/>
          <w:iCs/>
        </w:rPr>
        <w:t xml:space="preserve">M. gigas </w:t>
      </w:r>
      <w:r w:rsidRPr="00846769">
        <w:t xml:space="preserve">introductions is that it can go from a relatively confined aquaculture population to </w:t>
      </w:r>
      <w:r w:rsidRPr="00846769">
        <w:lastRenderedPageBreak/>
        <w:t xml:space="preserve">becoming </w:t>
      </w:r>
      <w:r w:rsidRPr="00634A79">
        <w:t xml:space="preserve">a major biomass component of wild systems. This process may take between </w:t>
      </w:r>
      <w:r w:rsidR="00282619" w:rsidRPr="00634A79">
        <w:t>three</w:t>
      </w:r>
      <w:r w:rsidRPr="00634A79">
        <w:t xml:space="preserve"> and </w:t>
      </w:r>
      <w:r w:rsidR="00282619" w:rsidRPr="00634A79">
        <w:t xml:space="preserve">ten </w:t>
      </w:r>
      <w:r w:rsidRPr="00634A79">
        <w:t>decades (</w:t>
      </w:r>
      <w:proofErr w:type="spellStart"/>
      <w:r w:rsidRPr="00634A79">
        <w:t>Krassoi</w:t>
      </w:r>
      <w:proofErr w:type="spellEnd"/>
      <w:r w:rsidRPr="00634A79">
        <w:t xml:space="preserve"> et al. 2008). Because of this transition from aquaculture species to wild populations, it can be difficult to determine dates of introduction. </w:t>
      </w:r>
    </w:p>
    <w:p w14:paraId="2BAB05CE" w14:textId="70B2561E" w:rsidR="006939E1" w:rsidRPr="00634A79" w:rsidRDefault="2D45FC2C" w:rsidP="00BF317B">
      <w:r w:rsidRPr="00634A79">
        <w:rPr>
          <w:i/>
          <w:iCs/>
        </w:rPr>
        <w:t xml:space="preserve">Magallana gigas </w:t>
      </w:r>
      <w:r w:rsidRPr="00634A79">
        <w:t xml:space="preserve">was first introduced into Washington State, USA, in 1902 to bolster oyster stocks after the native </w:t>
      </w:r>
      <w:r w:rsidRPr="00634A79">
        <w:rPr>
          <w:i/>
          <w:iCs/>
        </w:rPr>
        <w:t xml:space="preserve">Ostrea </w:t>
      </w:r>
      <w:proofErr w:type="spellStart"/>
      <w:r w:rsidRPr="00634A79">
        <w:rPr>
          <w:i/>
          <w:iCs/>
        </w:rPr>
        <w:t>lurida</w:t>
      </w:r>
      <w:proofErr w:type="spellEnd"/>
      <w:r w:rsidRPr="00634A79">
        <w:rPr>
          <w:i/>
          <w:iCs/>
        </w:rPr>
        <w:t xml:space="preserve"> </w:t>
      </w:r>
      <w:r w:rsidRPr="00634A79">
        <w:t>had been overfished</w:t>
      </w:r>
      <w:r w:rsidR="0005311E" w:rsidRPr="00634A79">
        <w:t xml:space="preserve">. </w:t>
      </w:r>
      <w:r w:rsidRPr="00634A79">
        <w:rPr>
          <w:i/>
          <w:iCs/>
        </w:rPr>
        <w:t>M</w:t>
      </w:r>
      <w:r w:rsidR="42EE6BE3" w:rsidRPr="00634A79">
        <w:rPr>
          <w:i/>
          <w:iCs/>
        </w:rPr>
        <w:t>agallana</w:t>
      </w:r>
      <w:r w:rsidRPr="00634A79">
        <w:rPr>
          <w:i/>
          <w:iCs/>
        </w:rPr>
        <w:t xml:space="preserve"> gigas </w:t>
      </w:r>
      <w:r w:rsidRPr="00634A79">
        <w:t xml:space="preserve">has subsequently spread along the Pacific coast of North America, where both farmed and wild populations exist. </w:t>
      </w:r>
      <w:r w:rsidRPr="00634A79">
        <w:rPr>
          <w:i/>
          <w:iCs/>
        </w:rPr>
        <w:t>M</w:t>
      </w:r>
      <w:r w:rsidR="776F5FE8" w:rsidRPr="00634A79">
        <w:rPr>
          <w:i/>
          <w:iCs/>
        </w:rPr>
        <w:t>aga</w:t>
      </w:r>
      <w:r w:rsidR="142FE468" w:rsidRPr="00634A79">
        <w:rPr>
          <w:i/>
          <w:iCs/>
        </w:rPr>
        <w:t>llana</w:t>
      </w:r>
      <w:r w:rsidRPr="00634A79">
        <w:rPr>
          <w:i/>
          <w:iCs/>
        </w:rPr>
        <w:t xml:space="preserve"> gigas </w:t>
      </w:r>
      <w:r w:rsidRPr="00634A79">
        <w:t xml:space="preserve">was introduced into Chile in the 1970s (Castilla et al. 2005), where they mainly exist as aquaculture populations, with wild populations </w:t>
      </w:r>
      <w:r w:rsidR="00094908">
        <w:t>un</w:t>
      </w:r>
      <w:r w:rsidRPr="00634A79">
        <w:t xml:space="preserve">common, possibly because of the water temperature. A failed aquaculture population led to the introduction and establishment of </w:t>
      </w:r>
      <w:r w:rsidRPr="00634A79">
        <w:rPr>
          <w:i/>
          <w:iCs/>
        </w:rPr>
        <w:t xml:space="preserve">M. gigas </w:t>
      </w:r>
      <w:r w:rsidRPr="00634A79">
        <w:t xml:space="preserve">in Patagonia, Argentina. </w:t>
      </w:r>
    </w:p>
    <w:p w14:paraId="5B0A8028" w14:textId="736654C7" w:rsidR="006939E1" w:rsidRPr="00634A79" w:rsidRDefault="005D45E9" w:rsidP="644D5D34">
      <w:r w:rsidRPr="00634A79">
        <w:rPr>
          <w:i/>
          <w:iCs/>
        </w:rPr>
        <w:t xml:space="preserve">Magallana gigas </w:t>
      </w:r>
      <w:r w:rsidRPr="00634A79">
        <w:t xml:space="preserve">was introduced into South Africa in 1950 (Robinson et al. 2005). </w:t>
      </w:r>
      <w:r w:rsidR="00B5740F" w:rsidRPr="00634A79">
        <w:t>The oyster</w:t>
      </w:r>
      <w:r w:rsidR="00B5740F" w:rsidRPr="00634A79">
        <w:rPr>
          <w:i/>
          <w:iCs/>
        </w:rPr>
        <w:t xml:space="preserve"> </w:t>
      </w:r>
      <w:r w:rsidR="00B5740F" w:rsidRPr="00634A79">
        <w:t xml:space="preserve">was introduced into France in the 1960s following the decline of native oysters </w:t>
      </w:r>
      <w:r w:rsidR="00B5740F" w:rsidRPr="00634A79">
        <w:rPr>
          <w:i/>
          <w:iCs/>
        </w:rPr>
        <w:t>Crassostrea angulat</w:t>
      </w:r>
      <w:r w:rsidR="07EBF471" w:rsidRPr="00634A79">
        <w:rPr>
          <w:i/>
          <w:iCs/>
        </w:rPr>
        <w:t>a</w:t>
      </w:r>
      <w:r w:rsidR="00B5740F" w:rsidRPr="00634A79">
        <w:rPr>
          <w:i/>
          <w:iCs/>
        </w:rPr>
        <w:t xml:space="preserve"> </w:t>
      </w:r>
      <w:r w:rsidR="00B5740F" w:rsidRPr="00634A79">
        <w:t xml:space="preserve">and </w:t>
      </w:r>
      <w:r w:rsidR="00B5740F" w:rsidRPr="00634A79">
        <w:rPr>
          <w:i/>
          <w:iCs/>
        </w:rPr>
        <w:t>Ostrea edulis</w:t>
      </w:r>
      <w:r w:rsidR="00B5740F" w:rsidRPr="00634A79">
        <w:t xml:space="preserve">. From there, extensive plantings of </w:t>
      </w:r>
      <w:r w:rsidR="00B5740F" w:rsidRPr="00634A79">
        <w:rPr>
          <w:i/>
          <w:iCs/>
        </w:rPr>
        <w:t xml:space="preserve">M. gigas </w:t>
      </w:r>
      <w:r w:rsidR="00B5740F" w:rsidRPr="00634A79">
        <w:t xml:space="preserve">occurred throughout Atlantic Europe, including the United Kingdom, Ireland, Spain, Denmark, </w:t>
      </w:r>
      <w:r w:rsidR="00282619" w:rsidRPr="00634A79">
        <w:t xml:space="preserve">the </w:t>
      </w:r>
      <w:r w:rsidR="00B5740F" w:rsidRPr="00634A79">
        <w:t>Netherlands</w:t>
      </w:r>
      <w:r w:rsidR="00282619" w:rsidRPr="00634A79">
        <w:t>,</w:t>
      </w:r>
      <w:r w:rsidR="00B5740F" w:rsidRPr="00634A79">
        <w:t xml:space="preserve"> and Germany</w:t>
      </w:r>
      <w:r w:rsidR="00282619" w:rsidRPr="00634A79">
        <w:t xml:space="preserve">. </w:t>
      </w:r>
      <w:r w:rsidR="00B5740F" w:rsidRPr="00634A79">
        <w:t xml:space="preserve">Around the same time, </w:t>
      </w:r>
      <w:r w:rsidR="00B5740F" w:rsidRPr="00634A79">
        <w:rPr>
          <w:i/>
          <w:iCs/>
        </w:rPr>
        <w:t xml:space="preserve">M. gigas </w:t>
      </w:r>
      <w:r w:rsidR="00B5740F" w:rsidRPr="00634A79">
        <w:t>was introduced into the Mediterranean Sea to replace declining native oyster stocks</w:t>
      </w:r>
      <w:r w:rsidR="0005311E" w:rsidRPr="00634A79">
        <w:t xml:space="preserve">. </w:t>
      </w:r>
      <w:r w:rsidR="00B5740F" w:rsidRPr="00634A79">
        <w:rPr>
          <w:i/>
          <w:iCs/>
        </w:rPr>
        <w:t>M</w:t>
      </w:r>
      <w:r w:rsidR="001A0C25" w:rsidRPr="00634A79">
        <w:rPr>
          <w:i/>
          <w:iCs/>
        </w:rPr>
        <w:t>agallana</w:t>
      </w:r>
      <w:r w:rsidR="00B5740F" w:rsidRPr="00634A79">
        <w:rPr>
          <w:i/>
          <w:iCs/>
        </w:rPr>
        <w:t xml:space="preserve"> gigas </w:t>
      </w:r>
      <w:r w:rsidR="00B5740F" w:rsidRPr="00634A79">
        <w:t xml:space="preserve">occurs through the Mediterranean from Morocco to Israel. </w:t>
      </w:r>
      <w:r w:rsidR="37B3DABA" w:rsidRPr="00634A79">
        <w:t xml:space="preserve">A population of </w:t>
      </w:r>
      <w:r w:rsidR="37B3DABA" w:rsidRPr="00634A79">
        <w:rPr>
          <w:i/>
          <w:iCs/>
        </w:rPr>
        <w:t xml:space="preserve">M. gigas </w:t>
      </w:r>
      <w:r w:rsidR="37B3DABA" w:rsidRPr="00634A79">
        <w:t>also occurs at the mouth of the Baltic Sea.</w:t>
      </w:r>
      <w:r w:rsidRPr="00634A79">
        <w:t xml:space="preserve"> </w:t>
      </w:r>
    </w:p>
    <w:p w14:paraId="3CE373F2" w14:textId="48CFD86B" w:rsidR="006939E1" w:rsidRPr="00846769" w:rsidRDefault="00B5740F" w:rsidP="005D45E9">
      <w:r w:rsidRPr="00634A79">
        <w:rPr>
          <w:i/>
          <w:iCs/>
        </w:rPr>
        <w:t xml:space="preserve">Magallana gigas </w:t>
      </w:r>
      <w:r w:rsidRPr="00634A79">
        <w:t xml:space="preserve">was introduced into Australia in the mid-1900s. </w:t>
      </w:r>
      <w:r w:rsidR="00282619" w:rsidRPr="00634A79">
        <w:t xml:space="preserve">It was initially </w:t>
      </w:r>
      <w:r w:rsidR="005D45E9" w:rsidRPr="00634A79">
        <w:t>introduced to Tasmania with imports</w:t>
      </w:r>
      <w:r w:rsidR="00282619" w:rsidRPr="00634A79">
        <w:t xml:space="preserve"> from New Zealand in 1947</w:t>
      </w:r>
      <w:r w:rsidR="005D45E9" w:rsidRPr="00634A79">
        <w:t xml:space="preserve"> (Moloney et al. 2023). Commercial production of </w:t>
      </w:r>
      <w:r w:rsidR="005D45E9" w:rsidRPr="00634A79">
        <w:rPr>
          <w:i/>
          <w:iCs/>
        </w:rPr>
        <w:t xml:space="preserve">M. gigas </w:t>
      </w:r>
      <w:r w:rsidR="005D45E9" w:rsidRPr="00634A79">
        <w:t xml:space="preserve">began in Tasmania during the 1960s and then expanded into South Australia in the 1970s. It was introduced to Victoria and Western Australia at a similar </w:t>
      </w:r>
      <w:proofErr w:type="gramStart"/>
      <w:r w:rsidR="005D45E9" w:rsidRPr="00634A79">
        <w:t>time, and</w:t>
      </w:r>
      <w:proofErr w:type="gramEnd"/>
      <w:r w:rsidR="005D45E9" w:rsidRPr="00634A79">
        <w:t xml:space="preserve"> was later</w:t>
      </w:r>
      <w:r w:rsidR="005D45E9" w:rsidRPr="00846769">
        <w:t xml:space="preserve"> introduced into New South Wales in the early 1980s, where an established population of wild oysters now occurs </w:t>
      </w:r>
      <w:r w:rsidR="005D45E9" w:rsidRPr="00286468">
        <w:t>(Moloney et al. 2023). W</w:t>
      </w:r>
      <w:r w:rsidRPr="00286468">
        <w:t>ild</w:t>
      </w:r>
      <w:r w:rsidRPr="00846769">
        <w:t xml:space="preserve"> populations exist in South Australia, Tasmania, Victoria</w:t>
      </w:r>
      <w:r w:rsidR="005D45E9" w:rsidRPr="00846769">
        <w:t>,</w:t>
      </w:r>
      <w:r w:rsidRPr="00846769">
        <w:t xml:space="preserve"> and New South Wales and important aquaculture industries exist in South Australia, Tasmania</w:t>
      </w:r>
      <w:r w:rsidR="005D45E9" w:rsidRPr="00846769">
        <w:t>,</w:t>
      </w:r>
      <w:r w:rsidRPr="00846769">
        <w:t xml:space="preserve"> and New South Wales. </w:t>
      </w:r>
    </w:p>
    <w:p w14:paraId="7CE3D697" w14:textId="049EBAA2" w:rsidR="006939E1" w:rsidRPr="00846769" w:rsidRDefault="00B5740F" w:rsidP="00BF317B">
      <w:r w:rsidRPr="00846769">
        <w:t xml:space="preserve">Numerous separate attempts have been made to introduce </w:t>
      </w:r>
      <w:r w:rsidRPr="00846769">
        <w:rPr>
          <w:i/>
          <w:iCs/>
        </w:rPr>
        <w:t xml:space="preserve">M. gigas </w:t>
      </w:r>
      <w:r w:rsidRPr="00846769">
        <w:t>into the tropics, including the Caribbean and the Pacific Islands. However, except for Hawaii, none of these introductions led to an established population</w:t>
      </w:r>
      <w:r w:rsidR="0005311E" w:rsidRPr="00846769">
        <w:t>.</w:t>
      </w:r>
      <w:r w:rsidRPr="00846769">
        <w:t xml:space="preserve"> </w:t>
      </w:r>
    </w:p>
    <w:p w14:paraId="2F3944FD" w14:textId="77777777" w:rsidR="00C13ABE" w:rsidRPr="00846769" w:rsidRDefault="00C13ABE" w:rsidP="00C13ABE">
      <w:pPr>
        <w:pStyle w:val="Heading5"/>
        <w:spacing w:before="40" w:after="40"/>
        <w:ind w:left="851" w:hanging="851"/>
        <w:rPr>
          <w:color w:val="262626" w:themeColor="text1" w:themeTint="D9"/>
        </w:rPr>
      </w:pPr>
      <w:r w:rsidRPr="00846769">
        <w:rPr>
          <w:color w:val="262626" w:themeColor="text1" w:themeTint="D9"/>
        </w:rPr>
        <w:t>Diseases</w:t>
      </w:r>
    </w:p>
    <w:p w14:paraId="59169774" w14:textId="096B51A4" w:rsidR="007F5F25" w:rsidRPr="00846769" w:rsidRDefault="2D45FC2C" w:rsidP="00BF317B">
      <w:r w:rsidRPr="00846769">
        <w:t xml:space="preserve">Aquaculture production of </w:t>
      </w:r>
      <w:r w:rsidRPr="00846769">
        <w:rPr>
          <w:i/>
          <w:iCs/>
        </w:rPr>
        <w:t>M</w:t>
      </w:r>
      <w:r w:rsidR="007F5F25" w:rsidRPr="00846769">
        <w:rPr>
          <w:i/>
          <w:iCs/>
        </w:rPr>
        <w:t>.</w:t>
      </w:r>
      <w:r w:rsidRPr="00846769">
        <w:rPr>
          <w:i/>
          <w:iCs/>
        </w:rPr>
        <w:t xml:space="preserve"> gigas </w:t>
      </w:r>
      <w:r w:rsidRPr="00846769">
        <w:t xml:space="preserve">is often characterised by high mortalities associated with </w:t>
      </w:r>
      <w:proofErr w:type="spellStart"/>
      <w:r w:rsidRPr="00846769">
        <w:t>ostreid</w:t>
      </w:r>
      <w:proofErr w:type="spellEnd"/>
      <w:r w:rsidRPr="00846769">
        <w:t xml:space="preserve"> herpesvirus-1 microvariant (OsHV-1 µvar</w:t>
      </w:r>
      <w:r w:rsidRPr="00846769">
        <w:rPr>
          <w:rStyle w:val="Emphasis"/>
        </w:rPr>
        <w:t xml:space="preserve">), </w:t>
      </w:r>
      <w:r w:rsidRPr="00846769">
        <w:rPr>
          <w:rStyle w:val="Emphasis"/>
          <w:i w:val="0"/>
          <w:iCs w:val="0"/>
        </w:rPr>
        <w:t>which</w:t>
      </w:r>
      <w:r w:rsidRPr="00846769">
        <w:rPr>
          <w:rStyle w:val="Emphasis"/>
        </w:rPr>
        <w:t xml:space="preserve"> </w:t>
      </w:r>
      <w:r w:rsidRPr="00846769">
        <w:t>causes Pacific oyster mortality syndrome (POMS) a</w:t>
      </w:r>
      <w:r w:rsidR="00094908">
        <w:t>n</w:t>
      </w:r>
      <w:r w:rsidRPr="00846769">
        <w:t xml:space="preserve"> acute disease in juvenile Pacific oysters, </w:t>
      </w:r>
      <w:r w:rsidR="00094908">
        <w:t xml:space="preserve">with </w:t>
      </w:r>
      <w:r w:rsidRPr="00846769">
        <w:t xml:space="preserve">up to 100% mortality in affected populations. </w:t>
      </w:r>
      <w:r w:rsidR="007F5F25" w:rsidRPr="00846769">
        <w:t xml:space="preserve">POMS can lead to significant production loss for oyster farmers, employment, and business viability for cultivated </w:t>
      </w:r>
      <w:r w:rsidR="007F5F25" w:rsidRPr="00846769">
        <w:rPr>
          <w:i/>
          <w:iCs/>
        </w:rPr>
        <w:t>M. gigas</w:t>
      </w:r>
      <w:r w:rsidR="007F5F25" w:rsidRPr="00846769">
        <w:t xml:space="preserve">. There are concerns that wild </w:t>
      </w:r>
      <w:r w:rsidR="007F5F25" w:rsidRPr="00846769">
        <w:rPr>
          <w:i/>
          <w:iCs/>
        </w:rPr>
        <w:t xml:space="preserve">M. gigas </w:t>
      </w:r>
      <w:r w:rsidR="007F5F25" w:rsidRPr="00846769">
        <w:t>may be reservoirs of th</w:t>
      </w:r>
      <w:r w:rsidR="0042210F" w:rsidRPr="00846769">
        <w:t>is</w:t>
      </w:r>
      <w:r w:rsidR="007F5F25" w:rsidRPr="00846769">
        <w:t xml:space="preserve"> pathogen that may </w:t>
      </w:r>
      <w:r w:rsidR="0042210F" w:rsidRPr="00846769">
        <w:t>pose risks to</w:t>
      </w:r>
      <w:r w:rsidR="007F5F25" w:rsidRPr="00846769">
        <w:t xml:space="preserve"> cultivated </w:t>
      </w:r>
      <w:r w:rsidR="007F5F25" w:rsidRPr="00846769">
        <w:rPr>
          <w:i/>
          <w:iCs/>
        </w:rPr>
        <w:t xml:space="preserve">M. gigas </w:t>
      </w:r>
      <w:r w:rsidR="007F5F25" w:rsidRPr="00846769">
        <w:t xml:space="preserve">farms.  </w:t>
      </w:r>
    </w:p>
    <w:p w14:paraId="0DAE2CE3" w14:textId="7527BA32" w:rsidR="007F5F25" w:rsidRDefault="007F5F25" w:rsidP="00BF317B">
      <w:r w:rsidRPr="00846769">
        <w:t xml:space="preserve">OsHV-1 µvar </w:t>
      </w:r>
      <w:r w:rsidR="2D45FC2C" w:rsidRPr="00E04E42">
        <w:t>was first detected in New South Wales in 2011 (Jenkins et al. 2013)</w:t>
      </w:r>
      <w:r w:rsidR="6D81FC94" w:rsidRPr="00E04E42">
        <w:t xml:space="preserve"> at sites</w:t>
      </w:r>
      <w:r w:rsidR="2D45FC2C" w:rsidRPr="00E04E42">
        <w:t xml:space="preserve"> including the Georges River, Botany Bay, Parramatta River, Port Jackson</w:t>
      </w:r>
      <w:r w:rsidRPr="00E04E42">
        <w:t>,</w:t>
      </w:r>
      <w:r w:rsidR="2D45FC2C" w:rsidRPr="00E04E42">
        <w:t xml:space="preserve"> </w:t>
      </w:r>
      <w:r w:rsidR="00FD10D8" w:rsidRPr="00E04E42">
        <w:t xml:space="preserve">and </w:t>
      </w:r>
      <w:r w:rsidR="00FD10D8">
        <w:t xml:space="preserve">later in </w:t>
      </w:r>
      <w:r w:rsidR="00FD10D8" w:rsidRPr="00E04E42">
        <w:t>the Hawkesbury River</w:t>
      </w:r>
      <w:r w:rsidR="2D45FC2C" w:rsidRPr="00E04E42">
        <w:t xml:space="preserve">. </w:t>
      </w:r>
      <w:r w:rsidRPr="00E04E42">
        <w:t>OsHV-1 µvar</w:t>
      </w:r>
      <w:r w:rsidR="2D45FC2C" w:rsidRPr="00E04E42">
        <w:t xml:space="preserve"> was first recorded from Tasmania in 2016 (de Kantzow et al. 2017)</w:t>
      </w:r>
      <w:r w:rsidR="626BBBF7" w:rsidRPr="00E04E42">
        <w:t xml:space="preserve"> and in</w:t>
      </w:r>
      <w:r w:rsidRPr="00E04E42">
        <w:t xml:space="preserve"> wild</w:t>
      </w:r>
      <w:r w:rsidR="626BBBF7" w:rsidRPr="00E04E42">
        <w:t xml:space="preserve"> </w:t>
      </w:r>
      <w:r w:rsidR="626BBBF7" w:rsidRPr="00E04E42">
        <w:rPr>
          <w:i/>
          <w:iCs/>
        </w:rPr>
        <w:t xml:space="preserve">M. gigas </w:t>
      </w:r>
      <w:r w:rsidR="626BBBF7" w:rsidRPr="00E04E42">
        <w:t>in Port Adel</w:t>
      </w:r>
      <w:r w:rsidRPr="00E04E42">
        <w:t>ai</w:t>
      </w:r>
      <w:r w:rsidR="626BBBF7" w:rsidRPr="00E04E42">
        <w:t>de in 2018 (PIRSA 2019)</w:t>
      </w:r>
      <w:r w:rsidR="2D45FC2C" w:rsidRPr="00E04E42">
        <w:t xml:space="preserve">. Other herpesviruses have been reported from </w:t>
      </w:r>
      <w:r w:rsidR="2D45FC2C" w:rsidRPr="00E04E42">
        <w:rPr>
          <w:i/>
          <w:iCs/>
        </w:rPr>
        <w:t xml:space="preserve">M. gigas </w:t>
      </w:r>
      <w:r w:rsidR="2D45FC2C" w:rsidRPr="00E04E42">
        <w:t>but have not been associated with as severe disease as with OsHV-1 µvar (Hine</w:t>
      </w:r>
      <w:r w:rsidR="005F7F32" w:rsidRPr="00E04E42">
        <w:t xml:space="preserve"> et al.</w:t>
      </w:r>
      <w:r w:rsidR="2D45FC2C" w:rsidRPr="00E04E42">
        <w:t xml:space="preserve"> </w:t>
      </w:r>
      <w:r w:rsidR="61B3C2D5" w:rsidRPr="00E04E42">
        <w:t>1992</w:t>
      </w:r>
      <w:r w:rsidR="2D45FC2C" w:rsidRPr="00E04E42">
        <w:t>)</w:t>
      </w:r>
      <w:r w:rsidRPr="00E04E42">
        <w:t>.</w:t>
      </w:r>
    </w:p>
    <w:p w14:paraId="3012BDC6" w14:textId="5E6D31D2" w:rsidR="00B600FC" w:rsidRPr="00E04E42" w:rsidRDefault="00B600FC" w:rsidP="00BF317B">
      <w:r w:rsidRPr="00634A79">
        <w:lastRenderedPageBreak/>
        <w:t xml:space="preserve">The development of POMS caused by the virus OsHV-1 µvar is related to water temperature. Under experimental conditions de Kantzow et al. (2016) demonstrated that cumulative mortality of </w:t>
      </w:r>
      <w:r w:rsidRPr="00634A79">
        <w:rPr>
          <w:i/>
          <w:iCs/>
        </w:rPr>
        <w:t>M.</w:t>
      </w:r>
      <w:r w:rsidR="00070E64">
        <w:rPr>
          <w:i/>
          <w:iCs/>
        </w:rPr>
        <w:t> </w:t>
      </w:r>
      <w:r w:rsidRPr="00634A79">
        <w:rPr>
          <w:i/>
          <w:iCs/>
        </w:rPr>
        <w:t xml:space="preserve">gigas </w:t>
      </w:r>
      <w:r w:rsidRPr="00634A79">
        <w:t xml:space="preserve">from POMS was 100% at water temperatures 22 and 24°C and significantly less mortality was observed at 18 and 20°C with no mortality observed at 14°C. </w:t>
      </w:r>
    </w:p>
    <w:p w14:paraId="791624EA" w14:textId="0EEBA4AC" w:rsidR="006939E1" w:rsidRDefault="00B5740F" w:rsidP="00BF317B">
      <w:r w:rsidRPr="00E04E42">
        <w:t xml:space="preserve">Translocation of </w:t>
      </w:r>
      <w:r w:rsidRPr="00E04E42">
        <w:rPr>
          <w:rFonts w:cstheme="minorHAnsi"/>
        </w:rPr>
        <w:t xml:space="preserve">OsHV-1 µvar by </w:t>
      </w:r>
      <w:r w:rsidRPr="00E04E42">
        <w:rPr>
          <w:rFonts w:cstheme="minorHAnsi"/>
          <w:i/>
          <w:iCs/>
        </w:rPr>
        <w:t xml:space="preserve">M. gigas </w:t>
      </w:r>
      <w:r w:rsidRPr="00E04E42">
        <w:rPr>
          <w:rFonts w:cstheme="minorHAnsi"/>
        </w:rPr>
        <w:t xml:space="preserve">under experimental conditions mimicking biofouling assemblages only occurred for one of eight replicates when </w:t>
      </w:r>
      <w:r w:rsidRPr="00E04E42">
        <w:rPr>
          <w:rFonts w:cstheme="minorHAnsi"/>
          <w:i/>
          <w:iCs/>
        </w:rPr>
        <w:t xml:space="preserve">M. gigas </w:t>
      </w:r>
      <w:r w:rsidRPr="00E04E42">
        <w:rPr>
          <w:rFonts w:cstheme="minorHAnsi"/>
        </w:rPr>
        <w:t xml:space="preserve">was the infected species (Fuhrmann et al. 2021). This </w:t>
      </w:r>
      <w:r w:rsidR="007F5F25" w:rsidRPr="00E04E42">
        <w:rPr>
          <w:rFonts w:cstheme="minorHAnsi"/>
        </w:rPr>
        <w:t>was evidence of</w:t>
      </w:r>
      <w:r w:rsidRPr="00E04E42">
        <w:rPr>
          <w:rFonts w:cstheme="minorHAnsi"/>
        </w:rPr>
        <w:t xml:space="preserve"> an empirically demonstrable pathway for spread of pathogens via biofouling containing </w:t>
      </w:r>
      <w:r w:rsidRPr="00E04E42">
        <w:rPr>
          <w:rFonts w:cstheme="minorHAnsi"/>
          <w:i/>
          <w:iCs/>
        </w:rPr>
        <w:t>M. gigas</w:t>
      </w:r>
      <w:r w:rsidRPr="00846769">
        <w:rPr>
          <w:rFonts w:cstheme="minorHAnsi"/>
        </w:rPr>
        <w:t xml:space="preserve">, albeit only a rare instance. </w:t>
      </w:r>
    </w:p>
    <w:p w14:paraId="2A98FD6C" w14:textId="27314151" w:rsidR="00FD10D8" w:rsidRPr="00846769" w:rsidRDefault="00FD10D8" w:rsidP="00BF317B">
      <w:r w:rsidRPr="00E04E42">
        <w:t xml:space="preserve">An </w:t>
      </w:r>
      <w:hyperlink r:id="rId285" w:history="1">
        <w:r w:rsidRPr="00E04E42">
          <w:rPr>
            <w:rStyle w:val="Hyperlink"/>
          </w:rPr>
          <w:t>AQUAVETPLAN manual</w:t>
        </w:r>
      </w:hyperlink>
      <w:r w:rsidRPr="00E04E42">
        <w:t xml:space="preserve"> exists for OsHV-1 µvar</w:t>
      </w:r>
      <w:r w:rsidRPr="00E04E42">
        <w:rPr>
          <w:rStyle w:val="Emphasis"/>
        </w:rPr>
        <w:t xml:space="preserve"> </w:t>
      </w:r>
      <w:r w:rsidRPr="00E04E42">
        <w:rPr>
          <w:rStyle w:val="Emphasis"/>
          <w:i w:val="0"/>
          <w:iCs w:val="0"/>
        </w:rPr>
        <w:t xml:space="preserve">and POMS </w:t>
      </w:r>
      <w:r w:rsidRPr="00E04E42">
        <w:t>that includes information on the pathobiology, epidemiology, diagnostic methods, and methods to control and eradicate the pathogen in Australia (DAFF 2015).</w:t>
      </w:r>
    </w:p>
    <w:p w14:paraId="6193206A" w14:textId="1CEE308D" w:rsidR="006939E1" w:rsidRPr="00E04E42" w:rsidRDefault="2D45FC2C" w:rsidP="00BF317B">
      <w:r w:rsidRPr="00846769">
        <w:t xml:space="preserve">The parasite </w:t>
      </w:r>
      <w:proofErr w:type="spellStart"/>
      <w:r w:rsidRPr="00846769">
        <w:rPr>
          <w:i/>
          <w:iCs/>
        </w:rPr>
        <w:t>Haplosporidium</w:t>
      </w:r>
      <w:proofErr w:type="spellEnd"/>
      <w:r w:rsidRPr="00846769">
        <w:rPr>
          <w:i/>
          <w:iCs/>
        </w:rPr>
        <w:t xml:space="preserve"> nelsoni </w:t>
      </w:r>
      <w:r w:rsidRPr="00846769">
        <w:t xml:space="preserve">was reported to have been introduced into the Chesapeake Bay with infected </w:t>
      </w:r>
      <w:r w:rsidRPr="00846769">
        <w:rPr>
          <w:i/>
          <w:iCs/>
        </w:rPr>
        <w:t xml:space="preserve">M. </w:t>
      </w:r>
      <w:r w:rsidRPr="00E04E42">
        <w:rPr>
          <w:i/>
          <w:iCs/>
        </w:rPr>
        <w:t>giga</w:t>
      </w:r>
      <w:r w:rsidRPr="00E04E42">
        <w:t>s (S</w:t>
      </w:r>
      <w:r w:rsidR="01E68F56" w:rsidRPr="00E04E42">
        <w:t>tokes</w:t>
      </w:r>
      <w:r w:rsidRPr="00E04E42">
        <w:t xml:space="preserve"> &amp; B</w:t>
      </w:r>
      <w:r w:rsidR="4A534343" w:rsidRPr="00E04E42">
        <w:t>urreson</w:t>
      </w:r>
      <w:r w:rsidRPr="00E04E42">
        <w:t xml:space="preserve"> 1995). </w:t>
      </w:r>
      <w:proofErr w:type="spellStart"/>
      <w:r w:rsidRPr="00E04E42">
        <w:rPr>
          <w:i/>
          <w:iCs/>
        </w:rPr>
        <w:t>Haplosporidium</w:t>
      </w:r>
      <w:proofErr w:type="spellEnd"/>
      <w:r w:rsidRPr="00E04E42">
        <w:rPr>
          <w:i/>
          <w:iCs/>
        </w:rPr>
        <w:t xml:space="preserve"> nelson</w:t>
      </w:r>
      <w:r w:rsidR="00FD10D8">
        <w:rPr>
          <w:i/>
          <w:iCs/>
        </w:rPr>
        <w:t>i</w:t>
      </w:r>
      <w:r w:rsidRPr="00E04E42">
        <w:rPr>
          <w:i/>
          <w:iCs/>
        </w:rPr>
        <w:t xml:space="preserve"> </w:t>
      </w:r>
      <w:r w:rsidRPr="00E04E42">
        <w:t>is also known as multinucleated sphere unknown (MSX) and following its introduc</w:t>
      </w:r>
      <w:r w:rsidR="36F4BF68" w:rsidRPr="00E04E42">
        <w:t>tion</w:t>
      </w:r>
      <w:r w:rsidR="007F5F25" w:rsidRPr="00E04E42">
        <w:t xml:space="preserve">, </w:t>
      </w:r>
      <w:r w:rsidRPr="00E04E42">
        <w:t>it significantly impacted farmed and wild populations of the native American oyster</w:t>
      </w:r>
      <w:r w:rsidR="476F0CAF" w:rsidRPr="00E04E42">
        <w:t>,</w:t>
      </w:r>
      <w:r w:rsidRPr="00E04E42">
        <w:t xml:space="preserve"> </w:t>
      </w:r>
      <w:r w:rsidRPr="00E04E42">
        <w:rPr>
          <w:i/>
          <w:iCs/>
        </w:rPr>
        <w:t>Crassostrea virginica</w:t>
      </w:r>
      <w:r w:rsidRPr="00E04E42">
        <w:t>.</w:t>
      </w:r>
      <w:r w:rsidR="0042210F" w:rsidRPr="00E04E42">
        <w:t xml:space="preserve"> In contrast, movement of </w:t>
      </w:r>
      <w:r w:rsidR="0042210F" w:rsidRPr="00E04E42">
        <w:rPr>
          <w:i/>
          <w:iCs/>
        </w:rPr>
        <w:t xml:space="preserve">M. gigas </w:t>
      </w:r>
      <w:r w:rsidR="0042210F" w:rsidRPr="00E04E42">
        <w:t xml:space="preserve">to France from the USA resulted in the co-introduction of </w:t>
      </w:r>
      <w:r w:rsidR="0042210F" w:rsidRPr="00E04E42">
        <w:rPr>
          <w:i/>
          <w:iCs/>
        </w:rPr>
        <w:t xml:space="preserve">H. nelsoni, </w:t>
      </w:r>
      <w:r w:rsidR="0042210F" w:rsidRPr="00E04E42">
        <w:t>but no consequences have been identified to-date</w:t>
      </w:r>
      <w:r w:rsidR="00286468" w:rsidRPr="00E04E42">
        <w:t>.</w:t>
      </w:r>
    </w:p>
    <w:p w14:paraId="644F62A4" w14:textId="2CA365C6" w:rsidR="006939E1" w:rsidRPr="00E04E42" w:rsidRDefault="2D45FC2C" w:rsidP="00BF317B">
      <w:r w:rsidRPr="00E04E42">
        <w:rPr>
          <w:i/>
          <w:iCs/>
        </w:rPr>
        <w:t xml:space="preserve">Magallana gigas </w:t>
      </w:r>
      <w:r w:rsidRPr="00E04E42">
        <w:t>is known to be affected by several other diseases. The parasitic copepod</w:t>
      </w:r>
      <w:r w:rsidR="08912970" w:rsidRPr="00E04E42">
        <w:t>,</w:t>
      </w:r>
      <w:r w:rsidRPr="00E04E42">
        <w:t xml:space="preserve"> </w:t>
      </w:r>
      <w:proofErr w:type="spellStart"/>
      <w:r w:rsidRPr="00E04E42">
        <w:rPr>
          <w:i/>
          <w:iCs/>
        </w:rPr>
        <w:t>Mytilicola</w:t>
      </w:r>
      <w:proofErr w:type="spellEnd"/>
      <w:r w:rsidRPr="00E04E42">
        <w:rPr>
          <w:i/>
          <w:iCs/>
        </w:rPr>
        <w:t xml:space="preserve"> </w:t>
      </w:r>
      <w:proofErr w:type="spellStart"/>
      <w:r w:rsidRPr="00E04E42">
        <w:rPr>
          <w:i/>
          <w:iCs/>
        </w:rPr>
        <w:t>orientalis</w:t>
      </w:r>
      <w:proofErr w:type="spellEnd"/>
      <w:r w:rsidR="47F9E149" w:rsidRPr="00E04E42">
        <w:rPr>
          <w:i/>
          <w:iCs/>
        </w:rPr>
        <w:t>,</w:t>
      </w:r>
      <w:r w:rsidRPr="00E04E42">
        <w:rPr>
          <w:i/>
          <w:iCs/>
        </w:rPr>
        <w:t xml:space="preserve"> </w:t>
      </w:r>
      <w:r w:rsidRPr="00E04E42">
        <w:t xml:space="preserve">has spread throughout Europe associated with movements of </w:t>
      </w:r>
      <w:r w:rsidRPr="00E04E42">
        <w:rPr>
          <w:i/>
          <w:iCs/>
        </w:rPr>
        <w:t>M. gigas</w:t>
      </w:r>
      <w:r w:rsidRPr="00E04E42">
        <w:t xml:space="preserve">. The copepod has impacted native species such as </w:t>
      </w:r>
      <w:r w:rsidRPr="00E04E42">
        <w:rPr>
          <w:i/>
          <w:iCs/>
        </w:rPr>
        <w:t xml:space="preserve">Mytilus </w:t>
      </w:r>
      <w:proofErr w:type="spellStart"/>
      <w:r w:rsidRPr="00E04E42">
        <w:rPr>
          <w:i/>
          <w:iCs/>
        </w:rPr>
        <w:t>edilus</w:t>
      </w:r>
      <w:proofErr w:type="spellEnd"/>
      <w:r w:rsidRPr="00E04E42">
        <w:t xml:space="preserve">, </w:t>
      </w:r>
      <w:proofErr w:type="spellStart"/>
      <w:r w:rsidRPr="00E04E42">
        <w:rPr>
          <w:i/>
          <w:iCs/>
        </w:rPr>
        <w:t>Cerastoderma</w:t>
      </w:r>
      <w:proofErr w:type="spellEnd"/>
      <w:r w:rsidRPr="00E04E42">
        <w:rPr>
          <w:i/>
          <w:iCs/>
        </w:rPr>
        <w:t xml:space="preserve"> </w:t>
      </w:r>
      <w:proofErr w:type="spellStart"/>
      <w:r w:rsidRPr="00E04E42">
        <w:rPr>
          <w:i/>
          <w:iCs/>
        </w:rPr>
        <w:t>edule</w:t>
      </w:r>
      <w:proofErr w:type="spellEnd"/>
      <w:r w:rsidRPr="00E04E42">
        <w:rPr>
          <w:i/>
          <w:iCs/>
        </w:rPr>
        <w:t xml:space="preserve"> </w:t>
      </w:r>
      <w:r w:rsidRPr="00E04E42">
        <w:t xml:space="preserve">and </w:t>
      </w:r>
      <w:proofErr w:type="spellStart"/>
      <w:r w:rsidRPr="00E04E42">
        <w:rPr>
          <w:i/>
          <w:iCs/>
        </w:rPr>
        <w:t>Macomoa</w:t>
      </w:r>
      <w:proofErr w:type="spellEnd"/>
      <w:r w:rsidRPr="00E04E42">
        <w:rPr>
          <w:i/>
          <w:iCs/>
        </w:rPr>
        <w:t xml:space="preserve"> </w:t>
      </w:r>
      <w:proofErr w:type="spellStart"/>
      <w:r w:rsidRPr="00E04E42">
        <w:rPr>
          <w:i/>
          <w:iCs/>
        </w:rPr>
        <w:t>balthica</w:t>
      </w:r>
      <w:proofErr w:type="spellEnd"/>
      <w:r w:rsidRPr="00E04E42">
        <w:rPr>
          <w:i/>
          <w:iCs/>
        </w:rPr>
        <w:t xml:space="preserve"> </w:t>
      </w:r>
      <w:r w:rsidRPr="00E04E42">
        <w:t>(</w:t>
      </w:r>
      <w:proofErr w:type="spellStart"/>
      <w:r w:rsidRPr="00E04E42">
        <w:t>Goedknegt</w:t>
      </w:r>
      <w:proofErr w:type="spellEnd"/>
      <w:r w:rsidRPr="00E04E42">
        <w:t xml:space="preserve"> et al. 2020). A fungus</w:t>
      </w:r>
      <w:r w:rsidR="077EEF04" w:rsidRPr="00E04E42">
        <w:t>,</w:t>
      </w:r>
      <w:r w:rsidRPr="00E04E42">
        <w:t xml:space="preserve"> </w:t>
      </w:r>
      <w:proofErr w:type="spellStart"/>
      <w:r w:rsidRPr="00E04E42">
        <w:rPr>
          <w:i/>
          <w:iCs/>
        </w:rPr>
        <w:t>Ostracoblade</w:t>
      </w:r>
      <w:proofErr w:type="spellEnd"/>
      <w:r w:rsidRPr="00E04E42">
        <w:rPr>
          <w:i/>
          <w:iCs/>
        </w:rPr>
        <w:t xml:space="preserve"> </w:t>
      </w:r>
      <w:proofErr w:type="spellStart"/>
      <w:r w:rsidRPr="00E04E42">
        <w:rPr>
          <w:i/>
          <w:iCs/>
        </w:rPr>
        <w:t>implexa</w:t>
      </w:r>
      <w:proofErr w:type="spellEnd"/>
      <w:r w:rsidR="2D751DDB" w:rsidRPr="00E04E42">
        <w:rPr>
          <w:i/>
          <w:iCs/>
        </w:rPr>
        <w:t>,</w:t>
      </w:r>
      <w:r w:rsidRPr="00E04E42">
        <w:rPr>
          <w:i/>
          <w:iCs/>
        </w:rPr>
        <w:t xml:space="preserve"> </w:t>
      </w:r>
      <w:r w:rsidRPr="00E04E42">
        <w:t xml:space="preserve">has also been spread into new areas of Europe because of </w:t>
      </w:r>
      <w:r w:rsidRPr="00E04E42">
        <w:rPr>
          <w:i/>
          <w:iCs/>
        </w:rPr>
        <w:t xml:space="preserve">M. gigas </w:t>
      </w:r>
      <w:r w:rsidRPr="00E04E42">
        <w:t>movements (Blakeslee et al. 2013).</w:t>
      </w:r>
    </w:p>
    <w:p w14:paraId="54880924" w14:textId="77777777" w:rsidR="006939E1" w:rsidRPr="00E04E42" w:rsidRDefault="00B5740F" w:rsidP="00BF317B">
      <w:proofErr w:type="spellStart"/>
      <w:r w:rsidRPr="00E04E42">
        <w:rPr>
          <w:i/>
          <w:iCs/>
        </w:rPr>
        <w:t>Bonamia</w:t>
      </w:r>
      <w:proofErr w:type="spellEnd"/>
      <w:r w:rsidRPr="00E04E42">
        <w:t xml:space="preserve">-like parasites have been observed in </w:t>
      </w:r>
      <w:r w:rsidRPr="00E04E42">
        <w:rPr>
          <w:i/>
          <w:iCs/>
        </w:rPr>
        <w:t xml:space="preserve">M. gigas </w:t>
      </w:r>
      <w:r w:rsidRPr="00E04E42">
        <w:t xml:space="preserve">and DNA sequences matching </w:t>
      </w:r>
      <w:r w:rsidRPr="00E04E42">
        <w:rPr>
          <w:i/>
          <w:iCs/>
        </w:rPr>
        <w:t xml:space="preserve">B. </w:t>
      </w:r>
      <w:proofErr w:type="spellStart"/>
      <w:r w:rsidRPr="00E04E42">
        <w:rPr>
          <w:i/>
          <w:iCs/>
        </w:rPr>
        <w:t>ostreae</w:t>
      </w:r>
      <w:proofErr w:type="spellEnd"/>
      <w:r w:rsidRPr="00E04E42">
        <w:rPr>
          <w:i/>
          <w:iCs/>
        </w:rPr>
        <w:t xml:space="preserve"> </w:t>
      </w:r>
      <w:r w:rsidRPr="00E04E42">
        <w:t xml:space="preserve">have been reported from </w:t>
      </w:r>
      <w:r w:rsidRPr="00E04E42">
        <w:rPr>
          <w:i/>
          <w:iCs/>
        </w:rPr>
        <w:t>M. gigas</w:t>
      </w:r>
      <w:r w:rsidRPr="00E04E42">
        <w:t xml:space="preserve"> (Diggles 2003; Lynch et al. 2010). No confirmatory diagnosis of </w:t>
      </w:r>
      <w:proofErr w:type="spellStart"/>
      <w:r w:rsidRPr="00E04E42">
        <w:rPr>
          <w:i/>
          <w:iCs/>
        </w:rPr>
        <w:t>Bonamia</w:t>
      </w:r>
      <w:proofErr w:type="spellEnd"/>
      <w:r w:rsidRPr="00E04E42">
        <w:rPr>
          <w:i/>
          <w:iCs/>
        </w:rPr>
        <w:t xml:space="preserve"> </w:t>
      </w:r>
      <w:r w:rsidRPr="00E04E42">
        <w:t xml:space="preserve">sp. has been made from </w:t>
      </w:r>
      <w:r w:rsidRPr="00E04E42">
        <w:rPr>
          <w:i/>
          <w:iCs/>
        </w:rPr>
        <w:t>M. gigas</w:t>
      </w:r>
      <w:r w:rsidRPr="00E04E42">
        <w:t xml:space="preserve">. </w:t>
      </w:r>
    </w:p>
    <w:p w14:paraId="0B5DFA8C" w14:textId="63EAEBC0" w:rsidR="00930F41" w:rsidRPr="00846769" w:rsidRDefault="00930F41" w:rsidP="00BF317B">
      <w:r w:rsidRPr="00E04E42">
        <w:rPr>
          <w:i/>
          <w:iCs/>
        </w:rPr>
        <w:t xml:space="preserve">Magallana gigas </w:t>
      </w:r>
      <w:r w:rsidRPr="00E04E42">
        <w:t xml:space="preserve">can be infected by bacteria from the </w:t>
      </w:r>
      <w:r w:rsidRPr="00E04E42">
        <w:rPr>
          <w:i/>
          <w:iCs/>
        </w:rPr>
        <w:t xml:space="preserve">Vibrio </w:t>
      </w:r>
      <w:r w:rsidRPr="00E04E42">
        <w:t xml:space="preserve">genus. These infections can cause mass mortalities in cultivated </w:t>
      </w:r>
      <w:r w:rsidRPr="00E04E42">
        <w:rPr>
          <w:i/>
          <w:iCs/>
        </w:rPr>
        <w:t xml:space="preserve">M. gigas </w:t>
      </w:r>
      <w:r w:rsidRPr="00E04E42">
        <w:t>(Coyle et al. 2023), and several</w:t>
      </w:r>
      <w:r w:rsidRPr="00846769">
        <w:t xml:space="preserve"> </w:t>
      </w:r>
      <w:r w:rsidRPr="00846769">
        <w:rPr>
          <w:i/>
          <w:iCs/>
        </w:rPr>
        <w:t xml:space="preserve">Vibrio </w:t>
      </w:r>
      <w:r w:rsidRPr="00846769">
        <w:t xml:space="preserve">spp. can cause infections in humans. </w:t>
      </w:r>
    </w:p>
    <w:p w14:paraId="628B2444" w14:textId="5DFC3589" w:rsidR="006E2BD2" w:rsidRPr="00846769" w:rsidRDefault="006E2BD2" w:rsidP="006E2BD2">
      <w:pPr>
        <w:pStyle w:val="Heading2"/>
        <w:numPr>
          <w:ilvl w:val="0"/>
          <w:numId w:val="0"/>
        </w:numPr>
      </w:pPr>
      <w:bookmarkStart w:id="716" w:name="_Appendix_B:_High"/>
      <w:bookmarkStart w:id="717" w:name="_Appendix_B:_Some"/>
      <w:bookmarkStart w:id="718" w:name="_Appendix_C:_Using_1"/>
      <w:bookmarkStart w:id="719" w:name="_Appendix_B:_Policy"/>
      <w:bookmarkStart w:id="720" w:name="_Toc151557957"/>
      <w:bookmarkStart w:id="721" w:name="_Toc191998683"/>
      <w:bookmarkStart w:id="722" w:name="_Toc87599122"/>
      <w:bookmarkEnd w:id="716"/>
      <w:bookmarkEnd w:id="717"/>
      <w:bookmarkEnd w:id="718"/>
      <w:bookmarkEnd w:id="719"/>
      <w:r w:rsidRPr="00846769">
        <w:lastRenderedPageBreak/>
        <w:t xml:space="preserve">Appendix </w:t>
      </w:r>
      <w:r w:rsidR="002E766A" w:rsidRPr="00846769">
        <w:t>B</w:t>
      </w:r>
      <w:r w:rsidRPr="00846769">
        <w:t xml:space="preserve">: Policy principles for determining the </w:t>
      </w:r>
      <w:proofErr w:type="gramStart"/>
      <w:r w:rsidRPr="00846769">
        <w:t>current status</w:t>
      </w:r>
      <w:proofErr w:type="gramEnd"/>
      <w:r w:rsidRPr="00846769">
        <w:t xml:space="preserve"> of marine pests</w:t>
      </w:r>
      <w:bookmarkEnd w:id="720"/>
      <w:bookmarkEnd w:id="721"/>
    </w:p>
    <w:p w14:paraId="0EFB23F1" w14:textId="77777777" w:rsidR="006E2BD2" w:rsidRPr="00846769" w:rsidRDefault="006E2BD2" w:rsidP="006E2BD2">
      <w:r w:rsidRPr="00846769">
        <w:t xml:space="preserve">The policy principles provide a flexible approach to determining current pest status of marine pests and in the absence of agreed surveillance approaches (currently under development), general policy principles should be applied, rather than adopting a prescriptive policy. General policy principles that have been identified include: </w:t>
      </w:r>
    </w:p>
    <w:p w14:paraId="539E82DB" w14:textId="212F2545" w:rsidR="006E2BD2" w:rsidRPr="00846769" w:rsidRDefault="006E2BD2" w:rsidP="006E2BD2">
      <w:pPr>
        <w:pStyle w:val="ListBullet"/>
      </w:pPr>
      <w:r w:rsidRPr="00846769">
        <w:t xml:space="preserve">For incidents where the </w:t>
      </w:r>
      <w:bookmarkStart w:id="723" w:name="_Hlk132188634"/>
      <w:r w:rsidRPr="00846769">
        <w:t xml:space="preserve">Consultative Committee on Introduced Marine Pest Emergencies </w:t>
      </w:r>
      <w:bookmarkEnd w:id="723"/>
      <w:r w:rsidRPr="00846769">
        <w:t>(CCIMPE) convenes and provides advice to the National Management Group (NMG), CCIMPE will recommend processes to determine pest status (</w:t>
      </w:r>
      <w:r w:rsidR="0004422F">
        <w:t>e.g.</w:t>
      </w:r>
      <w:r w:rsidRPr="00846769">
        <w:t xml:space="preserve"> likely present, likely absent, or unknown) and propose a pest status confidence level on a case-by-case basis. </w:t>
      </w:r>
    </w:p>
    <w:p w14:paraId="030EEF24" w14:textId="77777777" w:rsidR="006E2BD2" w:rsidRPr="00846769" w:rsidRDefault="006E2BD2" w:rsidP="006E2BD2">
      <w:pPr>
        <w:pStyle w:val="ListBullet"/>
      </w:pPr>
      <w:r w:rsidRPr="00846769">
        <w:t xml:space="preserve">For incidents that are not referred to the NMG, the combat jurisdiction decides on processes to determine pest status. CCIMPE may still provide non-binding advice as part of this decision. </w:t>
      </w:r>
    </w:p>
    <w:p w14:paraId="6EF8FAE9" w14:textId="5908CA5C" w:rsidR="006E2BD2" w:rsidRPr="00846769" w:rsidRDefault="006E2BD2" w:rsidP="006E2BD2">
      <w:pPr>
        <w:pStyle w:val="ListBullet"/>
      </w:pPr>
      <w:r w:rsidRPr="00846769">
        <w:t>In scenarios not related to specific pest incursions (</w:t>
      </w:r>
      <w:r w:rsidR="0004422F">
        <w:t>e.g.</w:t>
      </w:r>
      <w:r w:rsidRPr="00846769">
        <w:t xml:space="preserve"> aquaculture site selection), jurisdictions will make the determination of presence (including range)/absence of a pest within their jurisdictional waters. </w:t>
      </w:r>
    </w:p>
    <w:p w14:paraId="60BEBDBF" w14:textId="77777777" w:rsidR="006E2BD2" w:rsidRPr="00846769" w:rsidRDefault="006E2BD2" w:rsidP="006E2BD2">
      <w:pPr>
        <w:pStyle w:val="ListBullet"/>
      </w:pPr>
      <w:r w:rsidRPr="00846769">
        <w:t>It should be noted that pest status is valid as of the time of most recent determination but subject to change due to on-going introduction risk over time. Pest status determinations may therefore need to be repeated, with frequency dependent on the risk of introduction.</w:t>
      </w:r>
    </w:p>
    <w:p w14:paraId="108237F5" w14:textId="77777777" w:rsidR="006E2BD2" w:rsidRPr="00846769" w:rsidRDefault="006E2BD2" w:rsidP="006E2BD2">
      <w:pPr>
        <w:pStyle w:val="ListBullet"/>
      </w:pPr>
      <w:r w:rsidRPr="00846769">
        <w:t>Surveillance methods used in determining pest status should be recorded and shared upon request.</w:t>
      </w:r>
    </w:p>
    <w:p w14:paraId="6EA9773C" w14:textId="77777777" w:rsidR="006E2BD2" w:rsidRPr="00846769" w:rsidRDefault="006E2BD2" w:rsidP="006E2BD2">
      <w:pPr>
        <w:pStyle w:val="ListBullet"/>
      </w:pPr>
      <w:r w:rsidRPr="00846769">
        <w:t xml:space="preserve">Both quantitative and qualitative determinations of pest status can be used, as appropriate for the marine pest, location, and conditions. </w:t>
      </w:r>
    </w:p>
    <w:p w14:paraId="42BA5D9F" w14:textId="6A3FBB6C" w:rsidR="004108AC" w:rsidRPr="00846769" w:rsidRDefault="006E2BD2" w:rsidP="006E2BD2">
      <w:pPr>
        <w:pStyle w:val="ListBullet"/>
      </w:pPr>
      <w:r w:rsidRPr="00846769">
        <w:t xml:space="preserve">Methods used should be appropriate for the target species; pest biology should be considered with respect to surveillance duration, timing, and sampling method. </w:t>
      </w:r>
    </w:p>
    <w:p w14:paraId="43F76758" w14:textId="2A061872" w:rsidR="004108AC" w:rsidRPr="004108AC" w:rsidRDefault="006E2BD2" w:rsidP="004108AC">
      <w:pPr>
        <w:pStyle w:val="ListBullet"/>
        <w:rPr>
          <w:rFonts w:eastAsia="Times New Roman"/>
        </w:rPr>
        <w:sectPr w:rsidR="004108AC" w:rsidRPr="004108AC" w:rsidSect="004108AC">
          <w:type w:val="continuous"/>
          <w:pgSz w:w="11906" w:h="16838"/>
          <w:pgMar w:top="1440" w:right="1440" w:bottom="1440" w:left="1440" w:header="709" w:footer="709" w:gutter="0"/>
          <w:cols w:space="708"/>
          <w:docGrid w:linePitch="360"/>
        </w:sectPr>
      </w:pPr>
      <w:r w:rsidRPr="004108AC">
        <w:rPr>
          <w:rFonts w:eastAsia="Times New Roman"/>
        </w:rPr>
        <w:t>For quantitative determinations, quality assurance data are required for method accuracy as applied to the relevant situation (target species, habitat type etc.). Specifically, quantifying current pest status requires, amongst other things, knowledge of the likelihood of false negatives (failure to detect pests when present) and of false positives (apparent detection of species that are not present)</w:t>
      </w:r>
      <w:r w:rsidR="004108AC" w:rsidRPr="004108AC">
        <w:rPr>
          <w:rFonts w:eastAsia="Times New Roman"/>
        </w:rPr>
        <w:t>.</w:t>
      </w:r>
      <w:r w:rsidRPr="00846769">
        <w:rPr>
          <w:rStyle w:val="FootnoteReference"/>
          <w:rFonts w:eastAsia="Times New Roman"/>
        </w:rPr>
        <w:footnoteReference w:id="7"/>
      </w:r>
    </w:p>
    <w:p w14:paraId="4CCE6F01" w14:textId="77777777" w:rsidR="006E2BD2" w:rsidRPr="00846769" w:rsidRDefault="006E2BD2" w:rsidP="006E2BD2">
      <w:pPr>
        <w:pStyle w:val="ListBullet2"/>
      </w:pPr>
      <w:r w:rsidRPr="00846769">
        <w:lastRenderedPageBreak/>
        <w:t>For eDNA approaches, the performance of both sampling collection methods and of the molecular tests applied need to be understood to provide quantitative determinations. Effects of sample timing on likelihood of detection should also be considered.</w:t>
      </w:r>
    </w:p>
    <w:p w14:paraId="26855168" w14:textId="0579F06F" w:rsidR="006E2BD2" w:rsidRPr="00846769" w:rsidRDefault="006E2BD2" w:rsidP="006E2BD2">
      <w:pPr>
        <w:pStyle w:val="ListBullet2"/>
      </w:pPr>
      <w:r w:rsidRPr="00846769">
        <w:t xml:space="preserve">Qualitative determination can be made where the method has been appropriately demonstrated but its performance has yet to be quantified, </w:t>
      </w:r>
      <w:r w:rsidR="0004422F">
        <w:t>e.g.</w:t>
      </w:r>
      <w:r w:rsidRPr="00846769">
        <w:t xml:space="preserve"> eDNA methods that have demonstrated detections in appropriate sample types but where the specific likelihood of false negatives and false positives is unknown.</w:t>
      </w:r>
    </w:p>
    <w:p w14:paraId="6390C6AA" w14:textId="77777777" w:rsidR="006E2BD2" w:rsidRPr="00846769" w:rsidRDefault="006E2BD2" w:rsidP="006E2BD2">
      <w:pPr>
        <w:pStyle w:val="ListBullet2"/>
      </w:pPr>
      <w:r w:rsidRPr="00846769">
        <w:t>Methods that allow quantitative determination should be applied in preference where feasible.</w:t>
      </w:r>
    </w:p>
    <w:p w14:paraId="44225753" w14:textId="77777777" w:rsidR="006E2BD2" w:rsidRPr="00846769" w:rsidRDefault="006E2BD2" w:rsidP="006E2BD2">
      <w:pPr>
        <w:pStyle w:val="ListBullet2"/>
      </w:pPr>
      <w:r w:rsidRPr="00846769">
        <w:t>Pest status cannot be determined with any confidence if methods have not been validated or are inappropriate for the circumstance.</w:t>
      </w:r>
    </w:p>
    <w:p w14:paraId="747CF6BF" w14:textId="77777777" w:rsidR="006E2BD2" w:rsidRPr="00846769" w:rsidRDefault="006E2BD2" w:rsidP="006E2BD2">
      <w:pPr>
        <w:pStyle w:val="ListBullet"/>
      </w:pPr>
      <w:r w:rsidRPr="00846769">
        <w:rPr>
          <w:rStyle w:val="ui-provider"/>
        </w:rPr>
        <w:t>Management implications should be considered, and caution applied when making pest status determinations because the level of confidence in presence or absence will depend on the extent and effectiveness of surveillance</w:t>
      </w:r>
      <w:r w:rsidRPr="00846769" w:rsidDel="00854102">
        <w:t xml:space="preserve"> </w:t>
      </w:r>
      <w:r w:rsidRPr="00846769">
        <w:t xml:space="preserve">methods used in determining pest status. </w:t>
      </w:r>
    </w:p>
    <w:p w14:paraId="7912F74B" w14:textId="77777777" w:rsidR="006E2BD2" w:rsidRPr="00846769" w:rsidRDefault="006E2BD2" w:rsidP="006E2BD2">
      <w:pPr>
        <w:pStyle w:val="ListBullet"/>
        <w:numPr>
          <w:ilvl w:val="0"/>
          <w:numId w:val="0"/>
        </w:numPr>
        <w:ind w:left="426"/>
      </w:pPr>
    </w:p>
    <w:p w14:paraId="67A5E677" w14:textId="77777777" w:rsidR="006E2BD2" w:rsidRPr="00846769" w:rsidRDefault="006E2BD2" w:rsidP="006E2BD2"/>
    <w:p w14:paraId="6287448F" w14:textId="77777777" w:rsidR="006E2BD2" w:rsidRPr="00846769" w:rsidRDefault="006E2BD2" w:rsidP="006E2BD2"/>
    <w:p w14:paraId="7A5E2046" w14:textId="77777777" w:rsidR="006E2BD2" w:rsidRPr="00846769" w:rsidRDefault="006E2BD2" w:rsidP="006E2BD2">
      <w:pPr>
        <w:spacing w:after="160" w:line="259" w:lineRule="auto"/>
      </w:pPr>
      <w:r w:rsidRPr="00846769">
        <w:br w:type="page"/>
      </w:r>
    </w:p>
    <w:p w14:paraId="5AEA5CFC" w14:textId="75E4D46A" w:rsidR="006939E1" w:rsidRPr="00846769" w:rsidRDefault="00B5740F" w:rsidP="00BF317B">
      <w:pPr>
        <w:pStyle w:val="Heading2"/>
        <w:numPr>
          <w:ilvl w:val="0"/>
          <w:numId w:val="0"/>
        </w:numPr>
      </w:pPr>
      <w:bookmarkStart w:id="724" w:name="_Appendix_C:_Using_2"/>
      <w:bookmarkStart w:id="725" w:name="_Toc191998684"/>
      <w:bookmarkEnd w:id="724"/>
      <w:r w:rsidRPr="00846769">
        <w:lastRenderedPageBreak/>
        <w:t xml:space="preserve">Appendix </w:t>
      </w:r>
      <w:r w:rsidR="002E766A" w:rsidRPr="00846769">
        <w:t>C</w:t>
      </w:r>
      <w:r w:rsidRPr="00846769">
        <w:t xml:space="preserve">: Using the </w:t>
      </w:r>
      <w:r w:rsidRPr="00846769">
        <w:rPr>
          <w:rStyle w:val="Emphasis"/>
        </w:rPr>
        <w:t>Biosecurity Act 2015</w:t>
      </w:r>
      <w:r w:rsidRPr="00846769">
        <w:t xml:space="preserve"> during an emergency response</w:t>
      </w:r>
      <w:bookmarkEnd w:id="687"/>
      <w:bookmarkEnd w:id="722"/>
      <w:bookmarkEnd w:id="725"/>
    </w:p>
    <w:p w14:paraId="6BFE03EA" w14:textId="6586C08F" w:rsidR="006939E1" w:rsidRPr="00846769" w:rsidRDefault="00B5740F" w:rsidP="00BF317B">
      <w:pPr>
        <w:shd w:val="clear" w:color="auto" w:fill="FFFFFF" w:themeFill="background1"/>
      </w:pPr>
      <w:r w:rsidRPr="00846769">
        <w:t xml:space="preserve">The following is an interim process for using the </w:t>
      </w:r>
      <w:r w:rsidRPr="00846769">
        <w:rPr>
          <w:rStyle w:val="Emphasis"/>
        </w:rPr>
        <w:t>Biosecurity Act 2015</w:t>
      </w:r>
      <w:r w:rsidRPr="00846769">
        <w:t xml:space="preserve"> (the Act) for action on vessels to treat contaminations by a marine pest of national significance. The </w:t>
      </w:r>
      <w:r w:rsidR="003A4D90" w:rsidRPr="00846769">
        <w:rPr>
          <w:i/>
          <w:iCs/>
        </w:rPr>
        <w:t>Biosecurity Act 2015</w:t>
      </w:r>
      <w:r w:rsidRPr="00846769">
        <w:t xml:space="preserve"> may be used in certain circumstances, including where a biosecurity officer suspects on reasonable grounds</w:t>
      </w:r>
      <w:r w:rsidR="003A4D90" w:rsidRPr="00846769">
        <w:t>,</w:t>
      </w:r>
      <w:r w:rsidRPr="00846769">
        <w:t xml:space="preserve"> that the level of biosecurity risk associated with the vessel is unacceptable. Under these circumstances, a biosecurity officer may, in relation to a vessel that is under biosecurity control, direct:</w:t>
      </w:r>
    </w:p>
    <w:p w14:paraId="0AE91615" w14:textId="7D9621A3" w:rsidR="006939E1" w:rsidRPr="00846769" w:rsidRDefault="00B5740F" w:rsidP="00BF317B">
      <w:pPr>
        <w:pStyle w:val="ListBullet"/>
      </w:pPr>
      <w:r w:rsidRPr="00846769">
        <w:t>the person in charge or operator of a vessel not to move, interfere with</w:t>
      </w:r>
      <w:r w:rsidR="003A4D90" w:rsidRPr="00846769">
        <w:t>,</w:t>
      </w:r>
      <w:r w:rsidRPr="00846769">
        <w:t xml:space="preserve"> or deal with the vessel</w:t>
      </w:r>
    </w:p>
    <w:p w14:paraId="2B00D0AA" w14:textId="77777777" w:rsidR="006939E1" w:rsidRPr="00846769" w:rsidRDefault="00B5740F">
      <w:pPr>
        <w:pStyle w:val="ListBullet"/>
      </w:pPr>
      <w:r w:rsidRPr="00846769">
        <w:t>the person in charge or operator of a vessel to move the vessel to a specified place, including a place outside of Australian territory</w:t>
      </w:r>
    </w:p>
    <w:p w14:paraId="5951C39A" w14:textId="77777777" w:rsidR="006939E1" w:rsidRPr="00846769" w:rsidRDefault="00B5740F">
      <w:pPr>
        <w:pStyle w:val="ListBullet"/>
      </w:pPr>
      <w:r w:rsidRPr="00846769">
        <w:t>a vessel to undergo treatment action deemed necessary by the biosecurity officer</w:t>
      </w:r>
    </w:p>
    <w:p w14:paraId="30C9CD7A" w14:textId="77777777" w:rsidR="006939E1" w:rsidRPr="00846769" w:rsidRDefault="00B5740F">
      <w:pPr>
        <w:pStyle w:val="ListBullet"/>
      </w:pPr>
      <w:r w:rsidRPr="00846769">
        <w:t>that other biosecurity measures which may be prescribed by regulations be undertaken.</w:t>
      </w:r>
    </w:p>
    <w:p w14:paraId="48DC95B0" w14:textId="232C746E" w:rsidR="006939E1" w:rsidRPr="00846769" w:rsidRDefault="00B5740F" w:rsidP="00BF317B">
      <w:pPr>
        <w:pStyle w:val="ListBullet"/>
        <w:numPr>
          <w:ilvl w:val="0"/>
          <w:numId w:val="0"/>
        </w:numPr>
      </w:pPr>
      <w:r w:rsidRPr="00846769">
        <w:t xml:space="preserve">In addition, biosecurity officers may exercise certain powers, such as taking samples of ballast water from vessels, for the purpose of monitoring compliance with provisions for the management of ballast water at a port or offshore terminal within the outer limits of the </w:t>
      </w:r>
      <w:r w:rsidR="003A4D90" w:rsidRPr="00846769">
        <w:t>e</w:t>
      </w:r>
      <w:r w:rsidR="003510EC" w:rsidRPr="00846769">
        <w:t xml:space="preserve">xclusive </w:t>
      </w:r>
      <w:r w:rsidR="003A4D90" w:rsidRPr="00846769">
        <w:t>e</w:t>
      </w:r>
      <w:r w:rsidR="003510EC" w:rsidRPr="00846769">
        <w:t xml:space="preserve">conomic </w:t>
      </w:r>
      <w:r w:rsidR="003A4D90" w:rsidRPr="00846769">
        <w:t>z</w:t>
      </w:r>
      <w:r w:rsidR="003510EC" w:rsidRPr="00846769">
        <w:t xml:space="preserve">one </w:t>
      </w:r>
      <w:r w:rsidRPr="00846769">
        <w:t>of Australia. Where the Director of Biosecurity (or delegate) is satisfied that</w:t>
      </w:r>
      <w:r w:rsidRPr="00846769">
        <w:rPr>
          <w:rFonts w:ascii="Arial" w:hAnsi="Arial" w:cs="Arial"/>
          <w:sz w:val="19"/>
          <w:szCs w:val="19"/>
        </w:rPr>
        <w:t xml:space="preserve"> </w:t>
      </w:r>
      <w:r w:rsidRPr="00846769">
        <w:t>a sample of the vessel’s ballast water indicates that the vessel poses an unacceptable level of biosecurity risk, then the Director may give a direction to the vessel not to discharge ballast water until conditions specified in the direction are met.</w:t>
      </w:r>
    </w:p>
    <w:p w14:paraId="51676F02" w14:textId="16E273F6" w:rsidR="006939E1" w:rsidRPr="00846769" w:rsidRDefault="00B5740F" w:rsidP="000111D7">
      <w:r w:rsidRPr="00846769">
        <w:t xml:space="preserve">The conditions of using the </w:t>
      </w:r>
      <w:r w:rsidR="003A4D90" w:rsidRPr="00846769">
        <w:rPr>
          <w:i/>
          <w:iCs/>
        </w:rPr>
        <w:t xml:space="preserve">Biosecurity Act 2015 </w:t>
      </w:r>
      <w:r w:rsidRPr="00846769">
        <w:t>are:</w:t>
      </w:r>
    </w:p>
    <w:p w14:paraId="081A730D" w14:textId="064C1D72" w:rsidR="006939E1" w:rsidRPr="00846769" w:rsidRDefault="00B5740F" w:rsidP="00BF317B">
      <w:pPr>
        <w:pStyle w:val="ListBullet"/>
      </w:pPr>
      <w:r w:rsidRPr="00846769">
        <w:t xml:space="preserve">the Australian Government Department of Agriculture, </w:t>
      </w:r>
      <w:r w:rsidR="00C602F9" w:rsidRPr="00846769">
        <w:t>Fisheries and Forestry</w:t>
      </w:r>
      <w:r w:rsidRPr="00846769">
        <w:t xml:space="preserve"> is to be contacted before taking the proposed action to determine the appropriate provisions of the </w:t>
      </w:r>
      <w:r w:rsidR="003A4D90" w:rsidRPr="00846769">
        <w:rPr>
          <w:i/>
          <w:iCs/>
        </w:rPr>
        <w:t xml:space="preserve">Biosecurity Act 2015 </w:t>
      </w:r>
      <w:r w:rsidRPr="00846769">
        <w:t>that apply</w:t>
      </w:r>
    </w:p>
    <w:p w14:paraId="79BC6C99" w14:textId="328D828D" w:rsidR="006939E1" w:rsidRPr="00846769" w:rsidRDefault="00B5740F">
      <w:pPr>
        <w:pStyle w:val="ListBullet"/>
      </w:pPr>
      <w:r w:rsidRPr="00846769">
        <w:t xml:space="preserve">directions to </w:t>
      </w:r>
      <w:proofErr w:type="gramStart"/>
      <w:r w:rsidR="003A4D90" w:rsidRPr="00846769">
        <w:t>take action</w:t>
      </w:r>
      <w:proofErr w:type="gramEnd"/>
      <w:r w:rsidRPr="00846769">
        <w:t xml:space="preserve"> under the </w:t>
      </w:r>
      <w:r w:rsidR="003A4D90" w:rsidRPr="00846769">
        <w:rPr>
          <w:i/>
          <w:iCs/>
        </w:rPr>
        <w:t xml:space="preserve">Biosecurity Act 2015 </w:t>
      </w:r>
      <w:r w:rsidRPr="00846769">
        <w:t xml:space="preserve">are to be given by a biosecurity officer. Officers of a state or territory government must be authorised as biosecurity officers under the </w:t>
      </w:r>
      <w:r w:rsidR="003A4D90" w:rsidRPr="00846769">
        <w:rPr>
          <w:i/>
          <w:iCs/>
        </w:rPr>
        <w:t xml:space="preserve">Biosecurity Act 2015 </w:t>
      </w:r>
      <w:r w:rsidRPr="00846769">
        <w:t>to be able to give directions under the Act</w:t>
      </w:r>
    </w:p>
    <w:p w14:paraId="4C9F103C" w14:textId="618A0A8E" w:rsidR="006939E1" w:rsidRPr="00846769" w:rsidRDefault="00B5740F">
      <w:pPr>
        <w:pStyle w:val="ListBullet"/>
      </w:pPr>
      <w:r w:rsidRPr="00846769">
        <w:t xml:space="preserve">actions under the </w:t>
      </w:r>
      <w:r w:rsidR="003A4D90" w:rsidRPr="00846769">
        <w:rPr>
          <w:i/>
          <w:iCs/>
        </w:rPr>
        <w:t xml:space="preserve">Biosecurity Act 2015 </w:t>
      </w:r>
      <w:r w:rsidRPr="00846769">
        <w:t>should only be taken for vessels currently identified as at a risk of spreading a marine pest of national significance.</w:t>
      </w:r>
    </w:p>
    <w:p w14:paraId="0D3EA1F2" w14:textId="0EBFD6C7" w:rsidR="006939E1" w:rsidRPr="00846769" w:rsidRDefault="00B5740F" w:rsidP="00BF317B">
      <w:pPr>
        <w:shd w:val="clear" w:color="auto" w:fill="FFFFFF" w:themeFill="background1"/>
      </w:pPr>
      <w:r w:rsidRPr="00846769">
        <w:t xml:space="preserve">Responsibility for directing and approving action under the </w:t>
      </w:r>
      <w:r w:rsidR="003A4D90" w:rsidRPr="00846769">
        <w:rPr>
          <w:i/>
          <w:iCs/>
        </w:rPr>
        <w:t xml:space="preserve">Biosecurity Act 2015 </w:t>
      </w:r>
      <w:r w:rsidRPr="00846769">
        <w:t xml:space="preserve">rests with the biosecurity officer, but the actual vessel control and treatment actions are handled by the Local or State Control Centre. As a matter of policy, the following information should be provided to the Australian Government Department of Agriculture, </w:t>
      </w:r>
      <w:r w:rsidR="00C602F9" w:rsidRPr="00846769">
        <w:t>Fisheries and Forestry</w:t>
      </w:r>
      <w:r w:rsidRPr="00846769">
        <w:t xml:space="preserve"> to help determine appropriate application of the</w:t>
      </w:r>
      <w:r w:rsidR="003A4D90" w:rsidRPr="00846769">
        <w:t xml:space="preserve"> </w:t>
      </w:r>
      <w:r w:rsidR="003A4D90" w:rsidRPr="00846769">
        <w:rPr>
          <w:i/>
          <w:iCs/>
        </w:rPr>
        <w:t>Biosecurity Act 2015</w:t>
      </w:r>
      <w:r w:rsidRPr="00846769">
        <w:rPr>
          <w:rStyle w:val="Emphasis"/>
        </w:rPr>
        <w:t>:</w:t>
      </w:r>
    </w:p>
    <w:p w14:paraId="36D773B7" w14:textId="77777777" w:rsidR="006939E1" w:rsidRPr="00846769" w:rsidRDefault="00B5740F" w:rsidP="00BF317B">
      <w:pPr>
        <w:pStyle w:val="ListBullet"/>
      </w:pPr>
      <w:r w:rsidRPr="00846769">
        <w:t>the proposed course of action</w:t>
      </w:r>
    </w:p>
    <w:p w14:paraId="027F132B" w14:textId="77777777" w:rsidR="006939E1" w:rsidRPr="00846769" w:rsidRDefault="00B5740F">
      <w:pPr>
        <w:pStyle w:val="ListBullet"/>
      </w:pPr>
      <w:r w:rsidRPr="00846769">
        <w:t>the location of proposed action</w:t>
      </w:r>
    </w:p>
    <w:p w14:paraId="600F0A5F" w14:textId="77777777" w:rsidR="006939E1" w:rsidRPr="00846769" w:rsidRDefault="00B5740F">
      <w:pPr>
        <w:pStyle w:val="ListBullet"/>
      </w:pPr>
      <w:r w:rsidRPr="00846769">
        <w:lastRenderedPageBreak/>
        <w:t>details to identify the vessel involved in the proposed action</w:t>
      </w:r>
    </w:p>
    <w:p w14:paraId="3C0DCFBB" w14:textId="77777777" w:rsidR="006939E1" w:rsidRPr="00846769" w:rsidRDefault="00B5740F">
      <w:pPr>
        <w:pStyle w:val="ListBullet"/>
        <w:sectPr w:rsidR="006939E1" w:rsidRPr="00846769" w:rsidSect="004108AC">
          <w:footnotePr>
            <w:numFmt w:val="lowerLetter"/>
          </w:footnotePr>
          <w:type w:val="continuous"/>
          <w:pgSz w:w="11906" w:h="16838"/>
          <w:pgMar w:top="1440" w:right="1440" w:bottom="1440" w:left="1440" w:header="709" w:footer="709" w:gutter="0"/>
          <w:cols w:space="708"/>
          <w:docGrid w:linePitch="360"/>
        </w:sectPr>
      </w:pPr>
      <w:r w:rsidRPr="00846769">
        <w:t>contact details of local management agencies that will be managing the vessel control and treatment.</w:t>
      </w:r>
    </w:p>
    <w:p w14:paraId="78E71504" w14:textId="6C0A3E4E" w:rsidR="006939E1" w:rsidRPr="00846769" w:rsidRDefault="00B5740F" w:rsidP="00BF317B">
      <w:pPr>
        <w:pStyle w:val="Heading2"/>
        <w:numPr>
          <w:ilvl w:val="0"/>
          <w:numId w:val="0"/>
        </w:numPr>
      </w:pPr>
      <w:bookmarkStart w:id="726" w:name="_Appendix_B:_State"/>
      <w:bookmarkStart w:id="727" w:name="_Appendix_D:_State"/>
      <w:bookmarkStart w:id="728" w:name="_Appendix_D:_Commonwealth,"/>
      <w:bookmarkStart w:id="729" w:name="_Toc43120320"/>
      <w:bookmarkStart w:id="730" w:name="_Toc87599123"/>
      <w:bookmarkStart w:id="731" w:name="_Toc191998685"/>
      <w:bookmarkEnd w:id="726"/>
      <w:bookmarkEnd w:id="727"/>
      <w:bookmarkEnd w:id="728"/>
      <w:r w:rsidRPr="00846769">
        <w:lastRenderedPageBreak/>
        <w:t xml:space="preserve">Appendix </w:t>
      </w:r>
      <w:r w:rsidR="002E766A" w:rsidRPr="00846769">
        <w:t>D</w:t>
      </w:r>
      <w:r w:rsidRPr="00846769">
        <w:t xml:space="preserve">: </w:t>
      </w:r>
      <w:r w:rsidR="00D4784F" w:rsidRPr="00846769">
        <w:t>Commonwealth, s</w:t>
      </w:r>
      <w:r w:rsidRPr="00846769">
        <w:t>tate</w:t>
      </w:r>
      <w:r w:rsidR="003A4D90" w:rsidRPr="00846769">
        <w:t>,</w:t>
      </w:r>
      <w:r w:rsidRPr="00846769">
        <w:t xml:space="preserve"> and territory legislative powers of intervention and enforcement</w:t>
      </w:r>
      <w:bookmarkEnd w:id="729"/>
      <w:bookmarkEnd w:id="730"/>
      <w:bookmarkEnd w:id="731"/>
    </w:p>
    <w:p w14:paraId="5AE4CC31" w14:textId="594EEA9D" w:rsidR="00611CCC" w:rsidRPr="00846769" w:rsidRDefault="00B5740F" w:rsidP="00A04E26">
      <w:r w:rsidRPr="00846769">
        <w:t xml:space="preserve">The </w:t>
      </w:r>
      <w:hyperlink r:id="rId286" w:history="1">
        <w:r w:rsidRPr="00846769">
          <w:rPr>
            <w:rStyle w:val="Hyperlink"/>
          </w:rPr>
          <w:t>Intergovernmental Agreement on Biosecurity (IGAB)</w:t>
        </w:r>
      </w:hyperlink>
      <w:r w:rsidRPr="00846769">
        <w:t xml:space="preserve"> </w:t>
      </w:r>
      <w:r w:rsidRPr="00846769">
        <w:rPr>
          <w:shd w:val="clear" w:color="auto" w:fill="FFFFFF" w:themeFill="background1"/>
        </w:rPr>
        <w:t xml:space="preserve">is an agreement between the </w:t>
      </w:r>
      <w:r w:rsidR="00C53906" w:rsidRPr="00846769">
        <w:rPr>
          <w:shd w:val="clear" w:color="auto" w:fill="FFFFFF" w:themeFill="background1"/>
        </w:rPr>
        <w:t>Commonwealth</w:t>
      </w:r>
      <w:r w:rsidRPr="00846769">
        <w:rPr>
          <w:shd w:val="clear" w:color="auto" w:fill="FFFFFF" w:themeFill="background1"/>
        </w:rPr>
        <w:t>, state</w:t>
      </w:r>
      <w:r w:rsidR="00C53906" w:rsidRPr="00846769">
        <w:rPr>
          <w:shd w:val="clear" w:color="auto" w:fill="FFFFFF" w:themeFill="background1"/>
        </w:rPr>
        <w:t>,</w:t>
      </w:r>
      <w:r w:rsidRPr="00846769">
        <w:rPr>
          <w:shd w:val="clear" w:color="auto" w:fill="FFFFFF" w:themeFill="background1"/>
        </w:rPr>
        <w:t xml:space="preserve"> and territory governments. It came into effect in January 2019 and replaced the previous IGAB which commenced in 2012.</w:t>
      </w:r>
      <w:r w:rsidRPr="00846769">
        <w:t xml:space="preserve"> The agreement was developed to improve the national biosecurity system by identifying the roles and responsibilities of governments and outlining the priority areas for collaboration to minimise the impact of pests and disease on Australia’s economy, environment</w:t>
      </w:r>
      <w:r w:rsidR="00C53906" w:rsidRPr="00846769">
        <w:t>,</w:t>
      </w:r>
      <w:r w:rsidRPr="00846769">
        <w:t xml:space="preserve"> and community. The </w:t>
      </w:r>
      <w:hyperlink r:id="rId287" w:history="1">
        <w:r w:rsidR="00AF1513" w:rsidRPr="00846769">
          <w:rPr>
            <w:rStyle w:val="Hyperlink"/>
            <w:lang w:eastAsia="ja-JP"/>
          </w:rPr>
          <w:t>National Environmental Biosecurity Response Agreement 2.0</w:t>
        </w:r>
      </w:hyperlink>
      <w:r w:rsidR="00AF1513" w:rsidRPr="00846769">
        <w:rPr>
          <w:rStyle w:val="Hyperlink"/>
          <w:lang w:eastAsia="ja-JP"/>
        </w:rPr>
        <w:t xml:space="preserve"> </w:t>
      </w:r>
      <w:r w:rsidRPr="00846769">
        <w:t>was the first deliverable of the IGAB and sets out emergency response arrangements, including cost-sharing arrangements, for responding to biosecurity incidents primarily affecting the environment and/or social amenity and when the response is for the public good. In combination with the IGAB, Commonwealth</w:t>
      </w:r>
      <w:r w:rsidR="00C53906" w:rsidRPr="00846769">
        <w:t>,</w:t>
      </w:r>
      <w:r w:rsidRPr="00846769">
        <w:t xml:space="preserve"> state</w:t>
      </w:r>
      <w:r w:rsidR="00C53906" w:rsidRPr="00846769">
        <w:t>,</w:t>
      </w:r>
      <w:r w:rsidRPr="00846769">
        <w:t xml:space="preserve"> and territory governments are responsible under their principal fisheries management legislation to respond consistently and cost-effectively to a marine pest incursion</w:t>
      </w:r>
      <w:r w:rsidR="009816B9">
        <w:t xml:space="preserve"> (</w:t>
      </w:r>
      <w:r w:rsidR="009816B9">
        <w:fldChar w:fldCharType="begin"/>
      </w:r>
      <w:r w:rsidR="009816B9">
        <w:instrText xml:space="preserve"> REF _Ref189643931 \h </w:instrText>
      </w:r>
      <w:r w:rsidR="009816B9">
        <w:fldChar w:fldCharType="separate"/>
      </w:r>
      <w:r w:rsidR="009816B9">
        <w:t xml:space="preserve">Table </w:t>
      </w:r>
      <w:r w:rsidR="009816B9">
        <w:rPr>
          <w:noProof/>
        </w:rPr>
        <w:t>18</w:t>
      </w:r>
      <w:r w:rsidR="009816B9">
        <w:fldChar w:fldCharType="end"/>
      </w:r>
      <w:r w:rsidR="009816B9">
        <w:t>)</w:t>
      </w:r>
      <w:r w:rsidRPr="00846769">
        <w:t>.</w:t>
      </w:r>
    </w:p>
    <w:p w14:paraId="335B57E8" w14:textId="722BC444" w:rsidR="005E4F41" w:rsidRDefault="005E4F41" w:rsidP="00A04E26">
      <w:pPr>
        <w:pStyle w:val="Caption"/>
      </w:pPr>
      <w:bookmarkStart w:id="732" w:name="_Ref189643931"/>
      <w:bookmarkStart w:id="733" w:name="_Toc191999513"/>
      <w:r>
        <w:t xml:space="preserve">Table </w:t>
      </w:r>
      <w:r>
        <w:fldChar w:fldCharType="begin"/>
      </w:r>
      <w:r>
        <w:instrText xml:space="preserve"> SEQ Table \* ARABIC </w:instrText>
      </w:r>
      <w:r>
        <w:fldChar w:fldCharType="separate"/>
      </w:r>
      <w:r>
        <w:rPr>
          <w:noProof/>
        </w:rPr>
        <w:t>18</w:t>
      </w:r>
      <w:r>
        <w:fldChar w:fldCharType="end"/>
      </w:r>
      <w:bookmarkEnd w:id="732"/>
      <w:r>
        <w:t xml:space="preserve"> </w:t>
      </w:r>
      <w:r w:rsidRPr="00846769">
        <w:t>Commonwealth, state, and territory legislation covering emergency response arrangements</w:t>
      </w:r>
      <w:bookmarkEnd w:id="733"/>
    </w:p>
    <w:tbl>
      <w:tblPr>
        <w:tblW w:w="5011" w:type="pct"/>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1418"/>
        <w:gridCol w:w="1417"/>
        <w:gridCol w:w="3401"/>
        <w:gridCol w:w="2810"/>
      </w:tblGrid>
      <w:tr w:rsidR="00D4784F" w:rsidRPr="00846769" w14:paraId="607A2923" w14:textId="77777777" w:rsidTr="00A04E26">
        <w:trPr>
          <w:cantSplit/>
          <w:trHeight w:val="577"/>
          <w:tblHeader/>
        </w:trPr>
        <w:tc>
          <w:tcPr>
            <w:tcW w:w="784" w:type="pct"/>
            <w:shd w:val="clear" w:color="auto" w:fill="FFFFFF" w:themeFill="background1"/>
          </w:tcPr>
          <w:p w14:paraId="79A6BCE7" w14:textId="77777777" w:rsidR="00D4784F" w:rsidRPr="00846769" w:rsidRDefault="00D4784F" w:rsidP="006966B1">
            <w:pPr>
              <w:pStyle w:val="TableText"/>
              <w:rPr>
                <w:rFonts w:cstheme="minorHAnsi"/>
                <w:b/>
                <w:bCs/>
              </w:rPr>
            </w:pPr>
            <w:bookmarkStart w:id="734" w:name="Table_18"/>
            <w:bookmarkStart w:id="735" w:name="_Hlk189643688"/>
            <w:bookmarkEnd w:id="734"/>
            <w:r w:rsidRPr="00846769">
              <w:rPr>
                <w:rFonts w:cstheme="minorHAnsi"/>
                <w:b/>
                <w:bCs/>
              </w:rPr>
              <w:t>Jurisdiction</w:t>
            </w:r>
          </w:p>
        </w:tc>
        <w:tc>
          <w:tcPr>
            <w:tcW w:w="783" w:type="pct"/>
            <w:shd w:val="clear" w:color="auto" w:fill="FFFFFF" w:themeFill="background1"/>
          </w:tcPr>
          <w:p w14:paraId="0CA9D96A" w14:textId="77777777" w:rsidR="00D4784F" w:rsidRPr="00846769" w:rsidRDefault="00D4784F" w:rsidP="006966B1">
            <w:pPr>
              <w:pStyle w:val="TableText"/>
              <w:rPr>
                <w:rFonts w:cstheme="minorHAnsi"/>
                <w:b/>
                <w:bCs/>
              </w:rPr>
            </w:pPr>
            <w:r w:rsidRPr="00846769">
              <w:rPr>
                <w:rFonts w:cstheme="minorHAnsi"/>
                <w:b/>
                <w:bCs/>
              </w:rPr>
              <w:t>Agency</w:t>
            </w:r>
          </w:p>
        </w:tc>
        <w:tc>
          <w:tcPr>
            <w:tcW w:w="1880" w:type="pct"/>
            <w:shd w:val="clear" w:color="auto" w:fill="FFFFFF" w:themeFill="background1"/>
          </w:tcPr>
          <w:p w14:paraId="6B0675C5" w14:textId="77777777" w:rsidR="00D4784F" w:rsidRPr="00846769" w:rsidRDefault="00D4784F" w:rsidP="006966B1">
            <w:pPr>
              <w:pStyle w:val="TableText"/>
              <w:rPr>
                <w:rFonts w:cstheme="minorHAnsi"/>
                <w:b/>
                <w:bCs/>
              </w:rPr>
            </w:pPr>
            <w:r w:rsidRPr="00846769">
              <w:rPr>
                <w:rFonts w:cstheme="minorHAnsi"/>
                <w:b/>
                <w:bCs/>
              </w:rPr>
              <w:t xml:space="preserve">Principle </w:t>
            </w:r>
            <w:r w:rsidRPr="00846769" w:rsidDel="00D75DB5">
              <w:rPr>
                <w:rFonts w:cstheme="minorHAnsi"/>
                <w:b/>
                <w:bCs/>
              </w:rPr>
              <w:t xml:space="preserve">fisheries management </w:t>
            </w:r>
            <w:r w:rsidRPr="00846769">
              <w:rPr>
                <w:rFonts w:cstheme="minorHAnsi"/>
                <w:b/>
                <w:bCs/>
              </w:rPr>
              <w:t>acts covering emergency response arrangements</w:t>
            </w:r>
          </w:p>
        </w:tc>
        <w:tc>
          <w:tcPr>
            <w:tcW w:w="1553" w:type="pct"/>
            <w:shd w:val="clear" w:color="auto" w:fill="FFFFFF" w:themeFill="background1"/>
          </w:tcPr>
          <w:p w14:paraId="71E10498" w14:textId="5D37857B" w:rsidR="00D4784F" w:rsidRPr="00846769" w:rsidRDefault="003A4D90" w:rsidP="006966B1">
            <w:pPr>
              <w:pStyle w:val="TableText"/>
              <w:rPr>
                <w:rFonts w:cstheme="minorHAnsi"/>
                <w:b/>
                <w:bCs/>
              </w:rPr>
            </w:pPr>
            <w:r w:rsidRPr="00846769">
              <w:rPr>
                <w:rFonts w:cstheme="minorHAnsi"/>
                <w:b/>
                <w:bCs/>
              </w:rPr>
              <w:t>Relevant</w:t>
            </w:r>
            <w:r w:rsidR="00D4784F" w:rsidRPr="00846769">
              <w:rPr>
                <w:rFonts w:cstheme="minorHAnsi"/>
                <w:b/>
                <w:bCs/>
              </w:rPr>
              <w:t xml:space="preserve"> contact website</w:t>
            </w:r>
          </w:p>
        </w:tc>
      </w:tr>
      <w:tr w:rsidR="00D4784F" w:rsidRPr="00846769" w14:paraId="6E71502E" w14:textId="77777777" w:rsidTr="00A04E26">
        <w:tc>
          <w:tcPr>
            <w:tcW w:w="784" w:type="pct"/>
            <w:shd w:val="clear" w:color="auto" w:fill="FFFFFF" w:themeFill="background1"/>
          </w:tcPr>
          <w:p w14:paraId="49890F89" w14:textId="77777777" w:rsidR="00D4784F" w:rsidRPr="00846769" w:rsidRDefault="00D4784F" w:rsidP="006966B1">
            <w:pPr>
              <w:pStyle w:val="TableText"/>
            </w:pPr>
            <w:r w:rsidRPr="00846769">
              <w:t>Commonwealth</w:t>
            </w:r>
          </w:p>
        </w:tc>
        <w:tc>
          <w:tcPr>
            <w:tcW w:w="783" w:type="pct"/>
            <w:shd w:val="clear" w:color="auto" w:fill="FFFFFF" w:themeFill="background1"/>
          </w:tcPr>
          <w:p w14:paraId="2A25E339" w14:textId="77777777" w:rsidR="00D4784F" w:rsidRPr="00846769" w:rsidRDefault="00D4784F" w:rsidP="006966B1">
            <w:pPr>
              <w:pStyle w:val="TableText"/>
            </w:pPr>
            <w:r w:rsidRPr="00846769">
              <w:t>Department of Agriculture, Fisheries and Forestry</w:t>
            </w:r>
          </w:p>
        </w:tc>
        <w:tc>
          <w:tcPr>
            <w:tcW w:w="1880" w:type="pct"/>
            <w:shd w:val="clear" w:color="auto" w:fill="FFFFFF" w:themeFill="background1"/>
          </w:tcPr>
          <w:p w14:paraId="7569911A" w14:textId="77777777" w:rsidR="00D4784F" w:rsidRPr="00846769" w:rsidRDefault="00D4784F" w:rsidP="006966B1">
            <w:pPr>
              <w:pStyle w:val="TableText"/>
              <w:rPr>
                <w:rStyle w:val="Emphasis"/>
              </w:rPr>
            </w:pPr>
            <w:r w:rsidRPr="00846769">
              <w:rPr>
                <w:rStyle w:val="Emphasis"/>
              </w:rPr>
              <w:t>Biosecurity Act 2015</w:t>
            </w:r>
          </w:p>
          <w:p w14:paraId="6DF07725" w14:textId="77777777" w:rsidR="00C53906" w:rsidRPr="00846769" w:rsidRDefault="00C53906" w:rsidP="00C53906">
            <w:pPr>
              <w:pStyle w:val="TableText"/>
              <w:rPr>
                <w:rStyle w:val="Emphasis"/>
              </w:rPr>
            </w:pPr>
            <w:r w:rsidRPr="00846769">
              <w:rPr>
                <w:rStyle w:val="Emphasis"/>
              </w:rPr>
              <w:t>Fisheries Management Act 1991</w:t>
            </w:r>
          </w:p>
          <w:p w14:paraId="0786500B" w14:textId="77777777" w:rsidR="00C53906" w:rsidRPr="00846769" w:rsidRDefault="00C53906" w:rsidP="006966B1">
            <w:pPr>
              <w:pStyle w:val="TableText"/>
              <w:rPr>
                <w:rStyle w:val="Emphasis"/>
              </w:rPr>
            </w:pPr>
          </w:p>
        </w:tc>
        <w:tc>
          <w:tcPr>
            <w:tcW w:w="1553" w:type="pct"/>
            <w:shd w:val="clear" w:color="auto" w:fill="FFFFFF" w:themeFill="background1"/>
          </w:tcPr>
          <w:p w14:paraId="4FC5B303" w14:textId="58DAF4D3" w:rsidR="00D4784F" w:rsidRPr="00846769" w:rsidRDefault="00D5056F" w:rsidP="006966B1">
            <w:pPr>
              <w:pStyle w:val="TableText"/>
              <w:rPr>
                <w:rStyle w:val="Hyperlink"/>
                <w:sz w:val="20"/>
                <w:szCs w:val="20"/>
              </w:rPr>
            </w:pPr>
            <w:hyperlink r:id="rId288" w:history="1">
              <w:r w:rsidRPr="00BE3854">
                <w:rPr>
                  <w:rStyle w:val="Hyperlink"/>
                  <w:sz w:val="18"/>
                </w:rPr>
                <w:t>https://www.marinepests.gov.au/report</w:t>
              </w:r>
            </w:hyperlink>
            <w:r w:rsidRPr="00D5056F" w:rsidDel="00D5056F">
              <w:t xml:space="preserve"> </w:t>
            </w:r>
            <w:hyperlink r:id="rId289" w:history="1">
              <w:r w:rsidR="00D4784F" w:rsidRPr="00846769">
                <w:rPr>
                  <w:rStyle w:val="Hyperlink"/>
                  <w:sz w:val="18"/>
                  <w:szCs w:val="18"/>
                </w:rPr>
                <w:t>agriculture.gov.au/biosecurity-trade/pests-diseases-weeds/marine-pests</w:t>
              </w:r>
            </w:hyperlink>
          </w:p>
        </w:tc>
      </w:tr>
      <w:tr w:rsidR="00D4784F" w:rsidRPr="00846769" w14:paraId="496BF379" w14:textId="77777777" w:rsidTr="00A04E26">
        <w:tc>
          <w:tcPr>
            <w:tcW w:w="784" w:type="pct"/>
            <w:shd w:val="clear" w:color="auto" w:fill="FFFFFF" w:themeFill="background1"/>
          </w:tcPr>
          <w:p w14:paraId="0C1DE99A" w14:textId="77777777" w:rsidR="00D4784F" w:rsidRPr="00846769" w:rsidRDefault="00D4784F" w:rsidP="006966B1">
            <w:pPr>
              <w:pStyle w:val="TableText"/>
            </w:pPr>
            <w:r w:rsidRPr="00846769">
              <w:t>New South Wales</w:t>
            </w:r>
          </w:p>
        </w:tc>
        <w:tc>
          <w:tcPr>
            <w:tcW w:w="783" w:type="pct"/>
            <w:shd w:val="clear" w:color="auto" w:fill="FFFFFF" w:themeFill="background1"/>
          </w:tcPr>
          <w:p w14:paraId="72977A35" w14:textId="35508527" w:rsidR="00D4784F" w:rsidRPr="00846769" w:rsidRDefault="00D4784F" w:rsidP="006966B1">
            <w:pPr>
              <w:pStyle w:val="TableText"/>
            </w:pPr>
            <w:r w:rsidRPr="00846769">
              <w:t>Department of Primary Industries</w:t>
            </w:r>
            <w:r w:rsidR="005E4F41">
              <w:t xml:space="preserve"> and Regional Development</w:t>
            </w:r>
          </w:p>
        </w:tc>
        <w:tc>
          <w:tcPr>
            <w:tcW w:w="1880" w:type="pct"/>
            <w:shd w:val="clear" w:color="auto" w:fill="FFFFFF" w:themeFill="background1"/>
          </w:tcPr>
          <w:p w14:paraId="0B1134E3" w14:textId="77777777" w:rsidR="00C53906" w:rsidRPr="00846769" w:rsidRDefault="00C53906" w:rsidP="00C53906">
            <w:pPr>
              <w:pStyle w:val="TableText"/>
              <w:rPr>
                <w:rStyle w:val="Emphasis"/>
              </w:rPr>
            </w:pPr>
            <w:r w:rsidRPr="00846769">
              <w:rPr>
                <w:rStyle w:val="Emphasis"/>
              </w:rPr>
              <w:t>NSW Biosecurity Order (Permitted Activities) 2019</w:t>
            </w:r>
          </w:p>
          <w:p w14:paraId="2E26A023" w14:textId="77777777" w:rsidR="00C53906" w:rsidRPr="00846769" w:rsidRDefault="00C53906" w:rsidP="00C53906">
            <w:pPr>
              <w:pStyle w:val="TableText"/>
              <w:rPr>
                <w:rStyle w:val="Emphasis"/>
              </w:rPr>
            </w:pPr>
            <w:r w:rsidRPr="00846769">
              <w:rPr>
                <w:rStyle w:val="Emphasis"/>
              </w:rPr>
              <w:t>NSW Biosecurity Regulation 2017</w:t>
            </w:r>
          </w:p>
          <w:p w14:paraId="1ADA36FC" w14:textId="77777777" w:rsidR="00C53906" w:rsidRPr="00846769" w:rsidRDefault="00C53906" w:rsidP="00C53906">
            <w:pPr>
              <w:pStyle w:val="TableText"/>
              <w:rPr>
                <w:rStyle w:val="Emphasis"/>
              </w:rPr>
            </w:pPr>
            <w:r w:rsidRPr="00846769">
              <w:rPr>
                <w:rStyle w:val="Emphasis"/>
              </w:rPr>
              <w:t>NSW Biosecurity Act 2015</w:t>
            </w:r>
          </w:p>
          <w:p w14:paraId="407C13F9" w14:textId="77777777" w:rsidR="00C53906" w:rsidRPr="00846769" w:rsidRDefault="00C53906" w:rsidP="00C53906">
            <w:pPr>
              <w:pStyle w:val="TableText"/>
              <w:rPr>
                <w:i/>
                <w:iCs/>
              </w:rPr>
            </w:pPr>
            <w:r w:rsidRPr="00846769" w:rsidDel="00C32FC3">
              <w:rPr>
                <w:i/>
                <w:iCs/>
              </w:rPr>
              <w:t>Fisheries Management (General)</w:t>
            </w:r>
            <w:r w:rsidRPr="00846769">
              <w:rPr>
                <w:i/>
                <w:iCs/>
              </w:rPr>
              <w:t xml:space="preserve"> Biosecurity Regulation 2017</w:t>
            </w:r>
          </w:p>
          <w:p w14:paraId="73171AA9" w14:textId="77777777" w:rsidR="00C53906" w:rsidRPr="00846769" w:rsidDel="00C32FC3" w:rsidRDefault="00C53906" w:rsidP="00C53906">
            <w:pPr>
              <w:pStyle w:val="TableText"/>
              <w:rPr>
                <w:i/>
                <w:iCs/>
              </w:rPr>
            </w:pPr>
            <w:r w:rsidRPr="00846769" w:rsidDel="00C32FC3">
              <w:rPr>
                <w:i/>
                <w:iCs/>
              </w:rPr>
              <w:t>Fisheries Management (Aquaculture) Regulation 2012</w:t>
            </w:r>
          </w:p>
          <w:p w14:paraId="5866B21D" w14:textId="77777777" w:rsidR="00C53906" w:rsidRPr="00846769" w:rsidRDefault="00C53906" w:rsidP="00C53906">
            <w:pPr>
              <w:pStyle w:val="TableText"/>
              <w:rPr>
                <w:i/>
                <w:iCs/>
              </w:rPr>
            </w:pPr>
            <w:r w:rsidRPr="00846769" w:rsidDel="00C32FC3">
              <w:rPr>
                <w:rStyle w:val="Emphasis"/>
              </w:rPr>
              <w:t>Fisheries Management</w:t>
            </w:r>
            <w:r w:rsidRPr="00846769">
              <w:rPr>
                <w:rStyle w:val="Emphasis"/>
              </w:rPr>
              <w:t xml:space="preserve"> Act 1995</w:t>
            </w:r>
          </w:p>
          <w:p w14:paraId="76CBF1F3" w14:textId="77777777" w:rsidR="00C53906" w:rsidRPr="00846769" w:rsidRDefault="00C53906" w:rsidP="00C53906">
            <w:pPr>
              <w:pStyle w:val="TableText"/>
              <w:rPr>
                <w:rStyle w:val="Emphasis"/>
              </w:rPr>
            </w:pPr>
            <w:r w:rsidRPr="00846769">
              <w:rPr>
                <w:rStyle w:val="Emphasis"/>
              </w:rPr>
              <w:t>Marine Safety Act 1998</w:t>
            </w:r>
          </w:p>
          <w:p w14:paraId="090DFB4E" w14:textId="77777777" w:rsidR="00C53906" w:rsidRPr="00846769" w:rsidRDefault="00C53906" w:rsidP="00C53906">
            <w:pPr>
              <w:pStyle w:val="TableText"/>
              <w:rPr>
                <w:i/>
                <w:iCs/>
              </w:rPr>
            </w:pPr>
            <w:r w:rsidRPr="00846769">
              <w:rPr>
                <w:rStyle w:val="Emphasis"/>
              </w:rPr>
              <w:t>Marine Parks Regulation 1997</w:t>
            </w:r>
          </w:p>
          <w:p w14:paraId="6C2CB6BB" w14:textId="786E94E8" w:rsidR="00D4784F" w:rsidRPr="00846769" w:rsidRDefault="00C53906" w:rsidP="00C53906">
            <w:pPr>
              <w:pStyle w:val="TableText"/>
            </w:pPr>
            <w:r w:rsidRPr="00846769">
              <w:rPr>
                <w:rStyle w:val="Emphasis"/>
              </w:rPr>
              <w:t>Ports and Maritime Administration Act 1995</w:t>
            </w:r>
          </w:p>
        </w:tc>
        <w:tc>
          <w:tcPr>
            <w:tcW w:w="1553" w:type="pct"/>
            <w:shd w:val="clear" w:color="auto" w:fill="FFFFFF" w:themeFill="background1"/>
          </w:tcPr>
          <w:p w14:paraId="0A6B175D" w14:textId="77777777" w:rsidR="00D4784F" w:rsidRPr="00846769" w:rsidRDefault="00D4784F" w:rsidP="006966B1">
            <w:pPr>
              <w:pStyle w:val="TableText"/>
              <w:rPr>
                <w:rStyle w:val="Hyperlink"/>
                <w:sz w:val="18"/>
                <w:szCs w:val="18"/>
              </w:rPr>
            </w:pPr>
            <w:hyperlink r:id="rId290" w:history="1">
              <w:r w:rsidRPr="00846769">
                <w:rPr>
                  <w:rStyle w:val="Hyperlink"/>
                  <w:sz w:val="18"/>
                  <w:szCs w:val="18"/>
                </w:rPr>
                <w:t>dpi.nsw.gov.au/fishing/pests-diseases</w:t>
              </w:r>
            </w:hyperlink>
          </w:p>
        </w:tc>
      </w:tr>
      <w:tr w:rsidR="00D4784F" w:rsidRPr="00846769" w14:paraId="0F3C6682" w14:textId="77777777" w:rsidTr="00A04E26">
        <w:tc>
          <w:tcPr>
            <w:tcW w:w="784" w:type="pct"/>
            <w:shd w:val="clear" w:color="auto" w:fill="FFFFFF" w:themeFill="background1"/>
          </w:tcPr>
          <w:p w14:paraId="4D6834A2" w14:textId="77777777" w:rsidR="00D4784F" w:rsidRPr="00846769" w:rsidRDefault="00D4784F" w:rsidP="006966B1">
            <w:pPr>
              <w:pStyle w:val="TableText"/>
            </w:pPr>
            <w:r w:rsidRPr="00846769">
              <w:t>Victoria</w:t>
            </w:r>
          </w:p>
        </w:tc>
        <w:tc>
          <w:tcPr>
            <w:tcW w:w="783" w:type="pct"/>
            <w:shd w:val="clear" w:color="auto" w:fill="FFFFFF" w:themeFill="background1"/>
          </w:tcPr>
          <w:p w14:paraId="31B8163A" w14:textId="77777777" w:rsidR="00D4784F" w:rsidRPr="00846769" w:rsidRDefault="00D4784F" w:rsidP="006966B1">
            <w:pPr>
              <w:pStyle w:val="TableText"/>
            </w:pPr>
            <w:r w:rsidRPr="00846769">
              <w:t xml:space="preserve">Department of Energy, Environment and Climate Action </w:t>
            </w:r>
          </w:p>
        </w:tc>
        <w:tc>
          <w:tcPr>
            <w:tcW w:w="1880" w:type="pct"/>
            <w:shd w:val="clear" w:color="auto" w:fill="FFFFFF" w:themeFill="background1"/>
          </w:tcPr>
          <w:p w14:paraId="6DC853AF" w14:textId="77777777" w:rsidR="00C53906" w:rsidRPr="00846769" w:rsidRDefault="00C53906" w:rsidP="00C53906">
            <w:pPr>
              <w:pStyle w:val="TableText"/>
              <w:rPr>
                <w:rStyle w:val="Emphasis"/>
              </w:rPr>
            </w:pPr>
            <w:r w:rsidRPr="00846769">
              <w:rPr>
                <w:rStyle w:val="Emphasis"/>
              </w:rPr>
              <w:t>Marine and Coastal Act 2018</w:t>
            </w:r>
          </w:p>
          <w:p w14:paraId="393F522B" w14:textId="77777777" w:rsidR="00C53906" w:rsidRPr="00846769" w:rsidRDefault="00C53906" w:rsidP="00C53906">
            <w:pPr>
              <w:pStyle w:val="TableText"/>
            </w:pPr>
            <w:r w:rsidRPr="00846769">
              <w:rPr>
                <w:rStyle w:val="Emphasis"/>
              </w:rPr>
              <w:t>Marine Safety Act 2010</w:t>
            </w:r>
          </w:p>
          <w:p w14:paraId="4D3FFD2F" w14:textId="77777777" w:rsidR="00C53906" w:rsidRPr="00846769" w:rsidRDefault="00C53906" w:rsidP="00C53906">
            <w:pPr>
              <w:pStyle w:val="TableText"/>
            </w:pPr>
            <w:r w:rsidRPr="00846769">
              <w:rPr>
                <w:rStyle w:val="Emphasis"/>
              </w:rPr>
              <w:t>Fisheries Act 1995</w:t>
            </w:r>
          </w:p>
          <w:p w14:paraId="2AE0CB71" w14:textId="77777777" w:rsidR="00C53906" w:rsidRPr="00846769" w:rsidRDefault="00C53906" w:rsidP="00C53906">
            <w:pPr>
              <w:pStyle w:val="TableText"/>
            </w:pPr>
            <w:r w:rsidRPr="00846769">
              <w:rPr>
                <w:rStyle w:val="Emphasis"/>
              </w:rPr>
              <w:t>Port Management Act 1995</w:t>
            </w:r>
            <w:r w:rsidRPr="00846769">
              <w:t xml:space="preserve"> </w:t>
            </w:r>
          </w:p>
          <w:p w14:paraId="453ABABD" w14:textId="0CE97FF3" w:rsidR="00D4784F" w:rsidRPr="00846769" w:rsidRDefault="00C53906" w:rsidP="00C53906">
            <w:pPr>
              <w:pStyle w:val="TableText"/>
            </w:pPr>
            <w:r w:rsidRPr="00846769">
              <w:rPr>
                <w:rStyle w:val="Emphasis"/>
              </w:rPr>
              <w:t>Environment Protection Act 1970</w:t>
            </w:r>
          </w:p>
        </w:tc>
        <w:tc>
          <w:tcPr>
            <w:tcW w:w="1553" w:type="pct"/>
            <w:shd w:val="clear" w:color="auto" w:fill="FFFFFF" w:themeFill="background1"/>
          </w:tcPr>
          <w:p w14:paraId="791AABC4" w14:textId="77777777" w:rsidR="00D4784F" w:rsidRPr="00846769" w:rsidRDefault="00D4784F" w:rsidP="006966B1">
            <w:pPr>
              <w:pStyle w:val="TableText"/>
              <w:rPr>
                <w:rStyle w:val="Hyperlink"/>
                <w:sz w:val="18"/>
                <w:szCs w:val="18"/>
              </w:rPr>
            </w:pPr>
            <w:hyperlink r:id="rId291" w:history="1">
              <w:r w:rsidRPr="00846769">
                <w:rPr>
                  <w:rStyle w:val="Hyperlink"/>
                  <w:sz w:val="18"/>
                  <w:szCs w:val="18"/>
                </w:rPr>
                <w:t>vic.gov.au/marine-pests</w:t>
              </w:r>
            </w:hyperlink>
          </w:p>
        </w:tc>
      </w:tr>
      <w:tr w:rsidR="00D4784F" w:rsidRPr="00846769" w14:paraId="18602979" w14:textId="77777777" w:rsidTr="00A04E26">
        <w:tc>
          <w:tcPr>
            <w:tcW w:w="784" w:type="pct"/>
            <w:shd w:val="clear" w:color="auto" w:fill="FFFFFF" w:themeFill="background1"/>
          </w:tcPr>
          <w:p w14:paraId="1B3536B6" w14:textId="77777777" w:rsidR="00D4784F" w:rsidRPr="00846769" w:rsidRDefault="00D4784F" w:rsidP="006966B1">
            <w:pPr>
              <w:pStyle w:val="TableText"/>
            </w:pPr>
            <w:r w:rsidRPr="00846769">
              <w:lastRenderedPageBreak/>
              <w:t>Queensland</w:t>
            </w:r>
          </w:p>
        </w:tc>
        <w:tc>
          <w:tcPr>
            <w:tcW w:w="783" w:type="pct"/>
            <w:shd w:val="clear" w:color="auto" w:fill="FFFFFF" w:themeFill="background1"/>
          </w:tcPr>
          <w:p w14:paraId="6380A168" w14:textId="0D7A990A" w:rsidR="00D4784F" w:rsidRPr="00846769" w:rsidRDefault="00D4784F" w:rsidP="006966B1">
            <w:pPr>
              <w:pStyle w:val="TableText"/>
            </w:pPr>
            <w:r w:rsidRPr="00846769">
              <w:t xml:space="preserve">Department of </w:t>
            </w:r>
            <w:r w:rsidR="005E4F41">
              <w:t>Primary Industries</w:t>
            </w:r>
            <w:r w:rsidRPr="00846769">
              <w:t xml:space="preserve"> </w:t>
            </w:r>
          </w:p>
        </w:tc>
        <w:tc>
          <w:tcPr>
            <w:tcW w:w="1880" w:type="pct"/>
            <w:shd w:val="clear" w:color="auto" w:fill="FFFFFF" w:themeFill="background1"/>
          </w:tcPr>
          <w:p w14:paraId="0AAEDD94" w14:textId="77777777" w:rsidR="00C53906" w:rsidRPr="00846769" w:rsidRDefault="00C53906" w:rsidP="00C53906">
            <w:pPr>
              <w:pStyle w:val="TableText"/>
              <w:rPr>
                <w:rStyle w:val="Emphasis"/>
              </w:rPr>
            </w:pPr>
            <w:r w:rsidRPr="00846769">
              <w:rPr>
                <w:rStyle w:val="Emphasis"/>
              </w:rPr>
              <w:t>Biosecurity Act 2014</w:t>
            </w:r>
          </w:p>
          <w:p w14:paraId="71771D0D" w14:textId="77777777" w:rsidR="00C53906" w:rsidRPr="00846769" w:rsidRDefault="00C53906" w:rsidP="00C53906">
            <w:pPr>
              <w:pStyle w:val="TableText"/>
              <w:rPr>
                <w:rStyle w:val="Emphasis"/>
              </w:rPr>
            </w:pPr>
            <w:r w:rsidRPr="00846769">
              <w:rPr>
                <w:rStyle w:val="Emphasis"/>
              </w:rPr>
              <w:t>Fisheries Act 1994</w:t>
            </w:r>
          </w:p>
          <w:p w14:paraId="6626FAE4" w14:textId="7534EE82" w:rsidR="00D4784F" w:rsidRPr="00846769" w:rsidRDefault="00D4784F" w:rsidP="006966B1">
            <w:pPr>
              <w:pStyle w:val="TableText"/>
              <w:rPr>
                <w:rStyle w:val="Emphasis"/>
              </w:rPr>
            </w:pPr>
          </w:p>
        </w:tc>
        <w:tc>
          <w:tcPr>
            <w:tcW w:w="1553" w:type="pct"/>
            <w:shd w:val="clear" w:color="auto" w:fill="FFFFFF" w:themeFill="background1"/>
          </w:tcPr>
          <w:p w14:paraId="0073FC23" w14:textId="77777777" w:rsidR="00D4784F" w:rsidRPr="00846769" w:rsidRDefault="00D4784F" w:rsidP="006966B1">
            <w:pPr>
              <w:pStyle w:val="TableText"/>
              <w:rPr>
                <w:rStyle w:val="Hyperlink"/>
                <w:sz w:val="18"/>
                <w:szCs w:val="18"/>
              </w:rPr>
            </w:pPr>
            <w:hyperlink r:id="rId292" w:history="1">
              <w:r w:rsidRPr="00846769">
                <w:rPr>
                  <w:rStyle w:val="Hyperlink"/>
                  <w:sz w:val="18"/>
                  <w:szCs w:val="18"/>
                </w:rPr>
                <w:t>daff.qld.gov.au/fisheries/</w:t>
              </w:r>
            </w:hyperlink>
          </w:p>
          <w:p w14:paraId="7C9C6F20" w14:textId="77777777" w:rsidR="00D4784F" w:rsidRPr="00846769" w:rsidRDefault="00D4784F" w:rsidP="006966B1">
            <w:pPr>
              <w:pStyle w:val="TableText"/>
              <w:rPr>
                <w:rStyle w:val="Hyperlink"/>
                <w:sz w:val="20"/>
                <w:szCs w:val="20"/>
              </w:rPr>
            </w:pPr>
            <w:hyperlink r:id="rId293" w:history="1">
              <w:r w:rsidRPr="00846769">
                <w:rPr>
                  <w:rStyle w:val="Hyperlink"/>
                  <w:sz w:val="18"/>
                  <w:szCs w:val="18"/>
                </w:rPr>
                <w:t>qld.gov.au/environment/coasts-waterways/marine-pests</w:t>
              </w:r>
            </w:hyperlink>
          </w:p>
        </w:tc>
      </w:tr>
      <w:tr w:rsidR="00D4784F" w:rsidRPr="00846769" w14:paraId="792FB22D" w14:textId="77777777" w:rsidTr="00A04E26">
        <w:tc>
          <w:tcPr>
            <w:tcW w:w="784" w:type="pct"/>
            <w:shd w:val="clear" w:color="auto" w:fill="FFFFFF" w:themeFill="background1"/>
          </w:tcPr>
          <w:p w14:paraId="3C23B5F0" w14:textId="77777777" w:rsidR="00D4784F" w:rsidRPr="00846769" w:rsidRDefault="00D4784F" w:rsidP="006966B1">
            <w:pPr>
              <w:pStyle w:val="TableText"/>
            </w:pPr>
            <w:r w:rsidRPr="00846769">
              <w:t>South Australia</w:t>
            </w:r>
          </w:p>
        </w:tc>
        <w:tc>
          <w:tcPr>
            <w:tcW w:w="783" w:type="pct"/>
            <w:shd w:val="clear" w:color="auto" w:fill="FFFFFF" w:themeFill="background1"/>
          </w:tcPr>
          <w:p w14:paraId="41078DC2" w14:textId="663F84F0" w:rsidR="00D4784F" w:rsidRPr="00846769" w:rsidRDefault="00D4784F" w:rsidP="006966B1">
            <w:pPr>
              <w:pStyle w:val="TableText"/>
            </w:pPr>
            <w:r w:rsidRPr="00846769">
              <w:t>Department of Primary Industries and Regions</w:t>
            </w:r>
            <w:r w:rsidR="00191061">
              <w:t>, South Australia</w:t>
            </w:r>
          </w:p>
        </w:tc>
        <w:tc>
          <w:tcPr>
            <w:tcW w:w="1880" w:type="pct"/>
            <w:shd w:val="clear" w:color="auto" w:fill="FFFFFF" w:themeFill="background1"/>
          </w:tcPr>
          <w:p w14:paraId="59D60F96" w14:textId="77777777" w:rsidR="00D4784F" w:rsidRPr="00846769" w:rsidRDefault="00D4784F" w:rsidP="006966B1">
            <w:pPr>
              <w:pStyle w:val="TableText"/>
              <w:rPr>
                <w:rStyle w:val="Emphasis"/>
              </w:rPr>
            </w:pPr>
            <w:r w:rsidRPr="00846769">
              <w:rPr>
                <w:rStyle w:val="Emphasis"/>
              </w:rPr>
              <w:t>Fisheries Management Act 2007</w:t>
            </w:r>
          </w:p>
        </w:tc>
        <w:tc>
          <w:tcPr>
            <w:tcW w:w="1553" w:type="pct"/>
            <w:shd w:val="clear" w:color="auto" w:fill="FFFFFF" w:themeFill="background1"/>
          </w:tcPr>
          <w:p w14:paraId="0420CB9B" w14:textId="77777777" w:rsidR="00D4784F" w:rsidRPr="00846769" w:rsidRDefault="00D4784F" w:rsidP="006966B1">
            <w:pPr>
              <w:pStyle w:val="TableText"/>
              <w:rPr>
                <w:rStyle w:val="Hyperlink"/>
                <w:sz w:val="18"/>
                <w:szCs w:val="18"/>
              </w:rPr>
            </w:pPr>
            <w:hyperlink r:id="rId294" w:history="1">
              <w:r w:rsidRPr="00846769">
                <w:rPr>
                  <w:rStyle w:val="Hyperlink"/>
                  <w:sz w:val="18"/>
                  <w:szCs w:val="18"/>
                </w:rPr>
                <w:t>pir.sa.gov.au/biosecurity/aquatics</w:t>
              </w:r>
            </w:hyperlink>
          </w:p>
        </w:tc>
      </w:tr>
      <w:tr w:rsidR="00D4784F" w:rsidRPr="00846769" w14:paraId="6E5BF8C1" w14:textId="77777777" w:rsidTr="00A04E26">
        <w:tc>
          <w:tcPr>
            <w:tcW w:w="784" w:type="pct"/>
            <w:shd w:val="clear" w:color="auto" w:fill="FFFFFF" w:themeFill="background1"/>
          </w:tcPr>
          <w:p w14:paraId="35D36362" w14:textId="77777777" w:rsidR="00D4784F" w:rsidRPr="00846769" w:rsidRDefault="00D4784F" w:rsidP="006966B1">
            <w:pPr>
              <w:pStyle w:val="TableText"/>
            </w:pPr>
            <w:r w:rsidRPr="00846769">
              <w:t>Western Australia</w:t>
            </w:r>
          </w:p>
        </w:tc>
        <w:tc>
          <w:tcPr>
            <w:tcW w:w="783" w:type="pct"/>
            <w:shd w:val="clear" w:color="auto" w:fill="FFFFFF" w:themeFill="background1"/>
          </w:tcPr>
          <w:p w14:paraId="099863F9" w14:textId="334DCB55" w:rsidR="00D4784F" w:rsidRPr="00846769" w:rsidRDefault="00D4784F" w:rsidP="006966B1">
            <w:pPr>
              <w:pStyle w:val="TableText"/>
            </w:pPr>
            <w:r w:rsidRPr="00846769">
              <w:t xml:space="preserve">Department of </w:t>
            </w:r>
            <w:r w:rsidR="00191061">
              <w:t xml:space="preserve">Primary </w:t>
            </w:r>
            <w:r w:rsidRPr="00846769">
              <w:t>Industr</w:t>
            </w:r>
            <w:r w:rsidR="00191061">
              <w:t>ies</w:t>
            </w:r>
            <w:r w:rsidRPr="00846769">
              <w:t xml:space="preserve"> and Regional Development</w:t>
            </w:r>
          </w:p>
        </w:tc>
        <w:tc>
          <w:tcPr>
            <w:tcW w:w="1880" w:type="pct"/>
            <w:shd w:val="clear" w:color="auto" w:fill="FFFFFF" w:themeFill="background1"/>
          </w:tcPr>
          <w:p w14:paraId="664456A8" w14:textId="77777777" w:rsidR="00C53906" w:rsidRPr="00846769" w:rsidRDefault="00C53906" w:rsidP="00C53906">
            <w:pPr>
              <w:pStyle w:val="TableText"/>
              <w:rPr>
                <w:i/>
                <w:iCs/>
              </w:rPr>
            </w:pPr>
            <w:r w:rsidRPr="00846769">
              <w:rPr>
                <w:i/>
                <w:iCs/>
              </w:rPr>
              <w:t>Biosecurity and Agriculture Management Act 2007</w:t>
            </w:r>
          </w:p>
          <w:p w14:paraId="363FF1DE" w14:textId="6040C3CE" w:rsidR="00D4784F" w:rsidRPr="00846769" w:rsidRDefault="00C53906" w:rsidP="006966B1">
            <w:pPr>
              <w:pStyle w:val="TableText"/>
            </w:pPr>
            <w:r w:rsidRPr="00846769">
              <w:rPr>
                <w:rStyle w:val="Emphasis"/>
              </w:rPr>
              <w:t>Fish Resources Management Act 1994</w:t>
            </w:r>
            <w:r w:rsidRPr="00846769">
              <w:t xml:space="preserve"> </w:t>
            </w:r>
          </w:p>
        </w:tc>
        <w:tc>
          <w:tcPr>
            <w:tcW w:w="1553" w:type="pct"/>
            <w:shd w:val="clear" w:color="auto" w:fill="FFFFFF" w:themeFill="background1"/>
          </w:tcPr>
          <w:p w14:paraId="4E2EA425" w14:textId="77777777" w:rsidR="00D4784F" w:rsidRPr="00846769" w:rsidRDefault="00D4784F" w:rsidP="006966B1">
            <w:pPr>
              <w:pStyle w:val="TableText"/>
              <w:rPr>
                <w:rStyle w:val="Hyperlink"/>
                <w:sz w:val="18"/>
                <w:szCs w:val="18"/>
              </w:rPr>
            </w:pPr>
            <w:hyperlink r:id="rId295" w:history="1">
              <w:r w:rsidRPr="00846769">
                <w:rPr>
                  <w:rStyle w:val="Hyperlink"/>
                  <w:sz w:val="18"/>
                  <w:szCs w:val="18"/>
                </w:rPr>
                <w:t>fish.wa.gov.au/Sustainability-and-Environment/Aquatic-Biosecurity/Pages/default.aspx</w:t>
              </w:r>
            </w:hyperlink>
          </w:p>
        </w:tc>
      </w:tr>
      <w:tr w:rsidR="00D4784F" w:rsidRPr="00846769" w14:paraId="38D07691" w14:textId="77777777" w:rsidTr="00A04E26">
        <w:tc>
          <w:tcPr>
            <w:tcW w:w="784" w:type="pct"/>
            <w:shd w:val="clear" w:color="auto" w:fill="FFFFFF" w:themeFill="background1"/>
          </w:tcPr>
          <w:p w14:paraId="5962F1BB" w14:textId="77777777" w:rsidR="00D4784F" w:rsidRPr="00846769" w:rsidRDefault="00D4784F" w:rsidP="006966B1">
            <w:pPr>
              <w:pStyle w:val="TableText"/>
            </w:pPr>
            <w:r w:rsidRPr="00846769">
              <w:t>Tasmania</w:t>
            </w:r>
          </w:p>
        </w:tc>
        <w:tc>
          <w:tcPr>
            <w:tcW w:w="783" w:type="pct"/>
            <w:shd w:val="clear" w:color="auto" w:fill="FFFFFF" w:themeFill="background1"/>
          </w:tcPr>
          <w:p w14:paraId="43E0893F" w14:textId="77777777" w:rsidR="00D4784F" w:rsidRPr="00846769" w:rsidRDefault="00D4784F" w:rsidP="006966B1">
            <w:pPr>
              <w:pStyle w:val="TableText"/>
            </w:pPr>
            <w:r w:rsidRPr="00846769">
              <w:t>Department of Natural Resources and Environment Tasmania</w:t>
            </w:r>
          </w:p>
        </w:tc>
        <w:tc>
          <w:tcPr>
            <w:tcW w:w="1880" w:type="pct"/>
            <w:shd w:val="clear" w:color="auto" w:fill="FFFFFF" w:themeFill="background1"/>
          </w:tcPr>
          <w:p w14:paraId="17FE0876" w14:textId="77777777" w:rsidR="00D4784F" w:rsidRPr="00846769" w:rsidRDefault="00D4784F" w:rsidP="006966B1">
            <w:pPr>
              <w:pStyle w:val="TableText"/>
              <w:rPr>
                <w:rStyle w:val="Emphasis"/>
              </w:rPr>
            </w:pPr>
            <w:r w:rsidRPr="00846769">
              <w:rPr>
                <w:rStyle w:val="Emphasis"/>
              </w:rPr>
              <w:t>Biosecurity Act 2019</w:t>
            </w:r>
          </w:p>
          <w:p w14:paraId="079750CA" w14:textId="77777777" w:rsidR="00D4784F" w:rsidRPr="00846769" w:rsidRDefault="00D4784F" w:rsidP="006966B1">
            <w:pPr>
              <w:pStyle w:val="TableText"/>
              <w:rPr>
                <w:rStyle w:val="Emphasis"/>
                <w:highlight w:val="yellow"/>
              </w:rPr>
            </w:pPr>
            <w:r w:rsidRPr="00846769">
              <w:rPr>
                <w:rStyle w:val="Emphasis"/>
              </w:rPr>
              <w:t>Living Marine Resources Management Act 1995</w:t>
            </w:r>
          </w:p>
        </w:tc>
        <w:tc>
          <w:tcPr>
            <w:tcW w:w="1553" w:type="pct"/>
            <w:shd w:val="clear" w:color="auto" w:fill="FFFFFF" w:themeFill="background1"/>
          </w:tcPr>
          <w:p w14:paraId="53031885" w14:textId="77777777" w:rsidR="00D4784F" w:rsidRPr="00846769" w:rsidRDefault="00D4784F" w:rsidP="006966B1">
            <w:pPr>
              <w:pStyle w:val="TableText"/>
              <w:rPr>
                <w:rStyle w:val="Hyperlink"/>
                <w:sz w:val="18"/>
                <w:szCs w:val="18"/>
                <w:highlight w:val="yellow"/>
              </w:rPr>
            </w:pPr>
            <w:hyperlink r:id="rId296" w:history="1">
              <w:r w:rsidRPr="00846769">
                <w:rPr>
                  <w:rStyle w:val="Hyperlink"/>
                  <w:sz w:val="18"/>
                  <w:szCs w:val="18"/>
                </w:rPr>
                <w:t>nre.tas.gov.au/biosecurity-</w:t>
              </w:r>
              <w:proofErr w:type="spellStart"/>
              <w:r w:rsidRPr="00846769">
                <w:rPr>
                  <w:rStyle w:val="Hyperlink"/>
                  <w:sz w:val="18"/>
                  <w:szCs w:val="18"/>
                </w:rPr>
                <w:t>tasmania</w:t>
              </w:r>
              <w:proofErr w:type="spellEnd"/>
              <w:r w:rsidRPr="00846769">
                <w:rPr>
                  <w:rStyle w:val="Hyperlink"/>
                  <w:sz w:val="18"/>
                  <w:szCs w:val="18"/>
                </w:rPr>
                <w:t>/aquatic-pests-and-diseases</w:t>
              </w:r>
            </w:hyperlink>
          </w:p>
        </w:tc>
      </w:tr>
      <w:tr w:rsidR="00D4784F" w:rsidRPr="00846769" w14:paraId="248E8603" w14:textId="77777777" w:rsidTr="00A04E26">
        <w:tc>
          <w:tcPr>
            <w:tcW w:w="784" w:type="pct"/>
            <w:shd w:val="clear" w:color="auto" w:fill="FFFFFF" w:themeFill="background1"/>
          </w:tcPr>
          <w:p w14:paraId="306160C2" w14:textId="77777777" w:rsidR="00D4784F" w:rsidRPr="00846769" w:rsidRDefault="00D4784F" w:rsidP="006966B1">
            <w:pPr>
              <w:pStyle w:val="TableText"/>
            </w:pPr>
            <w:r w:rsidRPr="00846769">
              <w:t>Northern Territory</w:t>
            </w:r>
          </w:p>
        </w:tc>
        <w:tc>
          <w:tcPr>
            <w:tcW w:w="783" w:type="pct"/>
            <w:shd w:val="clear" w:color="auto" w:fill="FFFFFF" w:themeFill="background1"/>
          </w:tcPr>
          <w:p w14:paraId="22C9C247" w14:textId="4A7E4648" w:rsidR="00D4784F" w:rsidRPr="00846769" w:rsidRDefault="00D4784F" w:rsidP="006966B1">
            <w:pPr>
              <w:pStyle w:val="TableText"/>
            </w:pPr>
            <w:r w:rsidRPr="00846769">
              <w:t xml:space="preserve">Department of </w:t>
            </w:r>
            <w:r w:rsidR="00191061">
              <w:t>Agriculture and Fisheries</w:t>
            </w:r>
          </w:p>
        </w:tc>
        <w:tc>
          <w:tcPr>
            <w:tcW w:w="1880" w:type="pct"/>
            <w:shd w:val="clear" w:color="auto" w:fill="FFFFFF" w:themeFill="background1"/>
          </w:tcPr>
          <w:p w14:paraId="312EE26E" w14:textId="77777777" w:rsidR="00D4784F" w:rsidRPr="00846769" w:rsidRDefault="00D4784F" w:rsidP="006966B1">
            <w:pPr>
              <w:pStyle w:val="TableText"/>
              <w:rPr>
                <w:rStyle w:val="Emphasis"/>
              </w:rPr>
            </w:pPr>
            <w:r w:rsidRPr="00846769">
              <w:rPr>
                <w:rStyle w:val="Emphasis"/>
              </w:rPr>
              <w:t>Fisheries Act 1988</w:t>
            </w:r>
          </w:p>
        </w:tc>
        <w:tc>
          <w:tcPr>
            <w:tcW w:w="1553" w:type="pct"/>
            <w:shd w:val="clear" w:color="auto" w:fill="FFFFFF" w:themeFill="background1"/>
          </w:tcPr>
          <w:p w14:paraId="6EB1581F" w14:textId="77777777" w:rsidR="00D4784F" w:rsidRPr="00846769" w:rsidRDefault="00D4784F" w:rsidP="006966B1">
            <w:pPr>
              <w:pStyle w:val="TableText"/>
              <w:rPr>
                <w:rStyle w:val="Hyperlink"/>
                <w:sz w:val="18"/>
                <w:szCs w:val="18"/>
              </w:rPr>
            </w:pPr>
            <w:hyperlink r:id="rId297" w:history="1">
              <w:r w:rsidRPr="00846769">
                <w:rPr>
                  <w:rStyle w:val="Hyperlink"/>
                  <w:sz w:val="18"/>
                  <w:szCs w:val="18"/>
                </w:rPr>
                <w:t>nt.gov.au/marine/for-all-harbour-and-boat-users/biosecurity/aquatic-pests-marine-and-freshwater</w:t>
              </w:r>
            </w:hyperlink>
          </w:p>
        </w:tc>
      </w:tr>
      <w:bookmarkEnd w:id="735"/>
    </w:tbl>
    <w:p w14:paraId="7846C4AB" w14:textId="77777777" w:rsidR="006939E1" w:rsidRPr="00846769" w:rsidRDefault="006939E1" w:rsidP="00BF317B"/>
    <w:p w14:paraId="4DF3D8D2" w14:textId="77777777" w:rsidR="006939E1" w:rsidRPr="00846769" w:rsidRDefault="006939E1" w:rsidP="001C16BA">
      <w:pPr>
        <w:pStyle w:val="ListBullet"/>
        <w:numPr>
          <w:ilvl w:val="0"/>
          <w:numId w:val="0"/>
        </w:numPr>
        <w:sectPr w:rsidR="006939E1" w:rsidRPr="00846769" w:rsidSect="00126A8A">
          <w:footnotePr>
            <w:numFmt w:val="lowerLetter"/>
          </w:footnotePr>
          <w:pgSz w:w="11906" w:h="16838"/>
          <w:pgMar w:top="1440" w:right="1440" w:bottom="1440" w:left="1440" w:header="709" w:footer="709" w:gutter="0"/>
          <w:cols w:space="708"/>
          <w:docGrid w:linePitch="360"/>
        </w:sectPr>
      </w:pPr>
    </w:p>
    <w:p w14:paraId="0AE95562" w14:textId="695B2028" w:rsidR="006939E1" w:rsidRPr="00846769" w:rsidRDefault="00B5740F" w:rsidP="00BF317B">
      <w:pPr>
        <w:pStyle w:val="Heading2"/>
        <w:numPr>
          <w:ilvl w:val="0"/>
          <w:numId w:val="0"/>
        </w:numPr>
      </w:pPr>
      <w:bookmarkStart w:id="736" w:name="_Appendix_C:_Using"/>
      <w:bookmarkStart w:id="737" w:name="_Appendix_E:_Using"/>
      <w:bookmarkStart w:id="738" w:name="_Appendix_F:_Deploying"/>
      <w:bookmarkStart w:id="739" w:name="_Appendix_E:_Deploying"/>
      <w:bookmarkStart w:id="740" w:name="_Appendix_E:_Settlement"/>
      <w:bookmarkStart w:id="741" w:name="_Toc191998686"/>
      <w:bookmarkEnd w:id="736"/>
      <w:bookmarkEnd w:id="737"/>
      <w:bookmarkEnd w:id="738"/>
      <w:bookmarkEnd w:id="739"/>
      <w:bookmarkEnd w:id="740"/>
      <w:r w:rsidRPr="00846769">
        <w:lastRenderedPageBreak/>
        <w:t xml:space="preserve">Appendix </w:t>
      </w:r>
      <w:r w:rsidR="002E766A" w:rsidRPr="00846769">
        <w:t>E</w:t>
      </w:r>
      <w:r w:rsidRPr="00846769">
        <w:t xml:space="preserve">: </w:t>
      </w:r>
      <w:r w:rsidR="002E766A" w:rsidRPr="00846769">
        <w:t>Settlement array designs</w:t>
      </w:r>
      <w:r w:rsidRPr="00846769">
        <w:t xml:space="preserve"> to sample invasive marine </w:t>
      </w:r>
      <w:r w:rsidR="00B0354A" w:rsidRPr="002F0B1B">
        <w:t>bivalves</w:t>
      </w:r>
      <w:bookmarkEnd w:id="741"/>
    </w:p>
    <w:p w14:paraId="79309A7E" w14:textId="4B670FA7" w:rsidR="00E7056A" w:rsidRPr="00846769" w:rsidRDefault="009349E5" w:rsidP="00826243">
      <w:bookmarkStart w:id="742" w:name="_Hlk189644172"/>
      <w:r w:rsidRPr="00846769">
        <w:t>Settlement arrays</w:t>
      </w:r>
      <w:r w:rsidR="00B0354A">
        <w:t xml:space="preserve"> consisting of</w:t>
      </w:r>
      <w:r w:rsidRPr="00846769">
        <w:t xml:space="preserve"> settlement </w:t>
      </w:r>
      <w:r w:rsidR="00B0354A" w:rsidRPr="00846769">
        <w:t>plates</w:t>
      </w:r>
      <w:r w:rsidR="00B0354A">
        <w:t xml:space="preserve"> held in different configurations</w:t>
      </w:r>
      <w:r w:rsidR="00826243">
        <w:t xml:space="preserve"> </w:t>
      </w:r>
      <w:r w:rsidRPr="00846769">
        <w:t xml:space="preserve">are commonly used to study recruitment of sessile and fouling marine organisms during marine pest surveillance and monitoring programs. </w:t>
      </w:r>
      <w:r w:rsidR="00826243">
        <w:t>This appendix covers</w:t>
      </w:r>
      <w:r w:rsidR="00E7056A" w:rsidRPr="00846769">
        <w:t xml:space="preserve"> some settlement array designs used</w:t>
      </w:r>
      <w:r w:rsidR="00826243" w:rsidRPr="00846769">
        <w:t xml:space="preserve"> for sampling invasive marine bivalves among other sessile marine organisms.</w:t>
      </w:r>
      <w:r w:rsidR="00AD12FA">
        <w:t xml:space="preserve"> </w:t>
      </w:r>
      <w:r w:rsidR="00AD12FA" w:rsidRPr="00846769">
        <w:t xml:space="preserve">See page 106 in the </w:t>
      </w:r>
      <w:hyperlink r:id="rId298" w:history="1">
        <w:r w:rsidR="00AD12FA" w:rsidRPr="00846769">
          <w:rPr>
            <w:rStyle w:val="Hyperlink"/>
          </w:rPr>
          <w:t>Australian marine pest monitoring manual</w:t>
        </w:r>
      </w:hyperlink>
      <w:r w:rsidR="00AD12FA" w:rsidRPr="00846769">
        <w:t xml:space="preserve"> for details on sample processing methods for settlement array samples. </w:t>
      </w:r>
    </w:p>
    <w:p w14:paraId="72373266" w14:textId="5ED228C0" w:rsidR="0022003E" w:rsidRPr="00846769" w:rsidRDefault="0022003E" w:rsidP="00A04E26">
      <w:pPr>
        <w:pStyle w:val="Heading3"/>
      </w:pPr>
      <w:bookmarkStart w:id="743" w:name="_Toc191998687"/>
      <w:bookmarkStart w:id="744" w:name="_Hlk189644218"/>
      <w:bookmarkEnd w:id="742"/>
      <w:r w:rsidRPr="00846769">
        <w:t>Box array</w:t>
      </w:r>
      <w:bookmarkEnd w:id="743"/>
    </w:p>
    <w:p w14:paraId="79AB2D23" w14:textId="28CF2E58" w:rsidR="00752793" w:rsidRPr="00846769" w:rsidRDefault="0022003E" w:rsidP="0022003E">
      <w:r w:rsidRPr="00846769">
        <w:t xml:space="preserve">Several jurisdictions in Australia now routinely use a box-array design </w:t>
      </w:r>
      <w:r w:rsidR="00001C75" w:rsidRPr="00846769">
        <w:t xml:space="preserve">for invasive marine species surveillance. The box array was </w:t>
      </w:r>
      <w:r w:rsidRPr="00846769">
        <w:t xml:space="preserve">developed by </w:t>
      </w:r>
      <w:r w:rsidR="00655645" w:rsidRPr="00846769">
        <w:t xml:space="preserve">Aquatic Pest Biosecurity, </w:t>
      </w:r>
      <w:r w:rsidRPr="00846769">
        <w:t>Western Australian Department of Primary Industries and Regional Development (WA DPIRD). The box array is made with an aluminium frame, which will need to be constructed by an aluminium fabricator. Two designs are available for the box array, consisting of a ‘standard’ and a ‘stepped out’ box array design</w:t>
      </w:r>
      <w:r w:rsidR="00E7056A" w:rsidRPr="00846769">
        <w:t xml:space="preserve">. </w:t>
      </w:r>
      <w:r w:rsidRPr="00846769">
        <w:t>The stepped-out design</w:t>
      </w:r>
      <w:r w:rsidR="00655645" w:rsidRPr="00846769">
        <w:t xml:space="preserve"> contains additional spacing between railings which reduces the amount of biofouling that is accidentally scraped off when removing the plates</w:t>
      </w:r>
      <w:r w:rsidR="00E7056A" w:rsidRPr="00846769">
        <w:t xml:space="preserve"> (</w:t>
      </w:r>
      <w:r w:rsidR="00192097" w:rsidRPr="00846769">
        <w:rPr>
          <w:highlight w:val="yellow"/>
        </w:rPr>
        <w:fldChar w:fldCharType="begin"/>
      </w:r>
      <w:r w:rsidR="00192097" w:rsidRPr="00846769">
        <w:instrText xml:space="preserve"> REF _Ref171945922 \h </w:instrText>
      </w:r>
      <w:r w:rsidR="00192097" w:rsidRPr="00846769">
        <w:rPr>
          <w:highlight w:val="yellow"/>
        </w:rPr>
      </w:r>
      <w:r w:rsidR="00192097" w:rsidRPr="00846769">
        <w:rPr>
          <w:highlight w:val="yellow"/>
        </w:rPr>
        <w:fldChar w:fldCharType="separate"/>
      </w:r>
      <w:r w:rsidR="00192097" w:rsidRPr="00846769">
        <w:t>Photo 28</w:t>
      </w:r>
      <w:r w:rsidR="00192097" w:rsidRPr="00846769">
        <w:rPr>
          <w:highlight w:val="yellow"/>
        </w:rPr>
        <w:fldChar w:fldCharType="end"/>
      </w:r>
      <w:r w:rsidR="00E7056A" w:rsidRPr="00846769">
        <w:t>)</w:t>
      </w:r>
      <w:r w:rsidR="00655645" w:rsidRPr="00846769">
        <w:t xml:space="preserve">. </w:t>
      </w:r>
    </w:p>
    <w:p w14:paraId="2FD0ACDF" w14:textId="4407A009" w:rsidR="00611CCC" w:rsidRPr="00846769" w:rsidRDefault="00611CCC" w:rsidP="00611CCC">
      <w:pPr>
        <w:pStyle w:val="Caption"/>
      </w:pPr>
      <w:bookmarkStart w:id="745" w:name="_Ref171945922"/>
      <w:bookmarkStart w:id="746" w:name="_Toc171946482"/>
      <w:bookmarkStart w:id="747" w:name="_Toc191999552"/>
      <w:bookmarkEnd w:id="744"/>
      <w:r w:rsidRPr="00846769">
        <w:t xml:space="preserve">Photo </w:t>
      </w:r>
      <w:r w:rsidRPr="00846769">
        <w:fldChar w:fldCharType="begin"/>
      </w:r>
      <w:r w:rsidRPr="00846769">
        <w:instrText xml:space="preserve"> SEQ Photo \* ARABIC </w:instrText>
      </w:r>
      <w:r w:rsidRPr="00846769">
        <w:fldChar w:fldCharType="separate"/>
      </w:r>
      <w:r w:rsidR="00300312" w:rsidRPr="00846769">
        <w:t>28</w:t>
      </w:r>
      <w:r w:rsidRPr="00846769">
        <w:fldChar w:fldCharType="end"/>
      </w:r>
      <w:bookmarkEnd w:id="745"/>
      <w:r w:rsidRPr="00846769">
        <w:t xml:space="preserve"> Stepped box array design showing different sides and measurements</w:t>
      </w:r>
      <w:bookmarkEnd w:id="746"/>
      <w:bookmarkEnd w:id="747"/>
    </w:p>
    <w:p w14:paraId="2244B14B" w14:textId="08D2FB20" w:rsidR="00752793" w:rsidRPr="00846769" w:rsidRDefault="00E7056A" w:rsidP="00C57EE7">
      <w:pPr>
        <w:spacing w:after="120"/>
      </w:pPr>
      <w:r w:rsidRPr="00846769">
        <w:rPr>
          <w:noProof/>
        </w:rPr>
        <w:drawing>
          <wp:inline distT="0" distB="0" distL="0" distR="0" wp14:anchorId="20F8BC6A" wp14:editId="62BCED62">
            <wp:extent cx="5707380" cy="3211586"/>
            <wp:effectExtent l="0" t="0" r="7620" b="8255"/>
            <wp:docPr id="392570996" name="Picture 1" descr="A coloured photograph showing an example of a box array design, featuring an aluminium square frame with two round float buoys on top. The photograph shows dimensions for each side of the frame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70996" name="Picture 1" descr="A coloured photograph showing an example of a box array design, featuring an aluminium square frame with two round float buoys on top. The photograph shows dimensions for each side of the frame in different colours. "/>
                    <pic:cNvPicPr/>
                  </pic:nvPicPr>
                  <pic:blipFill>
                    <a:blip r:embed="rId299" cstate="email">
                      <a:extLst>
                        <a:ext uri="{28A0092B-C50C-407E-A947-70E740481C1C}">
                          <a14:useLocalDpi xmlns:a14="http://schemas.microsoft.com/office/drawing/2010/main" val="0"/>
                        </a:ext>
                      </a:extLst>
                    </a:blip>
                    <a:stretch>
                      <a:fillRect/>
                    </a:stretch>
                  </pic:blipFill>
                  <pic:spPr>
                    <a:xfrm>
                      <a:off x="0" y="0"/>
                      <a:ext cx="5716923" cy="3216956"/>
                    </a:xfrm>
                    <a:prstGeom prst="rect">
                      <a:avLst/>
                    </a:prstGeom>
                  </pic:spPr>
                </pic:pic>
              </a:graphicData>
            </a:graphic>
          </wp:inline>
        </w:drawing>
      </w:r>
    </w:p>
    <w:p w14:paraId="3B9A674E" w14:textId="6732C87B" w:rsidR="00E7056A" w:rsidRPr="00846769" w:rsidRDefault="00E7056A" w:rsidP="00E7056A">
      <w:pPr>
        <w:pStyle w:val="FigureTableNoteSource"/>
        <w:spacing w:before="0"/>
      </w:pPr>
      <w:r w:rsidRPr="00846769">
        <w:rPr>
          <w:rStyle w:val="Emphasis"/>
          <w:i w:val="0"/>
          <w:iCs w:val="0"/>
        </w:rPr>
        <w:t>Source:</w:t>
      </w:r>
      <w:r w:rsidRPr="00846769">
        <w:t xml:space="preserve"> Aquatic Pest Biosecurity, </w:t>
      </w:r>
      <w:r w:rsidR="00C57EE7" w:rsidRPr="00846769">
        <w:t>WA</w:t>
      </w:r>
      <w:r w:rsidRPr="00846769">
        <w:t xml:space="preserve"> Department of Primary Industries and Regional Development</w:t>
      </w:r>
    </w:p>
    <w:p w14:paraId="71524140" w14:textId="3FFBAEB1" w:rsidR="00752793" w:rsidRPr="00846769" w:rsidRDefault="00655645" w:rsidP="0022003E">
      <w:bookmarkStart w:id="748" w:name="_Hlk189644364"/>
      <w:r w:rsidRPr="00846769">
        <w:t xml:space="preserve">The box arrays are designed to hold square </w:t>
      </w:r>
      <w:r w:rsidR="005D35C3" w:rsidRPr="00846769">
        <w:t>plastic polyvinyl chloride (</w:t>
      </w:r>
      <w:r w:rsidRPr="00846769">
        <w:t>PVC</w:t>
      </w:r>
      <w:r w:rsidR="005D35C3" w:rsidRPr="00846769">
        <w:t>)</w:t>
      </w:r>
      <w:r w:rsidRPr="00846769">
        <w:t xml:space="preserve"> settlement plates measuring 100 x 100 mm, and at 4.5 mm thick</w:t>
      </w:r>
      <w:r w:rsidR="00752793" w:rsidRPr="00846769">
        <w:t xml:space="preserve"> (</w:t>
      </w:r>
      <w:r w:rsidR="00192097" w:rsidRPr="00846769">
        <w:rPr>
          <w:highlight w:val="yellow"/>
        </w:rPr>
        <w:fldChar w:fldCharType="begin"/>
      </w:r>
      <w:r w:rsidR="00192097" w:rsidRPr="00846769">
        <w:instrText xml:space="preserve"> REF _Ref171945970 \h </w:instrText>
      </w:r>
      <w:r w:rsidR="00192097" w:rsidRPr="00846769">
        <w:rPr>
          <w:highlight w:val="yellow"/>
        </w:rPr>
      </w:r>
      <w:r w:rsidR="00192097" w:rsidRPr="00846769">
        <w:rPr>
          <w:highlight w:val="yellow"/>
        </w:rPr>
        <w:fldChar w:fldCharType="separate"/>
      </w:r>
      <w:r w:rsidR="00192097" w:rsidRPr="00846769">
        <w:t>Photo 29</w:t>
      </w:r>
      <w:r w:rsidR="00192097" w:rsidRPr="00846769">
        <w:rPr>
          <w:highlight w:val="yellow"/>
        </w:rPr>
        <w:fldChar w:fldCharType="end"/>
      </w:r>
      <w:r w:rsidR="00752793" w:rsidRPr="00846769">
        <w:t>)</w:t>
      </w:r>
      <w:r w:rsidRPr="00846769">
        <w:t xml:space="preserve">. The PVC plates are the substrate for which settlement of sessile marine organisms occur. These PVC plates are scuffed to create a rough surface texture which promotes the fouling of organisms. The plates are designed to slide in and out </w:t>
      </w:r>
      <w:r w:rsidRPr="00846769">
        <w:lastRenderedPageBreak/>
        <w:t xml:space="preserve">of designated ‘U-channels’ in the box arrays. A box array </w:t>
      </w:r>
      <w:r w:rsidR="00AA58B7" w:rsidRPr="00846769">
        <w:t xml:space="preserve">typically </w:t>
      </w:r>
      <w:r w:rsidRPr="00846769">
        <w:t>hold</w:t>
      </w:r>
      <w:r w:rsidR="00AA58B7" w:rsidRPr="00846769">
        <w:t>s</w:t>
      </w:r>
      <w:r w:rsidRPr="00846769">
        <w:t xml:space="preserve"> a total of eight plates per </w:t>
      </w:r>
      <w:r w:rsidR="00E7056A" w:rsidRPr="00846769">
        <w:t>deployment but</w:t>
      </w:r>
      <w:r w:rsidRPr="00846769">
        <w:t xml:space="preserve"> can also hold an additional eight spare plates if needed (16 plates total). </w:t>
      </w:r>
      <w:r w:rsidR="00752793" w:rsidRPr="00846769">
        <w:t xml:space="preserve">The PVC plates can be reused in subsequent deployment </w:t>
      </w:r>
      <w:proofErr w:type="gramStart"/>
      <w:r w:rsidR="00752793" w:rsidRPr="00846769">
        <w:t>as long as</w:t>
      </w:r>
      <w:proofErr w:type="gramEnd"/>
      <w:r w:rsidR="00752793" w:rsidRPr="00846769">
        <w:t xml:space="preserve"> they are sufficiently cleaned and decontaminated.</w:t>
      </w:r>
      <w:r w:rsidR="00E7056A" w:rsidRPr="00846769">
        <w:t xml:space="preserve"> </w:t>
      </w:r>
    </w:p>
    <w:p w14:paraId="088F1DC9" w14:textId="1E4F4D8C" w:rsidR="00611CCC" w:rsidRPr="00846769" w:rsidRDefault="00611CCC" w:rsidP="00611CCC">
      <w:pPr>
        <w:pStyle w:val="Caption"/>
      </w:pPr>
      <w:bookmarkStart w:id="749" w:name="_Ref171945970"/>
      <w:bookmarkStart w:id="750" w:name="_Toc171946483"/>
      <w:bookmarkStart w:id="751" w:name="_Toc191999553"/>
      <w:bookmarkEnd w:id="748"/>
      <w:r w:rsidRPr="00846769">
        <w:t xml:space="preserve">Photo </w:t>
      </w:r>
      <w:r w:rsidRPr="00846769">
        <w:fldChar w:fldCharType="begin"/>
      </w:r>
      <w:r w:rsidRPr="00846769">
        <w:instrText xml:space="preserve"> SEQ Photo \* ARABIC </w:instrText>
      </w:r>
      <w:r w:rsidRPr="00846769">
        <w:fldChar w:fldCharType="separate"/>
      </w:r>
      <w:r w:rsidR="00300312" w:rsidRPr="00846769">
        <w:t>29</w:t>
      </w:r>
      <w:r w:rsidRPr="00846769">
        <w:fldChar w:fldCharType="end"/>
      </w:r>
      <w:bookmarkEnd w:id="749"/>
      <w:r w:rsidRPr="00846769">
        <w:t xml:space="preserve"> Grey PVC plates (10 cm</w:t>
      </w:r>
      <w:r w:rsidRPr="00846769">
        <w:rPr>
          <w:vertAlign w:val="superscript"/>
        </w:rPr>
        <w:t>2</w:t>
      </w:r>
      <w:r w:rsidRPr="00846769">
        <w:t>) inserted into U-channels of the box array</w:t>
      </w:r>
      <w:bookmarkEnd w:id="750"/>
      <w:bookmarkEnd w:id="751"/>
    </w:p>
    <w:p w14:paraId="0A8BEF90" w14:textId="6862E24E" w:rsidR="00752793" w:rsidRPr="00846769" w:rsidRDefault="00611CCC" w:rsidP="00C57EE7">
      <w:pPr>
        <w:pStyle w:val="Caption"/>
        <w:spacing w:before="120"/>
        <w:rPr>
          <w:rFonts w:asciiTheme="minorHAnsi" w:hAnsiTheme="minorHAnsi"/>
        </w:rPr>
      </w:pPr>
      <w:r w:rsidRPr="00846769">
        <w:rPr>
          <w:noProof/>
        </w:rPr>
        <w:drawing>
          <wp:inline distT="0" distB="0" distL="0" distR="0" wp14:anchorId="2BF89736" wp14:editId="6B16BF7C">
            <wp:extent cx="5464286" cy="2687808"/>
            <wp:effectExtent l="0" t="0" r="3175" b="0"/>
            <wp:docPr id="1298308803" name="Picture 11" descr="A coloured photograph showing the aluminium frame of the box array design, with settlement plates arranged in the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08803" name="Picture 11" descr="A coloured photograph showing the aluminium frame of the box array design, with settlement plates arranged in the frame. "/>
                    <pic:cNvPicPr/>
                  </pic:nvPicPr>
                  <pic:blipFill>
                    <a:blip r:embed="rId300" cstate="email">
                      <a:extLst>
                        <a:ext uri="{28A0092B-C50C-407E-A947-70E740481C1C}">
                          <a14:useLocalDpi xmlns:a14="http://schemas.microsoft.com/office/drawing/2010/main" val="0"/>
                        </a:ext>
                      </a:extLst>
                    </a:blip>
                    <a:stretch>
                      <a:fillRect/>
                    </a:stretch>
                  </pic:blipFill>
                  <pic:spPr>
                    <a:xfrm>
                      <a:off x="0" y="0"/>
                      <a:ext cx="5464286" cy="2687808"/>
                    </a:xfrm>
                    <a:prstGeom prst="rect">
                      <a:avLst/>
                    </a:prstGeom>
                  </pic:spPr>
                </pic:pic>
              </a:graphicData>
            </a:graphic>
          </wp:inline>
        </w:drawing>
      </w:r>
      <w:r w:rsidR="00C57EE7" w:rsidRPr="00846769">
        <w:t xml:space="preserve"> </w:t>
      </w:r>
    </w:p>
    <w:p w14:paraId="247E7ABA" w14:textId="18340DE5" w:rsidR="00C57EE7" w:rsidRPr="00846769" w:rsidRDefault="00C57EE7" w:rsidP="00C57EE7">
      <w:pPr>
        <w:pStyle w:val="FigureTableNoteSource"/>
        <w:spacing w:before="0"/>
      </w:pPr>
      <w:r w:rsidRPr="00846769">
        <w:rPr>
          <w:rStyle w:val="Emphasis"/>
          <w:i w:val="0"/>
          <w:iCs w:val="0"/>
        </w:rPr>
        <w:t>Source:</w:t>
      </w:r>
      <w:r w:rsidRPr="00846769">
        <w:t xml:space="preserve"> Aquatic Pest Biosecurity, WA Department of Primary Industries and Regional Development</w:t>
      </w:r>
    </w:p>
    <w:p w14:paraId="44E88679" w14:textId="516C1F34" w:rsidR="00C57EE7" w:rsidRPr="00846769" w:rsidRDefault="00752793" w:rsidP="0022003E">
      <w:bookmarkStart w:id="752" w:name="_Hlk189644467"/>
      <w:r w:rsidRPr="00846769">
        <w:t xml:space="preserve">Box arrays are fitted with two 150 mm diameter floats to provide buoyancy to the array, which are designed to float at the surface so that the plates sit at a </w:t>
      </w:r>
      <w:r w:rsidR="00AA58B7" w:rsidRPr="00846769">
        <w:t xml:space="preserve">constant </w:t>
      </w:r>
      <w:r w:rsidRPr="00846769">
        <w:t>depth of ~1 m below the surface</w:t>
      </w:r>
      <w:r w:rsidR="00611CCC" w:rsidRPr="00846769">
        <w:t xml:space="preserve"> (</w:t>
      </w:r>
      <w:r w:rsidR="00192097" w:rsidRPr="00846769">
        <w:fldChar w:fldCharType="begin"/>
      </w:r>
      <w:r w:rsidR="00192097" w:rsidRPr="00846769">
        <w:instrText xml:space="preserve"> REF _Ref171948518 \h </w:instrText>
      </w:r>
      <w:r w:rsidR="00192097" w:rsidRPr="00846769">
        <w:fldChar w:fldCharType="separate"/>
      </w:r>
      <w:r w:rsidR="00192097" w:rsidRPr="00846769">
        <w:t>Figure 8</w:t>
      </w:r>
      <w:r w:rsidR="00192097" w:rsidRPr="00846769">
        <w:fldChar w:fldCharType="end"/>
      </w:r>
      <w:r w:rsidR="00611CCC" w:rsidRPr="00846769">
        <w:t>)</w:t>
      </w:r>
      <w:r w:rsidRPr="00846769">
        <w:t xml:space="preserve">. Float savers are fitted to reduce rope friction. Marine-grade rope is used for attaching the array to a wharf, pontoon, or other similar stricture. A ballast (minimum 4 kg) is used to anchor the settlement array rope to the sea floor which prevents the array from drifting. </w:t>
      </w:r>
    </w:p>
    <w:p w14:paraId="06830753" w14:textId="5A59A25C" w:rsidR="00F4070F" w:rsidRPr="00846769" w:rsidRDefault="00F4070F" w:rsidP="00F4070F">
      <w:pPr>
        <w:pStyle w:val="Caption"/>
      </w:pPr>
      <w:bookmarkStart w:id="753" w:name="_Ref171948518"/>
      <w:bookmarkStart w:id="754" w:name="_Toc191999521"/>
      <w:bookmarkEnd w:id="752"/>
      <w:r w:rsidRPr="00846769">
        <w:t xml:space="preserve">Figure </w:t>
      </w:r>
      <w:r w:rsidRPr="00846769">
        <w:fldChar w:fldCharType="begin"/>
      </w:r>
      <w:r w:rsidRPr="00846769">
        <w:instrText xml:space="preserve"> SEQ Figure \* ARABIC </w:instrText>
      </w:r>
      <w:r w:rsidRPr="00846769">
        <w:fldChar w:fldCharType="separate"/>
      </w:r>
      <w:r w:rsidR="00192097" w:rsidRPr="00846769">
        <w:t>8</w:t>
      </w:r>
      <w:r w:rsidRPr="00846769">
        <w:fldChar w:fldCharType="end"/>
      </w:r>
      <w:bookmarkEnd w:id="753"/>
      <w:r w:rsidRPr="00846769">
        <w:t xml:space="preserve"> Schematic of typical box </w:t>
      </w:r>
      <w:r w:rsidR="00192097" w:rsidRPr="00846769">
        <w:t xml:space="preserve">settlement </w:t>
      </w:r>
      <w:r w:rsidRPr="00846769">
        <w:t>array deployment</w:t>
      </w:r>
      <w:bookmarkEnd w:id="754"/>
    </w:p>
    <w:p w14:paraId="36338336" w14:textId="3BFBFFC3" w:rsidR="00E7056A" w:rsidRPr="00846769" w:rsidRDefault="00E7056A" w:rsidP="0022003E">
      <w:r w:rsidRPr="00846769">
        <w:rPr>
          <w:noProof/>
        </w:rPr>
        <w:drawing>
          <wp:inline distT="0" distB="0" distL="0" distR="0" wp14:anchorId="4D8FAE09" wp14:editId="5BB93442">
            <wp:extent cx="4792980" cy="2797410"/>
            <wp:effectExtent l="0" t="0" r="7620" b="3175"/>
            <wp:docPr id="41215715" name="Picture 1" descr="A line diagram drawing showing how a box array sis deployed on the size of a wharf. The frame sits just below the water's surface with the buoys on top and is connected to the wharf by a piece of rope. The ballast below the frame weighs it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5715" name="Picture 1" descr="A line diagram drawing showing how a box array sis deployed on the size of a wharf. The frame sits just below the water's surface with the buoys on top and is connected to the wharf by a piece of rope. The ballast below the frame weighs it down. "/>
                    <pic:cNvPicPr/>
                  </pic:nvPicPr>
                  <pic:blipFill>
                    <a:blip r:embed="rId301" cstate="email">
                      <a:extLst>
                        <a:ext uri="{28A0092B-C50C-407E-A947-70E740481C1C}">
                          <a14:useLocalDpi xmlns:a14="http://schemas.microsoft.com/office/drawing/2010/main" val="0"/>
                        </a:ext>
                      </a:extLst>
                    </a:blip>
                    <a:stretch>
                      <a:fillRect/>
                    </a:stretch>
                  </pic:blipFill>
                  <pic:spPr>
                    <a:xfrm>
                      <a:off x="0" y="0"/>
                      <a:ext cx="4806392" cy="2805238"/>
                    </a:xfrm>
                    <a:prstGeom prst="rect">
                      <a:avLst/>
                    </a:prstGeom>
                  </pic:spPr>
                </pic:pic>
              </a:graphicData>
            </a:graphic>
          </wp:inline>
        </w:drawing>
      </w:r>
    </w:p>
    <w:p w14:paraId="1BA288BF" w14:textId="37B6450A" w:rsidR="00C57EE7" w:rsidRPr="00846769" w:rsidRDefault="00C57EE7" w:rsidP="00C57EE7">
      <w:pPr>
        <w:pStyle w:val="FigureTableNoteSource"/>
        <w:spacing w:before="0"/>
      </w:pPr>
      <w:r w:rsidRPr="00846769">
        <w:rPr>
          <w:rStyle w:val="Emphasis"/>
          <w:i w:val="0"/>
          <w:iCs w:val="0"/>
        </w:rPr>
        <w:t>Source:</w:t>
      </w:r>
      <w:r w:rsidRPr="00846769">
        <w:t xml:space="preserve"> Aquatic Pest Biosecurity, WA Department of Primary Industries and Regional Development</w:t>
      </w:r>
    </w:p>
    <w:p w14:paraId="3A429CD0" w14:textId="72D2715E" w:rsidR="00C57EE7" w:rsidRPr="00846769" w:rsidRDefault="00752793" w:rsidP="0022003E">
      <w:bookmarkStart w:id="755" w:name="_Hlk189644583"/>
      <w:r w:rsidRPr="00846769">
        <w:lastRenderedPageBreak/>
        <w:t>Box arrays are deployed and their position marked, and additional crab condos may be added to the array</w:t>
      </w:r>
      <w:r w:rsidR="00611CCC" w:rsidRPr="00846769">
        <w:t xml:space="preserve"> (</w:t>
      </w:r>
      <w:r w:rsidR="00192097" w:rsidRPr="00846769">
        <w:fldChar w:fldCharType="begin"/>
      </w:r>
      <w:r w:rsidR="00192097" w:rsidRPr="00846769">
        <w:instrText xml:space="preserve"> REF _Ref171946074 \h </w:instrText>
      </w:r>
      <w:r w:rsidR="00192097" w:rsidRPr="00846769">
        <w:fldChar w:fldCharType="separate"/>
      </w:r>
      <w:r w:rsidR="00192097" w:rsidRPr="00846769">
        <w:t>Photo 30</w:t>
      </w:r>
      <w:r w:rsidR="00192097" w:rsidRPr="00846769">
        <w:fldChar w:fldCharType="end"/>
      </w:r>
      <w:r w:rsidR="00611CCC" w:rsidRPr="00846769">
        <w:t>)</w:t>
      </w:r>
      <w:r w:rsidRPr="00846769">
        <w:t>. The length of time a box array is deployed varies, but usually arrays are deployed for two months at a time. Arrays may be deployed twice a year to capture summer and winter seasonal peaks, or more frequently (</w:t>
      </w:r>
      <w:r w:rsidR="00845EC2">
        <w:t>e.g.</w:t>
      </w:r>
      <w:r w:rsidRPr="00846769">
        <w:t xml:space="preserve"> four or six times a year). Multiple box arrays may be deployed at a site at a given time.</w:t>
      </w:r>
      <w:bookmarkEnd w:id="755"/>
    </w:p>
    <w:p w14:paraId="39A2BB2D" w14:textId="5FFB836F" w:rsidR="00611CCC" w:rsidRPr="00846769" w:rsidRDefault="00611CCC" w:rsidP="00611CCC">
      <w:pPr>
        <w:pStyle w:val="Caption"/>
        <w:spacing w:before="120"/>
        <w:rPr>
          <w:rFonts w:asciiTheme="minorHAnsi" w:hAnsiTheme="minorHAnsi"/>
        </w:rPr>
      </w:pPr>
      <w:bookmarkStart w:id="756" w:name="_Ref171946074"/>
      <w:bookmarkStart w:id="757" w:name="_Toc171946484"/>
      <w:bookmarkStart w:id="758" w:name="_Toc191999554"/>
      <w:r w:rsidRPr="00846769">
        <w:t xml:space="preserve">Photo </w:t>
      </w:r>
      <w:r w:rsidRPr="00846769">
        <w:fldChar w:fldCharType="begin"/>
      </w:r>
      <w:r w:rsidRPr="00846769">
        <w:instrText xml:space="preserve"> SEQ Photo \* ARABIC </w:instrText>
      </w:r>
      <w:r w:rsidRPr="00846769">
        <w:fldChar w:fldCharType="separate"/>
      </w:r>
      <w:r w:rsidR="00300312" w:rsidRPr="00846769">
        <w:t>30</w:t>
      </w:r>
      <w:r w:rsidRPr="00846769">
        <w:fldChar w:fldCharType="end"/>
      </w:r>
      <w:bookmarkEnd w:id="756"/>
      <w:r w:rsidRPr="00846769">
        <w:t xml:space="preserve"> Box</w:t>
      </w:r>
      <w:r w:rsidR="00192097" w:rsidRPr="00846769">
        <w:t xml:space="preserve"> settlement</w:t>
      </w:r>
      <w:r w:rsidRPr="00846769">
        <w:t xml:space="preserve"> array and crab condo ready for deployment (left) and box array deployed in-water (right)</w:t>
      </w:r>
      <w:bookmarkEnd w:id="757"/>
      <w:bookmarkEnd w:id="758"/>
    </w:p>
    <w:p w14:paraId="2C8FFCCC" w14:textId="1832951D" w:rsidR="0022003E" w:rsidRPr="00846769" w:rsidRDefault="00E7056A" w:rsidP="0022003E">
      <w:r w:rsidRPr="00846769">
        <w:rPr>
          <w:noProof/>
        </w:rPr>
        <w:drawing>
          <wp:inline distT="0" distB="0" distL="0" distR="0" wp14:anchorId="678F49B5" wp14:editId="35C82ED3">
            <wp:extent cx="5044440" cy="3053155"/>
            <wp:effectExtent l="0" t="0" r="3810" b="0"/>
            <wp:docPr id="291919185" name="Picture 1" descr="A coloured photograph showing a box array design out of water with crab condos attached, which are PVC pipes for crabs to use. The photograph also shows how the box arrays looks deployed in blue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19185" name="Picture 1" descr="A coloured photograph showing a box array design out of water with crab condos attached, which are PVC pipes for crabs to use. The photograph also shows how the box arrays looks deployed in blue water. "/>
                    <pic:cNvPicPr/>
                  </pic:nvPicPr>
                  <pic:blipFill>
                    <a:blip r:embed="rId302" cstate="email">
                      <a:extLst>
                        <a:ext uri="{28A0092B-C50C-407E-A947-70E740481C1C}">
                          <a14:useLocalDpi xmlns:a14="http://schemas.microsoft.com/office/drawing/2010/main" val="0"/>
                        </a:ext>
                      </a:extLst>
                    </a:blip>
                    <a:stretch>
                      <a:fillRect/>
                    </a:stretch>
                  </pic:blipFill>
                  <pic:spPr>
                    <a:xfrm>
                      <a:off x="0" y="0"/>
                      <a:ext cx="5057957" cy="3061336"/>
                    </a:xfrm>
                    <a:prstGeom prst="rect">
                      <a:avLst/>
                    </a:prstGeom>
                  </pic:spPr>
                </pic:pic>
              </a:graphicData>
            </a:graphic>
          </wp:inline>
        </w:drawing>
      </w:r>
    </w:p>
    <w:p w14:paraId="3CE03818" w14:textId="77777777" w:rsidR="00C57EE7" w:rsidRPr="00846769" w:rsidRDefault="00C57EE7" w:rsidP="00C57EE7">
      <w:pPr>
        <w:pStyle w:val="FigureTableNoteSource"/>
        <w:spacing w:before="0"/>
      </w:pPr>
      <w:r w:rsidRPr="00846769">
        <w:rPr>
          <w:rStyle w:val="Emphasis"/>
          <w:i w:val="0"/>
          <w:iCs w:val="0"/>
        </w:rPr>
        <w:t>Source:</w:t>
      </w:r>
      <w:r w:rsidRPr="00846769">
        <w:t xml:space="preserve"> Aquatic Pest Biosecurity, WA Department of Primary Industries and Regional Development</w:t>
      </w:r>
    </w:p>
    <w:p w14:paraId="0FEA3D13" w14:textId="3A5559A4" w:rsidR="0022003E" w:rsidRPr="00846769" w:rsidRDefault="00647F96" w:rsidP="00A04E26">
      <w:pPr>
        <w:pStyle w:val="Heading3"/>
      </w:pPr>
      <w:bookmarkStart w:id="759" w:name="_Toc191998688"/>
      <w:bookmarkStart w:id="760" w:name="_Hlk189644655"/>
      <w:r w:rsidRPr="00846769">
        <w:t>Hanging settlement array</w:t>
      </w:r>
      <w:bookmarkEnd w:id="759"/>
    </w:p>
    <w:p w14:paraId="4361D3AE" w14:textId="4BD77E25" w:rsidR="006939E1" w:rsidRPr="00846769" w:rsidRDefault="005D35C3" w:rsidP="00BF317B">
      <w:r w:rsidRPr="00846769">
        <w:t>The ‘hanging’</w:t>
      </w:r>
      <w:r w:rsidR="00B5740F" w:rsidRPr="00846769">
        <w:t xml:space="preserve"> settlement array </w:t>
      </w:r>
      <w:r w:rsidRPr="00846769">
        <w:t xml:space="preserve">is </w:t>
      </w:r>
      <w:r w:rsidR="00B5740F" w:rsidRPr="00846769">
        <w:t xml:space="preserve">constructed with PVC plates deployed at </w:t>
      </w:r>
      <w:r w:rsidRPr="00846769">
        <w:t>~</w:t>
      </w:r>
      <w:r w:rsidR="00B5740F" w:rsidRPr="00846769">
        <w:t>2 m</w:t>
      </w:r>
      <w:r w:rsidRPr="00846769">
        <w:t xml:space="preserve"> below the surface</w:t>
      </w:r>
      <w:r w:rsidR="00B5740F" w:rsidRPr="00846769">
        <w:t xml:space="preserve"> </w:t>
      </w:r>
      <w:r w:rsidR="00B5740F" w:rsidRPr="00E04E42">
        <w:t>(</w:t>
      </w:r>
      <w:r w:rsidR="00B5740F" w:rsidRPr="00A04E26">
        <w:t>Sutton &amp; Hewitt 2004)</w:t>
      </w:r>
      <w:r w:rsidR="00B5740F" w:rsidRPr="00E04E42">
        <w:t xml:space="preserve"> (</w:t>
      </w:r>
      <w:r w:rsidR="00192097" w:rsidRPr="00A04E26">
        <w:fldChar w:fldCharType="begin"/>
      </w:r>
      <w:r w:rsidR="00192097" w:rsidRPr="00E04E42">
        <w:instrText xml:space="preserve"> REF _Ref171948543 \h </w:instrText>
      </w:r>
      <w:r w:rsidR="00E04E42">
        <w:instrText xml:space="preserve"> \* MERGEFORMAT </w:instrText>
      </w:r>
      <w:r w:rsidR="00192097" w:rsidRPr="00A04E26">
        <w:fldChar w:fldCharType="separate"/>
      </w:r>
      <w:r w:rsidR="00192097" w:rsidRPr="00E04E42">
        <w:t>Figure 9</w:t>
      </w:r>
      <w:r w:rsidR="00192097" w:rsidRPr="00A04E26">
        <w:fldChar w:fldCharType="end"/>
      </w:r>
      <w:r w:rsidR="00B5740F" w:rsidRPr="00846769">
        <w:t xml:space="preserve">). Generally, the design </w:t>
      </w:r>
      <w:r w:rsidRPr="00846769">
        <w:t>uses</w:t>
      </w:r>
      <w:r w:rsidR="004B2DF5" w:rsidRPr="00846769">
        <w:t xml:space="preserve"> </w:t>
      </w:r>
      <w:r w:rsidR="00B5740F" w:rsidRPr="00846769">
        <w:t xml:space="preserve">14.5 cm x 14.5 cm PVC plates that </w:t>
      </w:r>
      <w:r w:rsidRPr="00846769">
        <w:t>are</w:t>
      </w:r>
      <w:r w:rsidR="00B5740F" w:rsidRPr="00846769">
        <w:t xml:space="preserve"> abraded by sandblasting on one side. Two holes </w:t>
      </w:r>
      <w:r w:rsidRPr="00846769">
        <w:t>are</w:t>
      </w:r>
      <w:r w:rsidR="00B5740F" w:rsidRPr="00846769">
        <w:t xml:space="preserve"> drilled in the middle of each plate and secured to a brick with cable ties with the roughened side facing away from the brick. One end of the rope </w:t>
      </w:r>
      <w:r w:rsidRPr="00846769">
        <w:t xml:space="preserve">is </w:t>
      </w:r>
      <w:r w:rsidR="00B5740F" w:rsidRPr="00846769">
        <w:t xml:space="preserve">attached to the brick and the other to a structure in the environment, for example a wharf piling. Sutton and Hewitt (2004) recommended securing the plates horizontally at a depth of 2 m below the low tide. The plates should be deployed for a minimum of three months to allow biofouling to reach a size and maturity to enable high taxonomic resolution. </w:t>
      </w:r>
    </w:p>
    <w:p w14:paraId="15EF6DCA" w14:textId="254BE033" w:rsidR="00F4070F" w:rsidRPr="00846769" w:rsidRDefault="00F4070F" w:rsidP="00F4070F">
      <w:pPr>
        <w:pStyle w:val="Caption"/>
      </w:pPr>
      <w:bookmarkStart w:id="761" w:name="_Ref171948543"/>
      <w:bookmarkStart w:id="762" w:name="_Toc191999522"/>
      <w:bookmarkEnd w:id="760"/>
      <w:r w:rsidRPr="00846769">
        <w:lastRenderedPageBreak/>
        <w:t xml:space="preserve">Figure </w:t>
      </w:r>
      <w:r w:rsidRPr="00846769">
        <w:fldChar w:fldCharType="begin"/>
      </w:r>
      <w:r w:rsidRPr="00846769">
        <w:instrText xml:space="preserve"> SEQ Figure \* ARABIC </w:instrText>
      </w:r>
      <w:r w:rsidRPr="00846769">
        <w:fldChar w:fldCharType="separate"/>
      </w:r>
      <w:r w:rsidR="00192097" w:rsidRPr="00846769">
        <w:t>9</w:t>
      </w:r>
      <w:r w:rsidRPr="00846769">
        <w:fldChar w:fldCharType="end"/>
      </w:r>
      <w:bookmarkEnd w:id="761"/>
      <w:r w:rsidRPr="00846769">
        <w:t xml:space="preserve"> Hanging </w:t>
      </w:r>
      <w:r w:rsidR="00192097" w:rsidRPr="00846769">
        <w:t xml:space="preserve">settlement </w:t>
      </w:r>
      <w:r w:rsidRPr="00846769">
        <w:t>design recommended by Sutton and Hewitt (2004)</w:t>
      </w:r>
      <w:bookmarkEnd w:id="762"/>
    </w:p>
    <w:p w14:paraId="3B93FB22" w14:textId="77777777" w:rsidR="00647F96" w:rsidRPr="00846769" w:rsidRDefault="00647F96" w:rsidP="00647F96">
      <w:r w:rsidRPr="00846769">
        <w:rPr>
          <w:noProof/>
        </w:rPr>
        <w:drawing>
          <wp:inline distT="0" distB="0" distL="0" distR="0" wp14:anchorId="645AE51F" wp14:editId="3F9AEECE">
            <wp:extent cx="5311140" cy="5353064"/>
            <wp:effectExtent l="0" t="0" r="3810" b="0"/>
            <wp:docPr id="41" name="Picture 41" descr="A schematic diagram of a settlement array as recommended by Sutton and Hewitt (2004). The larger main diagram shows the entire structure including marker buoy attached to settlement plates which are attached to an anchor. The smaller diagram in the box shows detailing of how the settlement plate is attached to a brick which is attached to a rope that can be attached to a structure such as a wharf or piling) or a floating buoy as demonstrated in the larger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hematic diagram of a settlement array as recommended by Sutton and Hewitt (2004). The larger main diagram shows the entire structure including marker buoy attached to settlement plates which are attached to an anchor. The smaller diagram in the box shows detailing of how the settlement plate is attached to a brick which is attached to a rope that can be attached to a structure such as a wharf or piling) or a floating buoy as demonstrated in the larger diagram. "/>
                    <pic:cNvPicPr/>
                  </pic:nvPicPr>
                  <pic:blipFill rotWithShape="1">
                    <a:blip r:embed="rId303" cstate="email">
                      <a:extLst>
                        <a:ext uri="{28A0092B-C50C-407E-A947-70E740481C1C}">
                          <a14:useLocalDpi xmlns:a14="http://schemas.microsoft.com/office/drawing/2010/main" val="0"/>
                        </a:ext>
                      </a:extLst>
                    </a:blip>
                    <a:srcRect/>
                    <a:stretch/>
                  </pic:blipFill>
                  <pic:spPr bwMode="auto">
                    <a:xfrm>
                      <a:off x="0" y="0"/>
                      <a:ext cx="5343216" cy="5385393"/>
                    </a:xfrm>
                    <a:prstGeom prst="rect">
                      <a:avLst/>
                    </a:prstGeom>
                    <a:ln>
                      <a:noFill/>
                    </a:ln>
                    <a:extLst>
                      <a:ext uri="{53640926-AAD7-44D8-BBD7-CCE9431645EC}">
                        <a14:shadowObscured xmlns:a14="http://schemas.microsoft.com/office/drawing/2010/main"/>
                      </a:ext>
                    </a:extLst>
                  </pic:spPr>
                </pic:pic>
              </a:graphicData>
            </a:graphic>
          </wp:inline>
        </w:drawing>
      </w:r>
    </w:p>
    <w:p w14:paraId="028E0089" w14:textId="4EE1EA79" w:rsidR="00647F96" w:rsidRPr="00846769" w:rsidRDefault="00647F96" w:rsidP="00647F96">
      <w:pPr>
        <w:pStyle w:val="FigureTableNoteSource"/>
      </w:pPr>
      <w:r w:rsidRPr="00846769">
        <w:rPr>
          <w:rStyle w:val="Emphasis"/>
          <w:i w:val="0"/>
          <w:iCs w:val="0"/>
        </w:rPr>
        <w:t>Source</w:t>
      </w:r>
      <w:r w:rsidRPr="00E04E42">
        <w:rPr>
          <w:rStyle w:val="Emphasis"/>
          <w:i w:val="0"/>
          <w:iCs w:val="0"/>
        </w:rPr>
        <w:t>:</w:t>
      </w:r>
      <w:r w:rsidRPr="00E04E42">
        <w:rPr>
          <w:rStyle w:val="Emphasis"/>
        </w:rPr>
        <w:t xml:space="preserve"> </w:t>
      </w:r>
      <w:r w:rsidRPr="00A04E26">
        <w:t>Tait and Inglis (2016)</w:t>
      </w:r>
    </w:p>
    <w:p w14:paraId="42105619" w14:textId="33EEF087" w:rsidR="00764CE7" w:rsidRPr="00846769" w:rsidRDefault="00764CE7" w:rsidP="00A04E26">
      <w:pPr>
        <w:pStyle w:val="Heading3"/>
      </w:pPr>
      <w:bookmarkStart w:id="763" w:name="_Toc191998689"/>
      <w:bookmarkStart w:id="764" w:name="_Hlk189644746"/>
      <w:r w:rsidRPr="00846769">
        <w:t>Double T-unit array</w:t>
      </w:r>
      <w:bookmarkEnd w:id="763"/>
    </w:p>
    <w:p w14:paraId="0261B537" w14:textId="5F0F9800" w:rsidR="005D35C3" w:rsidRPr="00846769" w:rsidRDefault="00B5740F" w:rsidP="00BF317B">
      <w:r w:rsidRPr="00846769">
        <w:t xml:space="preserve">A monitoring programme for marine biofouling </w:t>
      </w:r>
      <w:r w:rsidRPr="00E04E42">
        <w:t xml:space="preserve">organisms in 2000 followed the incursion and eradication of </w:t>
      </w:r>
      <w:r w:rsidRPr="00E04E42">
        <w:rPr>
          <w:i/>
          <w:iCs/>
        </w:rPr>
        <w:t xml:space="preserve">Mytilopsis sallei </w:t>
      </w:r>
      <w:r w:rsidR="00764CE7" w:rsidRPr="00E04E42">
        <w:t xml:space="preserve">in the Northern Territory </w:t>
      </w:r>
      <w:r w:rsidRPr="00E04E42">
        <w:t>(</w:t>
      </w:r>
      <w:r w:rsidRPr="00A04E26">
        <w:t>Cribb et al. 2010</w:t>
      </w:r>
      <w:r w:rsidRPr="00E04E42">
        <w:t xml:space="preserve">). The programme principally targeted </w:t>
      </w:r>
      <w:r w:rsidRPr="00E04E42">
        <w:rPr>
          <w:i/>
          <w:iCs/>
        </w:rPr>
        <w:t>M</w:t>
      </w:r>
      <w:r w:rsidR="00845EC2" w:rsidRPr="00E04E42">
        <w:rPr>
          <w:i/>
          <w:iCs/>
        </w:rPr>
        <w:t>ytilopsis</w:t>
      </w:r>
      <w:r w:rsidRPr="00E04E42">
        <w:rPr>
          <w:i/>
          <w:iCs/>
        </w:rPr>
        <w:t xml:space="preserve"> sallei, Perna vir</w:t>
      </w:r>
      <w:r w:rsidR="00125EBD" w:rsidRPr="00E04E42">
        <w:rPr>
          <w:i/>
          <w:iCs/>
        </w:rPr>
        <w:t>i</w:t>
      </w:r>
      <w:r w:rsidRPr="00E04E42">
        <w:rPr>
          <w:i/>
          <w:iCs/>
        </w:rPr>
        <w:t>dis</w:t>
      </w:r>
      <w:r w:rsidR="00764CE7" w:rsidRPr="00E04E42">
        <w:rPr>
          <w:i/>
          <w:iCs/>
        </w:rPr>
        <w:t>,</w:t>
      </w:r>
      <w:r w:rsidRPr="00E04E42">
        <w:rPr>
          <w:i/>
          <w:iCs/>
        </w:rPr>
        <w:t xml:space="preserve"> </w:t>
      </w:r>
      <w:r w:rsidRPr="00E04E42">
        <w:t xml:space="preserve">and </w:t>
      </w:r>
      <w:r w:rsidRPr="00E04E42">
        <w:rPr>
          <w:i/>
          <w:iCs/>
        </w:rPr>
        <w:t>Arcuatula senhousia</w:t>
      </w:r>
      <w:r w:rsidRPr="00E04E42">
        <w:t>. The original settlement plate design (</w:t>
      </w:r>
      <w:r w:rsidR="00192097" w:rsidRPr="00A04E26">
        <w:fldChar w:fldCharType="begin"/>
      </w:r>
      <w:r w:rsidR="00192097" w:rsidRPr="00E04E42">
        <w:instrText xml:space="preserve"> REF _Ref171948568 \h </w:instrText>
      </w:r>
      <w:r w:rsidR="00E04E42">
        <w:instrText xml:space="preserve"> \* MERGEFORMAT </w:instrText>
      </w:r>
      <w:r w:rsidR="00192097" w:rsidRPr="00A04E26">
        <w:fldChar w:fldCharType="separate"/>
      </w:r>
      <w:r w:rsidR="00192097" w:rsidRPr="00E04E42">
        <w:t>Figure 10</w:t>
      </w:r>
      <w:r w:rsidR="00192097" w:rsidRPr="00A04E26">
        <w:fldChar w:fldCharType="end"/>
      </w:r>
      <w:r w:rsidRPr="00E04E42">
        <w:t>) consisted of a rope backbone to which two PVC pipe T-units were secured. The T-units were attached to the rope backbone at two water depths</w:t>
      </w:r>
      <w:r w:rsidR="00764CE7" w:rsidRPr="00E04E42">
        <w:t xml:space="preserve"> at</w:t>
      </w:r>
      <w:r w:rsidRPr="00E04E42">
        <w:t xml:space="preserve"> </w:t>
      </w:r>
      <w:r w:rsidR="00764CE7" w:rsidRPr="00E04E42">
        <w:t>~</w:t>
      </w:r>
      <w:r w:rsidRPr="00E04E42">
        <w:t xml:space="preserve">1 m below the water surface and </w:t>
      </w:r>
      <w:r w:rsidR="00764CE7" w:rsidRPr="00E04E42">
        <w:t>~</w:t>
      </w:r>
      <w:r w:rsidRPr="00E04E42">
        <w:t>1 m above the seafloor (</w:t>
      </w:r>
      <w:r w:rsidRPr="00A04E26">
        <w:t>Ferguson 2000</w:t>
      </w:r>
      <w:r w:rsidRPr="00E04E42">
        <w:t>). Each</w:t>
      </w:r>
      <w:r w:rsidRPr="00846769">
        <w:t xml:space="preserve"> T-unit ha</w:t>
      </w:r>
      <w:r w:rsidR="00764CE7" w:rsidRPr="00846769">
        <w:t>s</w:t>
      </w:r>
      <w:r w:rsidRPr="00846769">
        <w:t xml:space="preserve"> two horizontal arms comprising 0.7 m</w:t>
      </w:r>
      <w:r w:rsidR="00764CE7" w:rsidRPr="00846769">
        <w:t xml:space="preserve"> </w:t>
      </w:r>
      <w:r w:rsidRPr="00846769">
        <w:t>lengths of 25 mm diameter PVC pipe.</w:t>
      </w:r>
      <w:r w:rsidR="005D35C3" w:rsidRPr="00846769">
        <w:t xml:space="preserve"> This array is called the ‘double T-unit array’ for the purpose of this manual. </w:t>
      </w:r>
    </w:p>
    <w:p w14:paraId="0F60E030" w14:textId="7D93D8B2" w:rsidR="006939E1" w:rsidRPr="00846769" w:rsidRDefault="00B5740F" w:rsidP="00BF317B">
      <w:r w:rsidRPr="00846769">
        <w:t xml:space="preserve">On each T-unit, two 14.5 x 14.5 cm flat sheets of PVC were fixed horizontally and two were fixed in a vertical potion to target organisms with different light requirements (not particularly relevant for marine bivalves). A 15 cm length of ‘hairy’ or ‘Christmas tree’ rope mop was suspended midway along each horizontal tube. The arrays were deployed by attaching the rope backbone to the </w:t>
      </w:r>
      <w:r w:rsidRPr="00846769">
        <w:lastRenderedPageBreak/>
        <w:t xml:space="preserve">undersides of wharves using a metal eyelet drilled into the wharf. The base of the array was anchored to the seafloor by a single concrete block. </w:t>
      </w:r>
      <w:r w:rsidR="00764CE7" w:rsidRPr="00846769">
        <w:t>Variations of this design included different depths of deployment and number and orientations of PVC plates.</w:t>
      </w:r>
    </w:p>
    <w:p w14:paraId="539C9463" w14:textId="000A46D4" w:rsidR="00F4070F" w:rsidRPr="00846769" w:rsidRDefault="00F4070F" w:rsidP="00F4070F">
      <w:pPr>
        <w:pStyle w:val="Caption"/>
      </w:pPr>
      <w:bookmarkStart w:id="765" w:name="_Ref171948568"/>
      <w:bookmarkStart w:id="766" w:name="_Toc191999523"/>
      <w:bookmarkEnd w:id="764"/>
      <w:r w:rsidRPr="00846769">
        <w:t xml:space="preserve">Figure </w:t>
      </w:r>
      <w:r w:rsidRPr="00846769">
        <w:fldChar w:fldCharType="begin"/>
      </w:r>
      <w:r w:rsidRPr="00846769">
        <w:instrText xml:space="preserve"> SEQ Figure \* ARABIC </w:instrText>
      </w:r>
      <w:r w:rsidRPr="00846769">
        <w:fldChar w:fldCharType="separate"/>
      </w:r>
      <w:r w:rsidR="00192097" w:rsidRPr="00846769">
        <w:t>10</w:t>
      </w:r>
      <w:r w:rsidRPr="00846769">
        <w:fldChar w:fldCharType="end"/>
      </w:r>
      <w:bookmarkEnd w:id="765"/>
      <w:r w:rsidRPr="00846769">
        <w:t xml:space="preserve"> Double T-unit array design showing vertical plates (V) and horizontal plates (H)</w:t>
      </w:r>
      <w:bookmarkEnd w:id="766"/>
    </w:p>
    <w:p w14:paraId="5FD9200C" w14:textId="77777777" w:rsidR="006939E1" w:rsidRPr="00846769" w:rsidRDefault="00B5740F" w:rsidP="00BF317B">
      <w:r w:rsidRPr="00846769">
        <w:rPr>
          <w:noProof/>
        </w:rPr>
        <w:drawing>
          <wp:inline distT="0" distB="0" distL="0" distR="0" wp14:anchorId="060C928F" wp14:editId="14CCDB0D">
            <wp:extent cx="4229100" cy="5288620"/>
            <wp:effectExtent l="0" t="0" r="0" b="7620"/>
            <wp:docPr id="4" name="Picture 4" descr="Line diagram of a double T-unit settlement array design. Settlement plates are shown by dark grey squares which orientated either vertically (V) or horizontally (H). Rope mops are shown by R. These are deployed at roughly 2 m or 5 m dep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e diagram of a double T-unit settlement array design. Settlement plates are shown by dark grey squares which orientated either vertically (V) or horizontally (H). Rope mops are shown by R. These are deployed at roughly 2 m or 5 m depth. "/>
                    <pic:cNvPicPr>
                      <a:picLocks noChangeAspect="1" noChangeArrowheads="1"/>
                    </pic:cNvPicPr>
                  </pic:nvPicPr>
                  <pic:blipFill>
                    <a:blip r:embed="rId304">
                      <a:extLst>
                        <a:ext uri="{28A0092B-C50C-407E-A947-70E740481C1C}">
                          <a14:useLocalDpi xmlns:a14="http://schemas.microsoft.com/office/drawing/2010/main" val="0"/>
                        </a:ext>
                      </a:extLst>
                    </a:blip>
                    <a:stretch>
                      <a:fillRect/>
                    </a:stretch>
                  </pic:blipFill>
                  <pic:spPr bwMode="auto">
                    <a:xfrm>
                      <a:off x="0" y="0"/>
                      <a:ext cx="4231776" cy="5291966"/>
                    </a:xfrm>
                    <a:prstGeom prst="rect">
                      <a:avLst/>
                    </a:prstGeom>
                    <a:noFill/>
                    <a:ln>
                      <a:noFill/>
                    </a:ln>
                  </pic:spPr>
                </pic:pic>
              </a:graphicData>
            </a:graphic>
          </wp:inline>
        </w:drawing>
      </w:r>
    </w:p>
    <w:p w14:paraId="27AF643F" w14:textId="77777777" w:rsidR="006939E1" w:rsidRPr="00846769" w:rsidRDefault="00B5740F" w:rsidP="00BF317B">
      <w:pPr>
        <w:pStyle w:val="FigureTableNoteSource"/>
      </w:pPr>
      <w:r w:rsidRPr="00846769">
        <w:rPr>
          <w:rStyle w:val="Emphasis"/>
          <w:i w:val="0"/>
          <w:iCs w:val="0"/>
        </w:rPr>
        <w:t>Source</w:t>
      </w:r>
      <w:r w:rsidRPr="00846769">
        <w:rPr>
          <w:rStyle w:val="Emphasis"/>
        </w:rPr>
        <w:t xml:space="preserve">: </w:t>
      </w:r>
      <w:proofErr w:type="spellStart"/>
      <w:r w:rsidRPr="00846769">
        <w:t>Floerl</w:t>
      </w:r>
      <w:proofErr w:type="spellEnd"/>
      <w:r w:rsidRPr="00846769">
        <w:t xml:space="preserve"> et al. (2012)</w:t>
      </w:r>
    </w:p>
    <w:p w14:paraId="1EC98E93" w14:textId="6D788436" w:rsidR="00764CE7" w:rsidRPr="00846769" w:rsidRDefault="005D35C3" w:rsidP="00A04E26">
      <w:pPr>
        <w:pStyle w:val="Heading3"/>
      </w:pPr>
      <w:bookmarkStart w:id="767" w:name="_Toc191998690"/>
      <w:bookmarkStart w:id="768" w:name="_Hlk189644852"/>
      <w:r w:rsidRPr="00846769">
        <w:t>Single</w:t>
      </w:r>
      <w:r w:rsidR="00764CE7" w:rsidRPr="00846769">
        <w:t xml:space="preserve"> T-unit array</w:t>
      </w:r>
      <w:bookmarkEnd w:id="767"/>
    </w:p>
    <w:p w14:paraId="35786D10" w14:textId="61F34495" w:rsidR="00764CE7" w:rsidRPr="00846769" w:rsidRDefault="00764CE7" w:rsidP="00764CE7">
      <w:r w:rsidRPr="00846769">
        <w:t>One variation of the double T-unit design has been used in the Northern Territory (</w:t>
      </w:r>
      <w:r w:rsidR="00192097" w:rsidRPr="00846769">
        <w:rPr>
          <w:highlight w:val="yellow"/>
        </w:rPr>
        <w:fldChar w:fldCharType="begin"/>
      </w:r>
      <w:r w:rsidR="00192097" w:rsidRPr="00846769">
        <w:instrText xml:space="preserve"> REF _Ref171948595 \h </w:instrText>
      </w:r>
      <w:r w:rsidR="00192097" w:rsidRPr="00846769">
        <w:rPr>
          <w:highlight w:val="yellow"/>
        </w:rPr>
      </w:r>
      <w:r w:rsidR="00192097" w:rsidRPr="00846769">
        <w:rPr>
          <w:highlight w:val="yellow"/>
        </w:rPr>
        <w:fldChar w:fldCharType="separate"/>
      </w:r>
      <w:r w:rsidR="00192097" w:rsidRPr="00846769">
        <w:t>Figure 11</w:t>
      </w:r>
      <w:r w:rsidR="00192097" w:rsidRPr="00846769">
        <w:rPr>
          <w:highlight w:val="yellow"/>
        </w:rPr>
        <w:fldChar w:fldCharType="end"/>
      </w:r>
      <w:r w:rsidRPr="00846769">
        <w:t xml:space="preserve">), </w:t>
      </w:r>
      <w:r w:rsidR="005D35C3" w:rsidRPr="00846769">
        <w:t xml:space="preserve">which has been called the ‘single T-unit array’ for the purpose of this manual. This array </w:t>
      </w:r>
      <w:r w:rsidRPr="00846769">
        <w:t xml:space="preserve">is suspended from a floating structure, such as a mooring buoy or pontoon, so that </w:t>
      </w:r>
      <w:r w:rsidR="005D35C3" w:rsidRPr="00846769">
        <w:t>its</w:t>
      </w:r>
      <w:r w:rsidRPr="00846769">
        <w:t xml:space="preserve"> move</w:t>
      </w:r>
      <w:r w:rsidR="005D35C3" w:rsidRPr="00846769">
        <w:t>s</w:t>
      </w:r>
      <w:r w:rsidRPr="00846769">
        <w:t xml:space="preserve"> vertically with the tide and the settlement surfaces are maintained at around 2.5 m depth. This design includes deploying three PVC plates and a single rope mop on one arm of the T-unit (the ‘tagged’ side). </w:t>
      </w:r>
      <w:r w:rsidR="00E62704">
        <w:t xml:space="preserve">On initial setup plates and rope mop are installed on one side, and at the subsequent three-monthly inspection a second set is installed on the second side. Plates and mops are collected for lab examination after six months, and field notes made on the other array that is left in the water. Tagging one side ensures </w:t>
      </w:r>
      <w:r w:rsidR="00E62704">
        <w:lastRenderedPageBreak/>
        <w:t>that the correct side is collected as sometimes it can be difficult to distinguish plates with three months of fouling from those with six months fouling.</w:t>
      </w:r>
      <w:r w:rsidRPr="00846769">
        <w:t xml:space="preserve"> </w:t>
      </w:r>
    </w:p>
    <w:p w14:paraId="3D9B137E" w14:textId="5A336082" w:rsidR="00F4070F" w:rsidRPr="00846769" w:rsidRDefault="00F4070F" w:rsidP="00F4070F">
      <w:pPr>
        <w:pStyle w:val="Caption"/>
      </w:pPr>
      <w:bookmarkStart w:id="769" w:name="_Ref171948595"/>
      <w:bookmarkStart w:id="770" w:name="_Toc191999524"/>
      <w:bookmarkEnd w:id="768"/>
      <w:r w:rsidRPr="00846769">
        <w:t xml:space="preserve">Figure </w:t>
      </w:r>
      <w:r w:rsidRPr="00846769">
        <w:fldChar w:fldCharType="begin"/>
      </w:r>
      <w:r w:rsidRPr="00846769">
        <w:instrText xml:space="preserve"> SEQ Figure \* ARABIC </w:instrText>
      </w:r>
      <w:r w:rsidRPr="00846769">
        <w:fldChar w:fldCharType="separate"/>
      </w:r>
      <w:r w:rsidR="00192097" w:rsidRPr="00846769">
        <w:t>11</w:t>
      </w:r>
      <w:r w:rsidRPr="00846769">
        <w:fldChar w:fldCharType="end"/>
      </w:r>
      <w:bookmarkEnd w:id="769"/>
      <w:r w:rsidRPr="00846769">
        <w:t xml:space="preserve"> Single T-unit array design</w:t>
      </w:r>
      <w:bookmarkEnd w:id="770"/>
    </w:p>
    <w:p w14:paraId="009F3014" w14:textId="61D12BFB" w:rsidR="006939E1" w:rsidRPr="00846769" w:rsidRDefault="00B5740F" w:rsidP="00BF317B">
      <w:r w:rsidRPr="00846769">
        <w:rPr>
          <w:noProof/>
        </w:rPr>
        <w:drawing>
          <wp:inline distT="0" distB="0" distL="0" distR="0" wp14:anchorId="7E341934" wp14:editId="33B571D5">
            <wp:extent cx="6326375" cy="4572000"/>
            <wp:effectExtent l="0" t="0" r="0" b="0"/>
            <wp:docPr id="7" name="Picture 7" descr="A line diagram of a single T-unit settlement array. Multiple settlement plates are shown by dark grey squares which orientated vertically. Rope mops are shown by R. These are deployed by PVC piping which is attached to an ancho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ne diagram of a single T-unit settlement array. Multiple settlement plates are shown by dark grey squares which orientated vertically. Rope mops are shown by R. These are deployed by PVC piping which is attached to an anchor weight."/>
                    <pic:cNvPicPr>
                      <a:picLocks noChangeAspect="1" noChangeArrowheads="1"/>
                    </pic:cNvPicPr>
                  </pic:nvPicPr>
                  <pic:blipFill>
                    <a:blip r:embed="rId305">
                      <a:extLst>
                        <a:ext uri="{28A0092B-C50C-407E-A947-70E740481C1C}">
                          <a14:useLocalDpi xmlns:a14="http://schemas.microsoft.com/office/drawing/2010/main" val="0"/>
                        </a:ext>
                      </a:extLst>
                    </a:blip>
                    <a:stretch>
                      <a:fillRect/>
                    </a:stretch>
                  </pic:blipFill>
                  <pic:spPr bwMode="auto">
                    <a:xfrm>
                      <a:off x="0" y="0"/>
                      <a:ext cx="6371540" cy="4604640"/>
                    </a:xfrm>
                    <a:prstGeom prst="rect">
                      <a:avLst/>
                    </a:prstGeom>
                    <a:noFill/>
                    <a:ln>
                      <a:noFill/>
                    </a:ln>
                  </pic:spPr>
                </pic:pic>
              </a:graphicData>
            </a:graphic>
          </wp:inline>
        </w:drawing>
      </w:r>
    </w:p>
    <w:p w14:paraId="760413E7" w14:textId="77777777" w:rsidR="006939E1" w:rsidRPr="00846769" w:rsidRDefault="00B5740F" w:rsidP="00BF317B">
      <w:pPr>
        <w:pStyle w:val="FigureTableNoteSource"/>
      </w:pPr>
      <w:r w:rsidRPr="00125EBD">
        <w:rPr>
          <w:rStyle w:val="Emphasis"/>
          <w:i w:val="0"/>
          <w:iCs w:val="0"/>
        </w:rPr>
        <w:t>Source</w:t>
      </w:r>
      <w:r w:rsidRPr="00125EBD">
        <w:rPr>
          <w:rStyle w:val="Emphasis"/>
        </w:rPr>
        <w:t xml:space="preserve">: </w:t>
      </w:r>
      <w:r w:rsidRPr="00125EBD">
        <w:t>Northern Territory Government (2014)</w:t>
      </w:r>
    </w:p>
    <w:p w14:paraId="6BE8E75C" w14:textId="1B12B73E" w:rsidR="00F45944" w:rsidRPr="00846769" w:rsidRDefault="00F45944" w:rsidP="00A04E26">
      <w:pPr>
        <w:pStyle w:val="Heading3"/>
      </w:pPr>
      <w:bookmarkStart w:id="771" w:name="_Toc191998691"/>
      <w:bookmarkStart w:id="772" w:name="_Hlk189644929"/>
      <w:r w:rsidRPr="00846769">
        <w:t>Other array designs</w:t>
      </w:r>
      <w:bookmarkEnd w:id="771"/>
    </w:p>
    <w:p w14:paraId="157C7E4E" w14:textId="01A45634" w:rsidR="006939E1" w:rsidRPr="00846769" w:rsidRDefault="00F45944" w:rsidP="00BF317B">
      <w:r w:rsidRPr="00846769">
        <w:t xml:space="preserve">Other settlement arrays have been designed and tested for invasive marine species monitoring, such </w:t>
      </w:r>
      <w:r w:rsidRPr="00125EBD">
        <w:t xml:space="preserve">as a frame array designed </w:t>
      </w:r>
      <w:r w:rsidRPr="00A04E26">
        <w:t>by Tait et al. (2016)</w:t>
      </w:r>
      <w:r w:rsidRPr="00E04E42">
        <w:t xml:space="preserve"> in New Zealand. As described in a literature review by </w:t>
      </w:r>
      <w:r w:rsidRPr="00A04E26">
        <w:t>Tait and Inglis (2016),</w:t>
      </w:r>
      <w:r w:rsidRPr="00E04E42">
        <w:t xml:space="preserve"> there are various variables to consider when designing and deploying settlement arrays. The box array</w:t>
      </w:r>
      <w:r w:rsidRPr="00846769">
        <w:t xml:space="preserve"> is becoming the more popular design used in invasive marine species surveillance programs across Australia. </w:t>
      </w:r>
    </w:p>
    <w:bookmarkEnd w:id="772"/>
    <w:p w14:paraId="4AF54E0D" w14:textId="77777777" w:rsidR="00916ABE" w:rsidRPr="00846769" w:rsidRDefault="00916ABE" w:rsidP="00BF317B"/>
    <w:p w14:paraId="5EB4FD3F" w14:textId="39DE96D7" w:rsidR="006939E1" w:rsidRPr="00846769" w:rsidRDefault="00B5740F" w:rsidP="001C16BA">
      <w:pPr>
        <w:pStyle w:val="Heading2"/>
        <w:numPr>
          <w:ilvl w:val="0"/>
          <w:numId w:val="0"/>
        </w:numPr>
      </w:pPr>
      <w:bookmarkStart w:id="773" w:name="_Appendix_F:_Using"/>
      <w:bookmarkStart w:id="774" w:name="_Ref64638728"/>
      <w:bookmarkStart w:id="775" w:name="_Ref64638748"/>
      <w:bookmarkStart w:id="776" w:name="_Toc87599124"/>
      <w:bookmarkStart w:id="777" w:name="_Toc43120321"/>
      <w:bookmarkStart w:id="778" w:name="_Hlk61614045"/>
      <w:bookmarkStart w:id="779" w:name="_Toc191998692"/>
      <w:bookmarkEnd w:id="773"/>
      <w:r w:rsidRPr="00846769">
        <w:lastRenderedPageBreak/>
        <w:t xml:space="preserve">Appendix </w:t>
      </w:r>
      <w:r w:rsidR="002E766A" w:rsidRPr="00846769">
        <w:t>F</w:t>
      </w:r>
      <w:r w:rsidRPr="00846769">
        <w:t xml:space="preserve">: Using plankton </w:t>
      </w:r>
      <w:r w:rsidR="001E2D77" w:rsidRPr="00846769">
        <w:t xml:space="preserve">and water </w:t>
      </w:r>
      <w:r w:rsidRPr="00846769">
        <w:t>samples to detect bivalve larvae</w:t>
      </w:r>
      <w:bookmarkEnd w:id="774"/>
      <w:bookmarkEnd w:id="775"/>
      <w:bookmarkEnd w:id="776"/>
      <w:bookmarkEnd w:id="777"/>
      <w:bookmarkEnd w:id="778"/>
      <w:r w:rsidR="00B0354A">
        <w:t>,</w:t>
      </w:r>
      <w:r w:rsidR="001E2D77" w:rsidRPr="00846769">
        <w:t xml:space="preserve"> </w:t>
      </w:r>
      <w:r w:rsidR="00B0354A" w:rsidRPr="00846769">
        <w:t>gametes</w:t>
      </w:r>
      <w:r w:rsidR="00B0354A">
        <w:t xml:space="preserve"> and eDNA</w:t>
      </w:r>
      <w:bookmarkEnd w:id="779"/>
    </w:p>
    <w:p w14:paraId="0F40E5EC" w14:textId="0AEE086F" w:rsidR="001C16BA" w:rsidRPr="00846769" w:rsidRDefault="008A2E99" w:rsidP="001C16BA">
      <w:bookmarkStart w:id="780" w:name="_Hlk188346808"/>
      <w:r>
        <w:t>This appendix provides</w:t>
      </w:r>
      <w:r w:rsidR="00A80DD3">
        <w:t xml:space="preserve"> an example method for</w:t>
      </w:r>
      <w:r w:rsidR="2D45FC2C" w:rsidRPr="00846769">
        <w:t xml:space="preserve"> collecting and preserving plankton </w:t>
      </w:r>
      <w:r w:rsidR="000A733F" w:rsidRPr="00846769">
        <w:t xml:space="preserve">and </w:t>
      </w:r>
      <w:r w:rsidR="00CF4054" w:rsidRPr="00846769">
        <w:t>water samples</w:t>
      </w:r>
      <w:r w:rsidR="2D45FC2C" w:rsidRPr="00846769">
        <w:t xml:space="preserve"> to detect and quantify</w:t>
      </w:r>
      <w:r w:rsidR="2D45FC2C" w:rsidRPr="00846769">
        <w:rPr>
          <w:rStyle w:val="Emphasis"/>
        </w:rPr>
        <w:t xml:space="preserve"> </w:t>
      </w:r>
      <w:r w:rsidR="2D45FC2C" w:rsidRPr="00846769">
        <w:rPr>
          <w:rStyle w:val="Emphasis"/>
          <w:i w:val="0"/>
          <w:iCs w:val="0"/>
        </w:rPr>
        <w:t xml:space="preserve">bivalve </w:t>
      </w:r>
      <w:r w:rsidR="2D45FC2C" w:rsidRPr="00846769">
        <w:t>larvae, which can also be used for eDNA surveillance.</w:t>
      </w:r>
      <w:r w:rsidR="00B0354A">
        <w:t xml:space="preserve"> Further</w:t>
      </w:r>
      <w:r w:rsidR="007833B0" w:rsidRPr="00846769">
        <w:t xml:space="preserve"> detail on</w:t>
      </w:r>
      <w:r>
        <w:t xml:space="preserve"> plankton and water samples, as well as</w:t>
      </w:r>
      <w:r w:rsidR="007833B0" w:rsidRPr="00846769">
        <w:t xml:space="preserve"> </w:t>
      </w:r>
      <w:r w:rsidR="00A80DD3">
        <w:t xml:space="preserve">other </w:t>
      </w:r>
      <w:r w:rsidR="007833B0" w:rsidRPr="00846769">
        <w:t>methods</w:t>
      </w:r>
      <w:r>
        <w:t xml:space="preserve"> for marine pest surveillance,</w:t>
      </w:r>
      <w:r w:rsidR="007833B0" w:rsidRPr="00846769">
        <w:t xml:space="preserve"> are located in the </w:t>
      </w:r>
      <w:hyperlink r:id="rId306" w:history="1">
        <w:r w:rsidR="007833B0" w:rsidRPr="00846769">
          <w:rPr>
            <w:rStyle w:val="Hyperlink"/>
          </w:rPr>
          <w:t>Australian marine pest monitoring manual</w:t>
        </w:r>
      </w:hyperlink>
      <w:r w:rsidR="007833B0" w:rsidRPr="00846769">
        <w:t xml:space="preserve">. </w:t>
      </w:r>
      <w:r w:rsidR="00B0354A" w:rsidRPr="00846769">
        <w:t xml:space="preserve">The marine pest monitoring manual </w:t>
      </w:r>
      <w:r>
        <w:t>contains</w:t>
      </w:r>
      <w:r w:rsidR="00B0354A" w:rsidRPr="00846769">
        <w:t xml:space="preserve"> </w:t>
      </w:r>
      <w:r>
        <w:t>information on</w:t>
      </w:r>
      <w:r w:rsidR="00B0354A" w:rsidRPr="00846769">
        <w:t xml:space="preserve"> sample handling and preferred narcotising, fixation, and preservation techniques for major taxonomic groups including bivalves</w:t>
      </w:r>
      <w:r w:rsidR="00B0354A">
        <w:t xml:space="preserve">. </w:t>
      </w:r>
      <w:r w:rsidR="007833B0" w:rsidRPr="00846769">
        <w:t>It also gives advice on appropriate levels of experience required for sample processing</w:t>
      </w:r>
      <w:r w:rsidR="00A03620">
        <w:t xml:space="preserve"> for </w:t>
      </w:r>
      <w:r w:rsidR="00916ABE" w:rsidRPr="00846769">
        <w:t>plankton tows</w:t>
      </w:r>
      <w:r w:rsidR="00A03620">
        <w:t xml:space="preserve"> and other methods</w:t>
      </w:r>
      <w:r w:rsidR="007833B0" w:rsidRPr="00846769">
        <w:t xml:space="preserve">. </w:t>
      </w:r>
    </w:p>
    <w:p w14:paraId="47C1449C" w14:textId="45C86C1E" w:rsidR="001C16BA" w:rsidRPr="00E04E42" w:rsidRDefault="2D45FC2C" w:rsidP="001C16BA">
      <w:r w:rsidRPr="00846769">
        <w:t>Plankton samples can be collected using a</w:t>
      </w:r>
      <w:r w:rsidR="0097389B" w:rsidRPr="00846769">
        <w:t xml:space="preserve"> 50</w:t>
      </w:r>
      <w:r w:rsidR="003E0CB9">
        <w:rPr>
          <w:rFonts w:cstheme="minorHAnsi"/>
        </w:rPr>
        <w:t>‒</w:t>
      </w:r>
      <w:r w:rsidR="0097389B" w:rsidRPr="00846769">
        <w:t>70 cm diameter</w:t>
      </w:r>
      <w:r w:rsidRPr="00846769">
        <w:t xml:space="preserve"> bongo</w:t>
      </w:r>
      <w:r w:rsidR="009E3B74" w:rsidRPr="00846769">
        <w:t xml:space="preserve"> or conical</w:t>
      </w:r>
      <w:r w:rsidRPr="00846769">
        <w:t xml:space="preserve"> </w:t>
      </w:r>
      <w:r w:rsidR="0097389B" w:rsidRPr="00846769">
        <w:t xml:space="preserve">plankton </w:t>
      </w:r>
      <w:r w:rsidRPr="00846769">
        <w:t>net</w:t>
      </w:r>
      <w:r w:rsidR="0097389B" w:rsidRPr="00846769">
        <w:t xml:space="preserve"> with cod end. Mesh size of the net varies but usually 50</w:t>
      </w:r>
      <w:bookmarkStart w:id="781" w:name="_Hlk187233350"/>
      <w:r w:rsidR="003637A4">
        <w:rPr>
          <w:rFonts w:cstheme="minorHAnsi"/>
        </w:rPr>
        <w:t>‒</w:t>
      </w:r>
      <w:bookmarkEnd w:id="781"/>
      <w:r w:rsidR="0097389B" w:rsidRPr="00846769">
        <w:t>150 µm mesh is recommended for marine pest surveillance</w:t>
      </w:r>
      <w:r w:rsidRPr="00846769">
        <w:t xml:space="preserve">. </w:t>
      </w:r>
      <w:r w:rsidR="002F7B81">
        <w:t>The mesh size is selected based on the target life stage size (e.g. bivalve larvae)</w:t>
      </w:r>
      <w:r w:rsidR="002F7B81" w:rsidRPr="00846769">
        <w:t xml:space="preserve"> </w:t>
      </w:r>
      <w:r w:rsidR="002F7B81" w:rsidRPr="00CB19B8">
        <w:t xml:space="preserve">noting that finer mesh can be prone to clogging in environments with high planktonic abundance or suspended sediments. </w:t>
      </w:r>
      <w:r w:rsidRPr="00846769">
        <w:t>T</w:t>
      </w:r>
      <w:r w:rsidR="009E3B74" w:rsidRPr="00846769">
        <w:t>he</w:t>
      </w:r>
      <w:r w:rsidRPr="00846769">
        <w:t xml:space="preserve"> net</w:t>
      </w:r>
      <w:r w:rsidR="009E3B74" w:rsidRPr="00846769">
        <w:t xml:space="preserve"> is towed</w:t>
      </w:r>
      <w:r w:rsidRPr="00846769">
        <w:t xml:space="preserve"> behind a vessel obliquely from the sea floor (if shallower than 10 m depth) to the water </w:t>
      </w:r>
      <w:proofErr w:type="gramStart"/>
      <w:r w:rsidRPr="00846769">
        <w:t>surface</w:t>
      </w:r>
      <w:r w:rsidR="002F7B81">
        <w:t>, but</w:t>
      </w:r>
      <w:proofErr w:type="gramEnd"/>
      <w:r w:rsidR="002F7B81">
        <w:t xml:space="preserve"> can also be towed vertically or horizontally</w:t>
      </w:r>
      <w:r w:rsidRPr="00846769">
        <w:t xml:space="preserve">. Tow </w:t>
      </w:r>
      <w:r w:rsidR="009E3B74" w:rsidRPr="00846769">
        <w:t xml:space="preserve">distance </w:t>
      </w:r>
      <w:proofErr w:type="gramStart"/>
      <w:r w:rsidR="009E3B74" w:rsidRPr="00846769">
        <w:t>varies, but</w:t>
      </w:r>
      <w:proofErr w:type="gramEnd"/>
      <w:r w:rsidR="009E3B74" w:rsidRPr="00846769">
        <w:t xml:space="preserve"> usually occurs over 100</w:t>
      </w:r>
      <w:r w:rsidR="003637A4">
        <w:rPr>
          <w:rFonts w:cstheme="minorHAnsi"/>
        </w:rPr>
        <w:t>‒</w:t>
      </w:r>
      <w:r w:rsidR="009E3B74" w:rsidRPr="00846769">
        <w:t>300 m transects at a set speed (</w:t>
      </w:r>
      <w:r w:rsidR="00A03620">
        <w:t>e.g.</w:t>
      </w:r>
      <w:r w:rsidR="009E3B74" w:rsidRPr="00846769">
        <w:t xml:space="preserve"> </w:t>
      </w:r>
      <w:r w:rsidR="0097389B" w:rsidRPr="00846769">
        <w:t>1</w:t>
      </w:r>
      <w:r w:rsidR="003637A4" w:rsidRPr="003637A4">
        <w:t>–</w:t>
      </w:r>
      <w:r w:rsidR="0097389B" w:rsidRPr="00846769">
        <w:t>1.5</w:t>
      </w:r>
      <w:r w:rsidR="009E3B74" w:rsidRPr="00846769">
        <w:t xml:space="preserve"> knot</w:t>
      </w:r>
      <w:r w:rsidR="0097389B" w:rsidRPr="00846769">
        <w:t>s</w:t>
      </w:r>
      <w:r w:rsidR="009E3B74" w:rsidRPr="00846769">
        <w:t>),</w:t>
      </w:r>
      <w:r w:rsidRPr="00846769">
        <w:t xml:space="preserve"> depending on the biomass obtained in the samples</w:t>
      </w:r>
      <w:r w:rsidR="009E3B74" w:rsidRPr="00846769">
        <w:t>, the location, and the surveillance program design</w:t>
      </w:r>
      <w:r w:rsidRPr="00846769">
        <w:t xml:space="preserve">. </w:t>
      </w:r>
      <w:r w:rsidR="009E3B74" w:rsidRPr="00846769">
        <w:t xml:space="preserve">Occasionally tow duration may be used instead of distance. </w:t>
      </w:r>
      <w:r w:rsidRPr="00846769">
        <w:t>A mechanical flow meter should be fitted to the net frame and used to estimate the volume of water filtered for each tow. After each deployment, the net should be rinsed and the sample from each net washed in separate small mesh</w:t>
      </w:r>
      <w:r w:rsidR="0097389B" w:rsidRPr="00846769">
        <w:t xml:space="preserve"> (30</w:t>
      </w:r>
      <w:r w:rsidR="003637A4">
        <w:rPr>
          <w:rFonts w:cstheme="minorHAnsi"/>
        </w:rPr>
        <w:t>‒</w:t>
      </w:r>
      <w:r w:rsidR="0097389B" w:rsidRPr="00846769">
        <w:t xml:space="preserve">100 </w:t>
      </w:r>
      <w:r w:rsidR="0097389B" w:rsidRPr="00846769">
        <w:rPr>
          <w:rFonts w:cstheme="minorHAnsi"/>
        </w:rPr>
        <w:t>µ</w:t>
      </w:r>
      <w:r w:rsidR="0097389B" w:rsidRPr="00846769">
        <w:t>m)</w:t>
      </w:r>
      <w:r w:rsidRPr="00846769">
        <w:t xml:space="preserve"> net sieves to remove as much seawater </w:t>
      </w:r>
      <w:r w:rsidRPr="00E04E42">
        <w:t>as possible.</w:t>
      </w:r>
    </w:p>
    <w:p w14:paraId="40681F15" w14:textId="77777777" w:rsidR="00094908" w:rsidRDefault="00B5740F" w:rsidP="001C16BA">
      <w:r w:rsidRPr="00E04E42">
        <w:t>Alternatively, plankton samples may be obtained using a centrifugal, motor-driven pump with a throughput of about 0.5 m</w:t>
      </w:r>
      <w:r w:rsidRPr="00E04E42">
        <w:rPr>
          <w:vertAlign w:val="superscript"/>
        </w:rPr>
        <w:t>3</w:t>
      </w:r>
      <w:r w:rsidRPr="00E04E42">
        <w:t>/minute (Queiroga et al. 1994). Pump output should be measured and kept approximately constant for all samples. Samples should be taken throughout the top 20 m</w:t>
      </w:r>
      <w:r w:rsidR="00A03620" w:rsidRPr="00E04E42">
        <w:t xml:space="preserve"> </w:t>
      </w:r>
      <w:r w:rsidRPr="00E04E42">
        <w:t>of the water column at 1 </w:t>
      </w:r>
      <w:r w:rsidR="00A03620" w:rsidRPr="00E04E42">
        <w:t xml:space="preserve">m </w:t>
      </w:r>
      <w:r w:rsidRPr="00E04E42">
        <w:t xml:space="preserve">depth intervals or greater, but no closer than 0.5 m from the bottom. Water retrieved by the pump should be passed through a </w:t>
      </w:r>
      <w:r w:rsidR="00A03620" w:rsidRPr="00E04E42">
        <w:t>fine mesh</w:t>
      </w:r>
      <w:r w:rsidR="00B0354A" w:rsidRPr="00E04E42">
        <w:t xml:space="preserve"> net to retain the larvae</w:t>
      </w:r>
      <w:r w:rsidR="002F7B81" w:rsidRPr="00E04E42">
        <w:t>. The mesh size is selected based on the target plankton size</w:t>
      </w:r>
      <w:r w:rsidR="00A03620" w:rsidRPr="00E04E42">
        <w:t xml:space="preserve">. </w:t>
      </w:r>
      <w:r w:rsidRPr="00E04E42">
        <w:t>After each deployment, the net should be rinsed using a bilge pump and the sample from each net washed in separate small 100 µm mesh net sieves to remove as much seawater as possible.</w:t>
      </w:r>
      <w:r w:rsidR="00A03620" w:rsidRPr="00E04E42">
        <w:t xml:space="preserve"> </w:t>
      </w:r>
    </w:p>
    <w:p w14:paraId="5C71DF26" w14:textId="497C5244" w:rsidR="001C16BA" w:rsidRPr="00846769" w:rsidRDefault="00094908" w:rsidP="001C16BA">
      <w:r>
        <w:t xml:space="preserve">Water samples can be collected using buckets or bottles, including </w:t>
      </w:r>
      <w:proofErr w:type="spellStart"/>
      <w:r>
        <w:t>Niskin</w:t>
      </w:r>
      <w:proofErr w:type="spellEnd"/>
      <w:r>
        <w:t xml:space="preserve"> bottles to collect at depth. Water samples need to be filtered following collection. </w:t>
      </w:r>
      <w:r w:rsidR="00A03620" w:rsidRPr="00E04E42">
        <w:t>Some jurisdictions, like Victoria and Queensland, use eDNA water samplers with self-preserving filters in their marine pest surveillance programs (see Thomas et al. 201</w:t>
      </w:r>
      <w:r w:rsidR="00E04E42" w:rsidRPr="00E04E42">
        <w:t>8</w:t>
      </w:r>
      <w:r w:rsidR="00A03620" w:rsidRPr="00E04E42">
        <w:t>).</w:t>
      </w:r>
    </w:p>
    <w:p w14:paraId="1575FA2B" w14:textId="07B3B354" w:rsidR="007C2702" w:rsidRPr="00846769" w:rsidRDefault="007C2702" w:rsidP="001C16BA">
      <w:r w:rsidRPr="00846769">
        <w:t xml:space="preserve">If </w:t>
      </w:r>
      <w:r w:rsidR="00A03620">
        <w:t xml:space="preserve">both </w:t>
      </w:r>
      <w:r w:rsidRPr="00846769">
        <w:t xml:space="preserve">morphological and molecular approaches for plankton identification are used, net samples should be subsampled and processed separately for microscopic identification and molecular diagnostics. See page 114 in the </w:t>
      </w:r>
      <w:hyperlink r:id="rId307" w:history="1">
        <w:r w:rsidRPr="00846769">
          <w:rPr>
            <w:rStyle w:val="Hyperlink"/>
          </w:rPr>
          <w:t>Australian marine pest monitoring manual</w:t>
        </w:r>
      </w:hyperlink>
      <w:r w:rsidRPr="00846769">
        <w:t xml:space="preserve"> for details on sample processing methods for invertebrate larvae net tows. </w:t>
      </w:r>
    </w:p>
    <w:p w14:paraId="3CB9BD25" w14:textId="448A70C3" w:rsidR="001C16BA" w:rsidRPr="00846769" w:rsidRDefault="00916ABE" w:rsidP="001C16BA">
      <w:r w:rsidRPr="00846769">
        <w:lastRenderedPageBreak/>
        <w:t>Plankton s</w:t>
      </w:r>
      <w:r w:rsidR="00B5740F" w:rsidRPr="00846769">
        <w:t xml:space="preserve">amples that will be analysed using </w:t>
      </w:r>
      <w:r w:rsidRPr="00846769">
        <w:t>molecular diagnostics</w:t>
      </w:r>
      <w:r w:rsidR="00B5740F" w:rsidRPr="00846769">
        <w:t xml:space="preserve"> should not be put into formalin</w:t>
      </w:r>
      <w:r w:rsidR="0048232B" w:rsidRPr="00846769">
        <w:t>, as formalin vapor can deteriorate the DNA</w:t>
      </w:r>
      <w:r w:rsidR="00B5740F" w:rsidRPr="00846769">
        <w:t>. Instead, the</w:t>
      </w:r>
      <w:r w:rsidR="0048232B" w:rsidRPr="00846769">
        <w:t>se samples</w:t>
      </w:r>
      <w:r w:rsidR="00B5740F" w:rsidRPr="00846769">
        <w:t xml:space="preserve"> should be rinsed into sample jars with SET-buffered, reagent-grade ethanol</w:t>
      </w:r>
      <w:r w:rsidR="007833B0" w:rsidRPr="00846769">
        <w:t xml:space="preserve"> (usually 70% or 90%)</w:t>
      </w:r>
      <w:r w:rsidR="00B5740F" w:rsidRPr="00846769">
        <w:t>, ensuring that the ratio of biomass to SET buffered ethanol is no more than 1 to 3.</w:t>
      </w:r>
      <w:r w:rsidR="00B0354A">
        <w:t xml:space="preserve"> Nucleic acid preservation buffers can also be used, e.g. </w:t>
      </w:r>
      <w:proofErr w:type="spellStart"/>
      <w:r w:rsidR="00B0354A">
        <w:t>RNAlater</w:t>
      </w:r>
      <w:proofErr w:type="spellEnd"/>
      <w:r w:rsidR="00B0354A">
        <w:t xml:space="preserve">® or </w:t>
      </w:r>
      <w:proofErr w:type="spellStart"/>
      <w:r w:rsidR="00B0354A">
        <w:t>Longmires</w:t>
      </w:r>
      <w:proofErr w:type="spellEnd"/>
      <w:r w:rsidR="00B0354A">
        <w:t xml:space="preserve"> solution, providing these are compatible with the DNA extraction method to be applied.</w:t>
      </w:r>
    </w:p>
    <w:p w14:paraId="3C9A0298" w14:textId="77777777" w:rsidR="001C16BA" w:rsidRPr="00846769" w:rsidRDefault="00B5740F" w:rsidP="001C16BA">
      <w:r w:rsidRPr="00846769">
        <w:t>Each sample should be labelled with:</w:t>
      </w:r>
    </w:p>
    <w:p w14:paraId="7B624600" w14:textId="7020E6EA" w:rsidR="001C16BA" w:rsidRPr="00846769" w:rsidRDefault="00B5740F" w:rsidP="001C16BA">
      <w:pPr>
        <w:pStyle w:val="ListBullet"/>
      </w:pPr>
      <w:r w:rsidRPr="00846769">
        <w:t>details of the location in which it was collected (</w:t>
      </w:r>
      <w:r w:rsidR="00A03620">
        <w:t xml:space="preserve">including </w:t>
      </w:r>
      <w:r w:rsidRPr="00846769">
        <w:t>latitude and longitude</w:t>
      </w:r>
      <w:r w:rsidR="00A03620">
        <w:t xml:space="preserve"> where possible</w:t>
      </w:r>
      <w:r w:rsidRPr="00846769">
        <w:t>)</w:t>
      </w:r>
    </w:p>
    <w:p w14:paraId="04246477" w14:textId="7BB57D4A" w:rsidR="001C16BA" w:rsidRPr="00846769" w:rsidRDefault="00B5740F" w:rsidP="001C16BA">
      <w:pPr>
        <w:pStyle w:val="ListBullet"/>
      </w:pPr>
      <w:r w:rsidRPr="00846769">
        <w:t>the method used to collect the sample (</w:t>
      </w:r>
      <w:r w:rsidR="00A03620">
        <w:t xml:space="preserve">e.g. </w:t>
      </w:r>
      <w:r w:rsidRPr="00846769">
        <w:t>plankton tow or pump)</w:t>
      </w:r>
    </w:p>
    <w:p w14:paraId="032EE374" w14:textId="77777777" w:rsidR="001C16BA" w:rsidRPr="00846769" w:rsidRDefault="00B5740F" w:rsidP="001C16BA">
      <w:pPr>
        <w:pStyle w:val="ListBullet"/>
      </w:pPr>
      <w:r w:rsidRPr="00846769">
        <w:t>the sample identifier (such as number in sequence of samples or sample code)</w:t>
      </w:r>
    </w:p>
    <w:p w14:paraId="38D891CA" w14:textId="77777777" w:rsidR="001C16BA" w:rsidRPr="00846769" w:rsidRDefault="00B5740F" w:rsidP="001C16BA">
      <w:pPr>
        <w:pStyle w:val="ListBullet"/>
      </w:pPr>
      <w:r w:rsidRPr="00846769">
        <w:t>the date and time collected</w:t>
      </w:r>
    </w:p>
    <w:p w14:paraId="675DB226" w14:textId="77777777" w:rsidR="001C16BA" w:rsidRPr="00846769" w:rsidRDefault="00B5740F" w:rsidP="001C16BA">
      <w:pPr>
        <w:pStyle w:val="ListBullet"/>
      </w:pPr>
      <w:r w:rsidRPr="00846769">
        <w:t>the name of the collector.</w:t>
      </w:r>
    </w:p>
    <w:p w14:paraId="10883C64" w14:textId="06EEFFE1" w:rsidR="002E098E" w:rsidRDefault="00B5740F" w:rsidP="001C16BA">
      <w:r w:rsidRPr="00846769">
        <w:t>Additional information collected with the sample (such as environmental variables, tow speed and duration, depth of collection) should be recorded separately and should also include details of the date of collection, the sample identifier, the method used and location details.</w:t>
      </w:r>
    </w:p>
    <w:bookmarkEnd w:id="780"/>
    <w:p w14:paraId="19DAFD6F" w14:textId="0BBEFB7D" w:rsidR="001C69F1" w:rsidRPr="00846769" w:rsidRDefault="001C69F1">
      <w:pPr>
        <w:spacing w:after="160" w:line="259" w:lineRule="auto"/>
      </w:pPr>
      <w:r w:rsidRPr="00846769">
        <w:br w:type="page"/>
      </w:r>
    </w:p>
    <w:p w14:paraId="3FEAB271" w14:textId="77777777" w:rsidR="002E098E" w:rsidRPr="00846769" w:rsidRDefault="002E098E" w:rsidP="002E098E">
      <w:pPr>
        <w:pStyle w:val="Heading2"/>
        <w:numPr>
          <w:ilvl w:val="0"/>
          <w:numId w:val="0"/>
        </w:numPr>
      </w:pPr>
      <w:bookmarkStart w:id="782" w:name="_Appendix_G:_Policy"/>
      <w:bookmarkStart w:id="783" w:name="_Toc151557958"/>
      <w:bookmarkStart w:id="784" w:name="_Toc191998693"/>
      <w:bookmarkEnd w:id="782"/>
      <w:r w:rsidRPr="00846769">
        <w:lastRenderedPageBreak/>
        <w:t>Glossary</w:t>
      </w:r>
      <w:bookmarkEnd w:id="783"/>
      <w:bookmarkEnd w:id="784"/>
    </w:p>
    <w:tbl>
      <w:tblPr>
        <w:tblW w:w="8972" w:type="dxa"/>
        <w:tblBorders>
          <w:top w:val="single" w:sz="4" w:space="0" w:color="auto"/>
          <w:bottom w:val="single" w:sz="4" w:space="0" w:color="auto"/>
          <w:insideH w:val="single" w:sz="4" w:space="0" w:color="auto"/>
        </w:tblBorders>
        <w:tblLook w:val="0000" w:firstRow="0" w:lastRow="0" w:firstColumn="0" w:lastColumn="0" w:noHBand="0" w:noVBand="0"/>
      </w:tblPr>
      <w:tblGrid>
        <w:gridCol w:w="2188"/>
        <w:gridCol w:w="6784"/>
      </w:tblGrid>
      <w:tr w:rsidR="00A9652F" w:rsidRPr="00846769" w14:paraId="590D1F08" w14:textId="77777777" w:rsidTr="00A04E26">
        <w:trPr>
          <w:trHeight w:val="397"/>
          <w:tblHeader/>
        </w:trPr>
        <w:tc>
          <w:tcPr>
            <w:tcW w:w="2188" w:type="dxa"/>
            <w:shd w:val="clear" w:color="auto" w:fill="FFFFFF" w:themeFill="background1"/>
            <w:noWrap/>
            <w:vAlign w:val="center"/>
          </w:tcPr>
          <w:p w14:paraId="2BA54EDF" w14:textId="69D00DB8" w:rsidR="00A9652F" w:rsidRPr="00846769" w:rsidRDefault="00A9652F" w:rsidP="00A9652F">
            <w:pPr>
              <w:pStyle w:val="TableText"/>
              <w:rPr>
                <w:b/>
                <w:bCs/>
              </w:rPr>
            </w:pPr>
            <w:bookmarkStart w:id="785" w:name="Table_Glossary"/>
            <w:bookmarkEnd w:id="785"/>
            <w:r w:rsidRPr="00846769">
              <w:rPr>
                <w:b/>
                <w:bCs/>
              </w:rPr>
              <w:t>Term</w:t>
            </w:r>
          </w:p>
        </w:tc>
        <w:tc>
          <w:tcPr>
            <w:tcW w:w="6784" w:type="dxa"/>
            <w:shd w:val="clear" w:color="auto" w:fill="FFFFFF" w:themeFill="background1"/>
            <w:noWrap/>
            <w:vAlign w:val="center"/>
          </w:tcPr>
          <w:p w14:paraId="7FCF917B" w14:textId="18E7A30E" w:rsidR="00A9652F" w:rsidRPr="00846769" w:rsidRDefault="00A9652F" w:rsidP="00A9652F">
            <w:pPr>
              <w:pStyle w:val="TableText"/>
              <w:rPr>
                <w:b/>
                <w:bCs/>
              </w:rPr>
            </w:pPr>
            <w:r w:rsidRPr="00846769">
              <w:rPr>
                <w:b/>
                <w:bCs/>
              </w:rPr>
              <w:t>Definition</w:t>
            </w:r>
          </w:p>
        </w:tc>
      </w:tr>
      <w:tr w:rsidR="00F03462" w:rsidRPr="00846769" w14:paraId="048FF7FF" w14:textId="77777777" w:rsidTr="00A04E26">
        <w:trPr>
          <w:trHeight w:val="397"/>
        </w:trPr>
        <w:tc>
          <w:tcPr>
            <w:tcW w:w="2188" w:type="dxa"/>
            <w:shd w:val="clear" w:color="auto" w:fill="FFFFFF" w:themeFill="background1"/>
            <w:noWrap/>
          </w:tcPr>
          <w:p w14:paraId="176F2611" w14:textId="008119B6" w:rsidR="00F03462" w:rsidRPr="00846769" w:rsidRDefault="00F03462" w:rsidP="00A67BBE">
            <w:pPr>
              <w:pStyle w:val="TableText"/>
            </w:pPr>
            <w:r w:rsidRPr="00846769">
              <w:t>Active surveillance</w:t>
            </w:r>
          </w:p>
        </w:tc>
        <w:tc>
          <w:tcPr>
            <w:tcW w:w="6784" w:type="dxa"/>
            <w:shd w:val="clear" w:color="auto" w:fill="FFFFFF" w:themeFill="background1"/>
            <w:noWrap/>
          </w:tcPr>
          <w:p w14:paraId="1E141C57" w14:textId="600A8D96" w:rsidR="00F03462" w:rsidRPr="00846769" w:rsidRDefault="00FA3F4D" w:rsidP="00A67BBE">
            <w:pPr>
              <w:pStyle w:val="TableText"/>
            </w:pPr>
            <w:r w:rsidRPr="00846769">
              <w:t>Biosecurity surveillance carried out in a fully structure</w:t>
            </w:r>
            <w:r w:rsidR="00130FDC" w:rsidRPr="00846769">
              <w:t>d</w:t>
            </w:r>
            <w:r w:rsidRPr="00846769">
              <w:t xml:space="preserve"> way, such as according to formal protocols in a specified surveillance program, usually undertaken by paid staff from government or industry agencies.</w:t>
            </w:r>
          </w:p>
        </w:tc>
      </w:tr>
      <w:tr w:rsidR="002E098E" w:rsidRPr="00846769" w14:paraId="0CAD4432" w14:textId="77777777" w:rsidTr="00A04E26">
        <w:trPr>
          <w:trHeight w:val="397"/>
        </w:trPr>
        <w:tc>
          <w:tcPr>
            <w:tcW w:w="2188" w:type="dxa"/>
            <w:shd w:val="clear" w:color="auto" w:fill="FFFFFF" w:themeFill="background1"/>
            <w:noWrap/>
          </w:tcPr>
          <w:p w14:paraId="2EB4979F" w14:textId="77777777" w:rsidR="002E098E" w:rsidRPr="00846769" w:rsidRDefault="002E098E" w:rsidP="00A67BBE">
            <w:pPr>
              <w:pStyle w:val="TableText"/>
            </w:pPr>
            <w:r w:rsidRPr="00846769">
              <w:t xml:space="preserve">Aquatic species </w:t>
            </w:r>
          </w:p>
        </w:tc>
        <w:tc>
          <w:tcPr>
            <w:tcW w:w="6784" w:type="dxa"/>
            <w:shd w:val="clear" w:color="auto" w:fill="FFFFFF" w:themeFill="background1"/>
            <w:noWrap/>
          </w:tcPr>
          <w:p w14:paraId="612968FB" w14:textId="5402C1F2" w:rsidR="002E098E" w:rsidRPr="00846769" w:rsidRDefault="002E098E" w:rsidP="00A67BBE">
            <w:pPr>
              <w:pStyle w:val="TableText"/>
            </w:pPr>
            <w:r w:rsidRPr="00846769">
              <w:t>Any organism which spends all or significant parts of its lifecycle in fresh, brackish</w:t>
            </w:r>
            <w:r w:rsidR="00885691" w:rsidRPr="00846769">
              <w:t>,</w:t>
            </w:r>
            <w:r w:rsidRPr="00846769">
              <w:t xml:space="preserve"> or marine waters. </w:t>
            </w:r>
          </w:p>
        </w:tc>
      </w:tr>
      <w:tr w:rsidR="002E098E" w:rsidRPr="00846769" w14:paraId="0C4FC4DD" w14:textId="77777777" w:rsidTr="00A04E26">
        <w:trPr>
          <w:trHeight w:val="397"/>
        </w:trPr>
        <w:tc>
          <w:tcPr>
            <w:tcW w:w="2188" w:type="dxa"/>
            <w:shd w:val="clear" w:color="auto" w:fill="FFFFFF" w:themeFill="background1"/>
            <w:noWrap/>
          </w:tcPr>
          <w:p w14:paraId="6E1DF1ED" w14:textId="77777777" w:rsidR="002E098E" w:rsidRPr="00846769" w:rsidRDefault="002E098E" w:rsidP="00A67BBE">
            <w:pPr>
              <w:pStyle w:val="TableText"/>
            </w:pPr>
            <w:r w:rsidRPr="00846769">
              <w:t xml:space="preserve">Ballast water </w:t>
            </w:r>
          </w:p>
        </w:tc>
        <w:tc>
          <w:tcPr>
            <w:tcW w:w="6784" w:type="dxa"/>
            <w:shd w:val="clear" w:color="auto" w:fill="FFFFFF" w:themeFill="background1"/>
            <w:noWrap/>
          </w:tcPr>
          <w:p w14:paraId="0DD7010B" w14:textId="62C01652" w:rsidR="002E098E" w:rsidRPr="00846769" w:rsidRDefault="002E098E" w:rsidP="00A67BBE">
            <w:pPr>
              <w:pStyle w:val="TableText"/>
            </w:pPr>
            <w:r w:rsidRPr="00846769">
              <w:t>Water with its suspended matter</w:t>
            </w:r>
            <w:r w:rsidR="004B6EAC" w:rsidRPr="00846769">
              <w:t xml:space="preserve"> (</w:t>
            </w:r>
            <w:r w:rsidR="0004422F">
              <w:t>i.e.</w:t>
            </w:r>
            <w:r w:rsidR="004B6EAC" w:rsidRPr="00846769">
              <w:t xml:space="preserve"> sediment)</w:t>
            </w:r>
            <w:r w:rsidRPr="00846769">
              <w:t xml:space="preserve"> taken on board a vessel</w:t>
            </w:r>
            <w:r w:rsidR="00064A9C" w:rsidRPr="00846769">
              <w:t xml:space="preserve"> into its ballast tanks or cargo holds</w:t>
            </w:r>
            <w:r w:rsidRPr="00846769">
              <w:t xml:space="preserve"> to control trim, list, draught, stability</w:t>
            </w:r>
            <w:r w:rsidR="00885691" w:rsidRPr="00846769">
              <w:t>,</w:t>
            </w:r>
            <w:r w:rsidRPr="00846769">
              <w:t xml:space="preserve"> or stresses of the vessel.</w:t>
            </w:r>
          </w:p>
        </w:tc>
      </w:tr>
      <w:tr w:rsidR="002E098E" w:rsidRPr="00846769" w14:paraId="65417AF8" w14:textId="77777777" w:rsidTr="00A04E26">
        <w:trPr>
          <w:trHeight w:val="397"/>
        </w:trPr>
        <w:tc>
          <w:tcPr>
            <w:tcW w:w="2188" w:type="dxa"/>
            <w:shd w:val="clear" w:color="auto" w:fill="FFFFFF" w:themeFill="background1"/>
            <w:noWrap/>
          </w:tcPr>
          <w:p w14:paraId="6B3FF8CC" w14:textId="77777777" w:rsidR="002E098E" w:rsidRPr="00846769" w:rsidRDefault="002E098E" w:rsidP="00A67BBE">
            <w:pPr>
              <w:pStyle w:val="TableText"/>
            </w:pPr>
            <w:r w:rsidRPr="00846769">
              <w:t xml:space="preserve">Biofouling </w:t>
            </w:r>
          </w:p>
        </w:tc>
        <w:tc>
          <w:tcPr>
            <w:tcW w:w="6784" w:type="dxa"/>
            <w:shd w:val="clear" w:color="auto" w:fill="FFFFFF" w:themeFill="background1"/>
            <w:noWrap/>
          </w:tcPr>
          <w:p w14:paraId="103891E3" w14:textId="092B875E" w:rsidR="002E098E" w:rsidRPr="00846769" w:rsidRDefault="002E098E" w:rsidP="00A67BBE">
            <w:pPr>
              <w:pStyle w:val="TableText"/>
            </w:pPr>
            <w:r w:rsidRPr="00846769">
              <w:t>Biofouling is the attachment or accumulation of aquatic organisms such as microorganisms, plants</w:t>
            </w:r>
            <w:r w:rsidR="00885691" w:rsidRPr="00846769">
              <w:t xml:space="preserve">, </w:t>
            </w:r>
            <w:r w:rsidRPr="00846769">
              <w:t xml:space="preserve">and animals, to any part of a vessel, </w:t>
            </w:r>
            <w:r w:rsidR="00064A9C" w:rsidRPr="00846769">
              <w:t xml:space="preserve">or </w:t>
            </w:r>
            <w:r w:rsidRPr="00846769">
              <w:t>on surfaces and structures immersed in or exposed to the aquatic environment. Biofouling is also known as hull fouling.</w:t>
            </w:r>
          </w:p>
        </w:tc>
      </w:tr>
      <w:tr w:rsidR="002E098E" w:rsidRPr="00846769" w14:paraId="2F9797EC" w14:textId="77777777" w:rsidTr="00A04E26">
        <w:trPr>
          <w:trHeight w:val="397"/>
        </w:trPr>
        <w:tc>
          <w:tcPr>
            <w:tcW w:w="2188" w:type="dxa"/>
            <w:shd w:val="clear" w:color="auto" w:fill="FFFFFF" w:themeFill="background1"/>
            <w:noWrap/>
          </w:tcPr>
          <w:p w14:paraId="1C175D34" w14:textId="77777777" w:rsidR="002E098E" w:rsidRPr="00846769" w:rsidRDefault="002E098E" w:rsidP="00A67BBE">
            <w:pPr>
              <w:pStyle w:val="TableText"/>
            </w:pPr>
            <w:r w:rsidRPr="00846769">
              <w:t xml:space="preserve">Biological control </w:t>
            </w:r>
          </w:p>
        </w:tc>
        <w:tc>
          <w:tcPr>
            <w:tcW w:w="6784" w:type="dxa"/>
            <w:shd w:val="clear" w:color="auto" w:fill="FFFFFF" w:themeFill="background1"/>
            <w:noWrap/>
          </w:tcPr>
          <w:p w14:paraId="475F56F4" w14:textId="78D32B71" w:rsidR="002E098E" w:rsidRPr="00846769" w:rsidRDefault="002E098E" w:rsidP="00A67BBE">
            <w:pPr>
              <w:pStyle w:val="TableText"/>
            </w:pPr>
            <w:r w:rsidRPr="00846769">
              <w:t>Control of pests and weeds by another organism (</w:t>
            </w:r>
            <w:r w:rsidR="0004422F">
              <w:t>e.g.</w:t>
            </w:r>
            <w:r w:rsidRPr="00846769">
              <w:t xml:space="preserve"> insect, bacteria, virus etc), by a biological product (hormone), or by genetic or sterility manipulations. </w:t>
            </w:r>
          </w:p>
        </w:tc>
      </w:tr>
      <w:tr w:rsidR="004B6EAC" w:rsidRPr="00846769" w14:paraId="2484B052" w14:textId="77777777" w:rsidTr="00A04E26">
        <w:trPr>
          <w:trHeight w:val="397"/>
        </w:trPr>
        <w:tc>
          <w:tcPr>
            <w:tcW w:w="2188" w:type="dxa"/>
            <w:shd w:val="clear" w:color="auto" w:fill="FFFFFF" w:themeFill="background1"/>
            <w:noWrap/>
          </w:tcPr>
          <w:p w14:paraId="651F5D26" w14:textId="0F81069D" w:rsidR="004B6EAC" w:rsidRPr="00846769" w:rsidRDefault="004B6EAC" w:rsidP="00A67BBE">
            <w:pPr>
              <w:pStyle w:val="TableText"/>
            </w:pPr>
            <w:r w:rsidRPr="00846769">
              <w:t>Biosecurity</w:t>
            </w:r>
          </w:p>
        </w:tc>
        <w:tc>
          <w:tcPr>
            <w:tcW w:w="6784" w:type="dxa"/>
            <w:shd w:val="clear" w:color="auto" w:fill="FFFFFF" w:themeFill="background1"/>
            <w:noWrap/>
          </w:tcPr>
          <w:p w14:paraId="7F4566C6" w14:textId="230726FA" w:rsidR="004B6EAC" w:rsidRPr="00846769" w:rsidRDefault="004B6EAC" w:rsidP="00A67BBE">
            <w:pPr>
              <w:pStyle w:val="TableText"/>
            </w:pPr>
            <w:r w:rsidRPr="00846769">
              <w:rPr>
                <w:lang w:eastAsia="ja-JP"/>
              </w:rPr>
              <w:t>Managing risks to Australia’s economy, environment</w:t>
            </w:r>
            <w:r w:rsidR="00064A9C" w:rsidRPr="00846769">
              <w:rPr>
                <w:lang w:eastAsia="ja-JP"/>
              </w:rPr>
              <w:t>,</w:t>
            </w:r>
            <w:r w:rsidRPr="00846769">
              <w:rPr>
                <w:lang w:eastAsia="ja-JP"/>
              </w:rPr>
              <w:t xml:space="preserve"> and community from pests and diseases entering, emerging, establishing, or spreading </w:t>
            </w:r>
            <w:r w:rsidR="00064A9C" w:rsidRPr="00846769">
              <w:rPr>
                <w:lang w:eastAsia="ja-JP"/>
              </w:rPr>
              <w:t>to or within</w:t>
            </w:r>
            <w:r w:rsidRPr="00846769">
              <w:rPr>
                <w:lang w:eastAsia="ja-JP"/>
              </w:rPr>
              <w:t xml:space="preserve"> Australia</w:t>
            </w:r>
          </w:p>
        </w:tc>
      </w:tr>
      <w:tr w:rsidR="000215B0" w:rsidRPr="00846769" w14:paraId="64A92138" w14:textId="77777777" w:rsidTr="00A04E26">
        <w:trPr>
          <w:trHeight w:val="397"/>
        </w:trPr>
        <w:tc>
          <w:tcPr>
            <w:tcW w:w="2188" w:type="dxa"/>
            <w:shd w:val="clear" w:color="auto" w:fill="FFFFFF" w:themeFill="background1"/>
            <w:noWrap/>
          </w:tcPr>
          <w:p w14:paraId="47B7D8D8" w14:textId="21D7D259" w:rsidR="000215B0" w:rsidRPr="00846769" w:rsidRDefault="000215B0" w:rsidP="00A67BBE">
            <w:pPr>
              <w:pStyle w:val="TableText"/>
            </w:pPr>
            <w:r w:rsidRPr="00846769">
              <w:t>Bivalve</w:t>
            </w:r>
          </w:p>
        </w:tc>
        <w:tc>
          <w:tcPr>
            <w:tcW w:w="6784" w:type="dxa"/>
            <w:shd w:val="clear" w:color="auto" w:fill="FFFFFF" w:themeFill="background1"/>
            <w:noWrap/>
          </w:tcPr>
          <w:p w14:paraId="7306BDB8" w14:textId="51AB8A8B" w:rsidR="005A63C2" w:rsidRPr="00846769" w:rsidRDefault="00227D6E" w:rsidP="00A67BBE">
            <w:pPr>
              <w:pStyle w:val="TableText"/>
              <w:rPr>
                <w:lang w:eastAsia="ja-JP"/>
              </w:rPr>
            </w:pPr>
            <w:r w:rsidRPr="00846769">
              <w:rPr>
                <w:lang w:eastAsia="ja-JP"/>
              </w:rPr>
              <w:t>Invertebrate animals of the class</w:t>
            </w:r>
            <w:r w:rsidR="005A63C2" w:rsidRPr="00846769">
              <w:rPr>
                <w:lang w:eastAsia="ja-JP"/>
              </w:rPr>
              <w:t xml:space="preserve"> Bivalvia</w:t>
            </w:r>
            <w:r w:rsidRPr="00846769">
              <w:rPr>
                <w:lang w:eastAsia="ja-JP"/>
              </w:rPr>
              <w:t xml:space="preserve">. Bivalves are </w:t>
            </w:r>
            <w:r w:rsidR="005A63C2" w:rsidRPr="00846769">
              <w:rPr>
                <w:lang w:eastAsia="ja-JP"/>
              </w:rPr>
              <w:t>aquatic molluscs that have laterally compressed bodies enclosed by a shell consisting of two hinged parts, or ‘</w:t>
            </w:r>
            <w:proofErr w:type="gramStart"/>
            <w:r w:rsidR="005A63C2" w:rsidRPr="00846769">
              <w:rPr>
                <w:lang w:eastAsia="ja-JP"/>
              </w:rPr>
              <w:t>valves’</w:t>
            </w:r>
            <w:proofErr w:type="gramEnd"/>
            <w:r w:rsidR="005A63C2" w:rsidRPr="00846769">
              <w:rPr>
                <w:lang w:eastAsia="ja-JP"/>
              </w:rPr>
              <w:t>. Common bivalves include oysters, mussels, clams,</w:t>
            </w:r>
            <w:r w:rsidRPr="00846769">
              <w:rPr>
                <w:lang w:eastAsia="ja-JP"/>
              </w:rPr>
              <w:t xml:space="preserve"> cockles,</w:t>
            </w:r>
            <w:r w:rsidR="005A63C2" w:rsidRPr="00846769">
              <w:rPr>
                <w:lang w:eastAsia="ja-JP"/>
              </w:rPr>
              <w:t xml:space="preserve"> scallops, and </w:t>
            </w:r>
            <w:proofErr w:type="gramStart"/>
            <w:r w:rsidR="005A63C2" w:rsidRPr="00846769">
              <w:rPr>
                <w:lang w:eastAsia="ja-JP"/>
              </w:rPr>
              <w:t>false-mussels</w:t>
            </w:r>
            <w:proofErr w:type="gramEnd"/>
            <w:r w:rsidR="005A63C2" w:rsidRPr="00846769">
              <w:rPr>
                <w:lang w:eastAsia="ja-JP"/>
              </w:rPr>
              <w:t>.</w:t>
            </w:r>
          </w:p>
        </w:tc>
      </w:tr>
      <w:tr w:rsidR="002E098E" w:rsidRPr="00846769" w14:paraId="08436132" w14:textId="77777777" w:rsidTr="00A04E26">
        <w:trPr>
          <w:trHeight w:val="1025"/>
        </w:trPr>
        <w:tc>
          <w:tcPr>
            <w:tcW w:w="2188" w:type="dxa"/>
            <w:shd w:val="clear" w:color="auto" w:fill="FFFFFF" w:themeFill="background1"/>
            <w:noWrap/>
          </w:tcPr>
          <w:p w14:paraId="65AC04EF" w14:textId="77777777" w:rsidR="002E098E" w:rsidRPr="00846769" w:rsidRDefault="002E098E" w:rsidP="00A67BBE">
            <w:pPr>
              <w:pStyle w:val="TableText"/>
            </w:pPr>
            <w:r w:rsidRPr="00846769">
              <w:t>Containment</w:t>
            </w:r>
          </w:p>
        </w:tc>
        <w:tc>
          <w:tcPr>
            <w:tcW w:w="6784" w:type="dxa"/>
            <w:shd w:val="clear" w:color="auto" w:fill="FFFFFF" w:themeFill="background1"/>
            <w:noWrap/>
          </w:tcPr>
          <w:p w14:paraId="13463A9D" w14:textId="3CBB349F" w:rsidR="00064A9C" w:rsidRPr="00846769" w:rsidRDefault="00064A9C" w:rsidP="00064A9C">
            <w:pPr>
              <w:spacing w:after="0"/>
              <w:rPr>
                <w:sz w:val="18"/>
                <w:szCs w:val="18"/>
              </w:rPr>
            </w:pPr>
            <w:r w:rsidRPr="00846769">
              <w:rPr>
                <w:sz w:val="18"/>
                <w:szCs w:val="18"/>
              </w:rPr>
              <w:t>The application of measures in and around an infested area to restrict the spread of an invasive pest to a defined region. This may include reduction of the density or area of the infestation where appropriate or managing vectors. A containment program may include eradication of satellite infestations.</w:t>
            </w:r>
          </w:p>
        </w:tc>
      </w:tr>
      <w:tr w:rsidR="002E098E" w:rsidRPr="00846769" w14:paraId="55838A1F" w14:textId="77777777" w:rsidTr="00A04E26">
        <w:trPr>
          <w:trHeight w:val="397"/>
        </w:trPr>
        <w:tc>
          <w:tcPr>
            <w:tcW w:w="2188" w:type="dxa"/>
            <w:shd w:val="clear" w:color="auto" w:fill="FFFFFF" w:themeFill="background1"/>
            <w:noWrap/>
          </w:tcPr>
          <w:p w14:paraId="1BF46B92" w14:textId="77777777" w:rsidR="002E098E" w:rsidRPr="00846769" w:rsidRDefault="002E098E" w:rsidP="00A67BBE">
            <w:pPr>
              <w:pStyle w:val="TableText"/>
            </w:pPr>
            <w:r w:rsidRPr="00846769">
              <w:t>Control</w:t>
            </w:r>
          </w:p>
        </w:tc>
        <w:tc>
          <w:tcPr>
            <w:tcW w:w="6784" w:type="dxa"/>
            <w:shd w:val="clear" w:color="auto" w:fill="FFFFFF" w:themeFill="background1"/>
            <w:noWrap/>
          </w:tcPr>
          <w:p w14:paraId="0ACF808E" w14:textId="62C5B3BC" w:rsidR="00064A9C" w:rsidRPr="00846769" w:rsidRDefault="00064A9C" w:rsidP="00A67BBE">
            <w:pPr>
              <w:pStyle w:val="TableText"/>
            </w:pPr>
            <w:r w:rsidRPr="00846769">
              <w:t xml:space="preserve">In relation to organisms, control actions are those which aim to reduce the number of pest organisms, prevent an increase in pest numbers and spread, reduce organism activity to limit their impact, or modify the behaviour or characteristics of the pest population. Control may involve partial eradication or other actions which limit population size and/or reproductive potential. This term is sometimes used interchangeably with ‘management.’  </w:t>
            </w:r>
          </w:p>
        </w:tc>
      </w:tr>
      <w:tr w:rsidR="002E098E" w:rsidRPr="00846769" w14:paraId="7EFE1BAA" w14:textId="77777777" w:rsidTr="00A04E26">
        <w:trPr>
          <w:trHeight w:val="397"/>
        </w:trPr>
        <w:tc>
          <w:tcPr>
            <w:tcW w:w="2188" w:type="dxa"/>
            <w:shd w:val="clear" w:color="auto" w:fill="FFFFFF" w:themeFill="background1"/>
            <w:noWrap/>
          </w:tcPr>
          <w:p w14:paraId="3256AC7E" w14:textId="77777777" w:rsidR="002E098E" w:rsidRPr="00846769" w:rsidRDefault="002E098E" w:rsidP="00A67BBE">
            <w:pPr>
              <w:pStyle w:val="TableText"/>
            </w:pPr>
            <w:r w:rsidRPr="00846769">
              <w:t xml:space="preserve">Cost benefit analysis </w:t>
            </w:r>
          </w:p>
        </w:tc>
        <w:tc>
          <w:tcPr>
            <w:tcW w:w="6784" w:type="dxa"/>
            <w:shd w:val="clear" w:color="auto" w:fill="FFFFFF" w:themeFill="background1"/>
            <w:noWrap/>
          </w:tcPr>
          <w:p w14:paraId="42242076" w14:textId="77777777" w:rsidR="002E098E" w:rsidRPr="00846769" w:rsidRDefault="002E098E" w:rsidP="00A67BBE">
            <w:pPr>
              <w:pStyle w:val="TableText"/>
            </w:pPr>
            <w:r w:rsidRPr="00846769">
              <w:t xml:space="preserve">A comparative analysis of all costs and benefits of undertaking different options, to help decide which actions provide the best value or most suitable outcome (may include the ‘do nothing’ option). </w:t>
            </w:r>
          </w:p>
        </w:tc>
      </w:tr>
      <w:tr w:rsidR="00064A9C" w:rsidRPr="00846769" w14:paraId="640088B0" w14:textId="77777777" w:rsidTr="00A04E26">
        <w:trPr>
          <w:trHeight w:val="397"/>
        </w:trPr>
        <w:tc>
          <w:tcPr>
            <w:tcW w:w="2188" w:type="dxa"/>
            <w:shd w:val="clear" w:color="auto" w:fill="FFFFFF" w:themeFill="background1"/>
            <w:noWrap/>
          </w:tcPr>
          <w:p w14:paraId="6670410B" w14:textId="79FB7F43" w:rsidR="00064A9C" w:rsidRPr="00846769" w:rsidRDefault="00064A9C" w:rsidP="00A67BBE">
            <w:pPr>
              <w:pStyle w:val="TableText"/>
            </w:pPr>
            <w:r w:rsidRPr="00846769">
              <w:t>Cryptogenic species</w:t>
            </w:r>
          </w:p>
        </w:tc>
        <w:tc>
          <w:tcPr>
            <w:tcW w:w="6784" w:type="dxa"/>
            <w:shd w:val="clear" w:color="auto" w:fill="FFFFFF" w:themeFill="background1"/>
            <w:noWrap/>
          </w:tcPr>
          <w:p w14:paraId="7B7C20BA" w14:textId="6FE979C4" w:rsidR="00064A9C" w:rsidRPr="00846769" w:rsidRDefault="00064A9C" w:rsidP="00A67BBE">
            <w:pPr>
              <w:pStyle w:val="TableText"/>
            </w:pPr>
            <w:r w:rsidRPr="00846769">
              <w:t xml:space="preserve">A species of obscure or unknown origin for which it is not possible to reliably determine whether they are introduced or native. </w:t>
            </w:r>
          </w:p>
        </w:tc>
      </w:tr>
      <w:tr w:rsidR="002E098E" w:rsidRPr="00846769" w14:paraId="2C41EBEE" w14:textId="77777777" w:rsidTr="00A04E26">
        <w:trPr>
          <w:trHeight w:val="397"/>
        </w:trPr>
        <w:tc>
          <w:tcPr>
            <w:tcW w:w="2188" w:type="dxa"/>
            <w:shd w:val="clear" w:color="auto" w:fill="FFFFFF" w:themeFill="background1"/>
            <w:noWrap/>
          </w:tcPr>
          <w:p w14:paraId="75784FED" w14:textId="77777777" w:rsidR="002E098E" w:rsidRPr="00846769" w:rsidRDefault="002E098E" w:rsidP="00A67BBE">
            <w:pPr>
              <w:pStyle w:val="TableText"/>
            </w:pPr>
            <w:r w:rsidRPr="00846769">
              <w:t>Decontamination</w:t>
            </w:r>
          </w:p>
        </w:tc>
        <w:tc>
          <w:tcPr>
            <w:tcW w:w="6784" w:type="dxa"/>
            <w:shd w:val="clear" w:color="auto" w:fill="FFFFFF" w:themeFill="background1"/>
            <w:noWrap/>
          </w:tcPr>
          <w:p w14:paraId="239F2B04" w14:textId="7E3A6FA5" w:rsidR="00064A9C" w:rsidRPr="00846769" w:rsidRDefault="00064A9C" w:rsidP="00A67BBE">
            <w:pPr>
              <w:pStyle w:val="TableText"/>
            </w:pPr>
            <w:r w:rsidRPr="00846769">
              <w:t>Decontamination is the cleaning or treatment of material used to remove marine pests or render marine pests non-viable, including their propagules and any parasite and pathogen that can be associated with the marine pest species.</w:t>
            </w:r>
          </w:p>
        </w:tc>
      </w:tr>
      <w:tr w:rsidR="000215B0" w:rsidRPr="00846769" w14:paraId="48EADFED" w14:textId="77777777" w:rsidTr="00A04E26">
        <w:trPr>
          <w:trHeight w:val="397"/>
        </w:trPr>
        <w:tc>
          <w:tcPr>
            <w:tcW w:w="2188" w:type="dxa"/>
            <w:shd w:val="clear" w:color="auto" w:fill="FFFFFF" w:themeFill="background1"/>
            <w:noWrap/>
          </w:tcPr>
          <w:p w14:paraId="43D1E1EF" w14:textId="49828737" w:rsidR="000215B0" w:rsidRPr="00846769" w:rsidRDefault="000215B0" w:rsidP="00A67BBE">
            <w:pPr>
              <w:pStyle w:val="TableText"/>
            </w:pPr>
            <w:r w:rsidRPr="00846769">
              <w:t>Delimitation</w:t>
            </w:r>
          </w:p>
        </w:tc>
        <w:tc>
          <w:tcPr>
            <w:tcW w:w="6784" w:type="dxa"/>
            <w:shd w:val="clear" w:color="auto" w:fill="FFFFFF" w:themeFill="background1"/>
            <w:noWrap/>
          </w:tcPr>
          <w:p w14:paraId="65D574B3" w14:textId="1232DEE2" w:rsidR="000215B0" w:rsidRPr="00846769" w:rsidRDefault="000215B0" w:rsidP="00A67BBE">
            <w:pPr>
              <w:pStyle w:val="TableText"/>
            </w:pPr>
            <w:r w:rsidRPr="00846769">
              <w:t xml:space="preserve">Delimitation establishes the geographic extent of an area infested by, or free from, a marine pest, and specifically informs feasibility of eradication or areas to target for control and management. </w:t>
            </w:r>
          </w:p>
        </w:tc>
      </w:tr>
      <w:tr w:rsidR="002E098E" w:rsidRPr="00846769" w14:paraId="50F2C753" w14:textId="77777777" w:rsidTr="00A04E26">
        <w:trPr>
          <w:trHeight w:val="397"/>
        </w:trPr>
        <w:tc>
          <w:tcPr>
            <w:tcW w:w="2188" w:type="dxa"/>
            <w:shd w:val="clear" w:color="auto" w:fill="FFFFFF" w:themeFill="background1"/>
            <w:noWrap/>
          </w:tcPr>
          <w:p w14:paraId="7804DB21" w14:textId="77777777" w:rsidR="002E098E" w:rsidRPr="00846769" w:rsidRDefault="002E098E" w:rsidP="00A67BBE">
            <w:pPr>
              <w:pStyle w:val="TableText"/>
            </w:pPr>
            <w:r w:rsidRPr="00846769">
              <w:t>Destruction</w:t>
            </w:r>
          </w:p>
        </w:tc>
        <w:tc>
          <w:tcPr>
            <w:tcW w:w="6784" w:type="dxa"/>
            <w:shd w:val="clear" w:color="auto" w:fill="FFFFFF" w:themeFill="background1"/>
            <w:noWrap/>
          </w:tcPr>
          <w:p w14:paraId="6D5780BD" w14:textId="77777777" w:rsidR="002E098E" w:rsidRPr="00846769" w:rsidRDefault="002E098E" w:rsidP="00A67BBE">
            <w:pPr>
              <w:pStyle w:val="TableText"/>
            </w:pPr>
            <w:r w:rsidRPr="00846769">
              <w:t>The process of killing aquatic organisms for eradication or control purposes.</w:t>
            </w:r>
          </w:p>
        </w:tc>
      </w:tr>
      <w:tr w:rsidR="002E098E" w:rsidRPr="00846769" w14:paraId="3A2D2C95" w14:textId="77777777" w:rsidTr="00A04E26">
        <w:trPr>
          <w:trHeight w:val="397"/>
        </w:trPr>
        <w:tc>
          <w:tcPr>
            <w:tcW w:w="2188" w:type="dxa"/>
            <w:shd w:val="clear" w:color="auto" w:fill="FFFFFF" w:themeFill="background1"/>
            <w:noWrap/>
          </w:tcPr>
          <w:p w14:paraId="0CD58DF4" w14:textId="77777777" w:rsidR="002E098E" w:rsidRPr="00846769" w:rsidRDefault="002E098E" w:rsidP="00A67BBE">
            <w:pPr>
              <w:pStyle w:val="TableText"/>
            </w:pPr>
            <w:r w:rsidRPr="00846769">
              <w:t xml:space="preserve">Endemic species </w:t>
            </w:r>
          </w:p>
        </w:tc>
        <w:tc>
          <w:tcPr>
            <w:tcW w:w="6784" w:type="dxa"/>
            <w:shd w:val="clear" w:color="auto" w:fill="FFFFFF" w:themeFill="background1"/>
            <w:noWrap/>
          </w:tcPr>
          <w:p w14:paraId="77B37219" w14:textId="77777777" w:rsidR="002E098E" w:rsidRPr="00846769" w:rsidRDefault="002E098E" w:rsidP="00A67BBE">
            <w:pPr>
              <w:pStyle w:val="TableText"/>
            </w:pPr>
            <w:r w:rsidRPr="00846769">
              <w:t xml:space="preserve">A species with a native distribution restricted to the bioregion(s) of interest. </w:t>
            </w:r>
          </w:p>
        </w:tc>
      </w:tr>
      <w:tr w:rsidR="00184FEF" w:rsidRPr="00846769" w14:paraId="5CED2834" w14:textId="77777777" w:rsidTr="00A04E26">
        <w:trPr>
          <w:trHeight w:val="397"/>
        </w:trPr>
        <w:tc>
          <w:tcPr>
            <w:tcW w:w="2188" w:type="dxa"/>
            <w:shd w:val="clear" w:color="auto" w:fill="FFFFFF" w:themeFill="background1"/>
            <w:noWrap/>
          </w:tcPr>
          <w:p w14:paraId="66DA58AE" w14:textId="0574B4A3" w:rsidR="00184FEF" w:rsidRPr="00846769" w:rsidRDefault="00184FEF" w:rsidP="00A67BBE">
            <w:pPr>
              <w:pStyle w:val="TableText"/>
              <w:rPr>
                <w:lang w:eastAsia="ja-JP"/>
              </w:rPr>
            </w:pPr>
            <w:r w:rsidRPr="00846769">
              <w:rPr>
                <w:lang w:eastAsia="ja-JP"/>
              </w:rPr>
              <w:t>Eradication</w:t>
            </w:r>
          </w:p>
        </w:tc>
        <w:tc>
          <w:tcPr>
            <w:tcW w:w="6784" w:type="dxa"/>
            <w:shd w:val="clear" w:color="auto" w:fill="FFFFFF" w:themeFill="background1"/>
            <w:noWrap/>
          </w:tcPr>
          <w:p w14:paraId="6188ECB1" w14:textId="1D734F95" w:rsidR="00184FEF" w:rsidRPr="00846769" w:rsidRDefault="004B6EAC" w:rsidP="00A67BBE">
            <w:pPr>
              <w:pStyle w:val="TableText"/>
            </w:pPr>
            <w:r w:rsidRPr="00846769">
              <w:t>Under the NEBRA, eradication in relation to pests means eliminating the pest from an area. Eradication is indicated by the pest no longer being detectable.</w:t>
            </w:r>
          </w:p>
        </w:tc>
      </w:tr>
      <w:tr w:rsidR="002E098E" w:rsidRPr="00846769" w14:paraId="33DF44FD" w14:textId="77777777" w:rsidTr="00A04E26">
        <w:trPr>
          <w:trHeight w:val="397"/>
        </w:trPr>
        <w:tc>
          <w:tcPr>
            <w:tcW w:w="2188" w:type="dxa"/>
            <w:shd w:val="clear" w:color="auto" w:fill="FFFFFF" w:themeFill="background1"/>
            <w:noWrap/>
          </w:tcPr>
          <w:p w14:paraId="72142193" w14:textId="77777777" w:rsidR="002E098E" w:rsidRPr="00846769" w:rsidRDefault="002E098E" w:rsidP="00A67BBE">
            <w:pPr>
              <w:pStyle w:val="TableText"/>
            </w:pPr>
            <w:r w:rsidRPr="00846769">
              <w:rPr>
                <w:lang w:eastAsia="ja-JP"/>
              </w:rPr>
              <w:t>Established marine pest</w:t>
            </w:r>
          </w:p>
        </w:tc>
        <w:tc>
          <w:tcPr>
            <w:tcW w:w="6784" w:type="dxa"/>
            <w:shd w:val="clear" w:color="auto" w:fill="FFFFFF" w:themeFill="background1"/>
            <w:noWrap/>
          </w:tcPr>
          <w:p w14:paraId="0958EF41" w14:textId="4E2E1FEF" w:rsidR="002E098E" w:rsidRPr="00846769" w:rsidRDefault="002E098E" w:rsidP="00A67BBE">
            <w:pPr>
              <w:pStyle w:val="TableText"/>
            </w:pPr>
            <w:r w:rsidRPr="00846769">
              <w:t xml:space="preserve">A self-sustaining pest that occurs in Australia and is </w:t>
            </w:r>
            <w:r w:rsidR="000215B0" w:rsidRPr="00846769">
              <w:t xml:space="preserve">regarded as not </w:t>
            </w:r>
            <w:r w:rsidRPr="00846769">
              <w:t xml:space="preserve">eradicable. An established pest may be distributed widely across </w:t>
            </w:r>
            <w:r w:rsidR="00CE5080" w:rsidRPr="00846769">
              <w:t>Australia or</w:t>
            </w:r>
            <w:r w:rsidRPr="00846769">
              <w:t xml:space="preserve"> be only regionally distributed. A </w:t>
            </w:r>
            <w:proofErr w:type="gramStart"/>
            <w:r w:rsidRPr="00846769">
              <w:t>regionally-distributed</w:t>
            </w:r>
            <w:proofErr w:type="gramEnd"/>
            <w:r w:rsidRPr="00846769">
              <w:t xml:space="preserve"> established pest may be the subject of containment </w:t>
            </w:r>
            <w:r w:rsidRPr="00846769">
              <w:lastRenderedPageBreak/>
              <w:t>measures to mitigate further spread. Native or indigenous plants and animals are not characterised as established marine pest (even if having negative impacts).</w:t>
            </w:r>
          </w:p>
        </w:tc>
      </w:tr>
      <w:tr w:rsidR="002E098E" w:rsidRPr="00846769" w14:paraId="21444A7C" w14:textId="77777777" w:rsidTr="00A04E26">
        <w:trPr>
          <w:trHeight w:val="397"/>
        </w:trPr>
        <w:tc>
          <w:tcPr>
            <w:tcW w:w="2188" w:type="dxa"/>
            <w:shd w:val="clear" w:color="auto" w:fill="FFFFFF" w:themeFill="background1"/>
            <w:noWrap/>
          </w:tcPr>
          <w:p w14:paraId="1766767A" w14:textId="77777777" w:rsidR="002E098E" w:rsidRPr="00846769" w:rsidRDefault="002E098E" w:rsidP="00A67BBE">
            <w:pPr>
              <w:pStyle w:val="TableText"/>
            </w:pPr>
            <w:r w:rsidRPr="00846769">
              <w:lastRenderedPageBreak/>
              <w:t xml:space="preserve">Fouling organism </w:t>
            </w:r>
          </w:p>
        </w:tc>
        <w:tc>
          <w:tcPr>
            <w:tcW w:w="6784" w:type="dxa"/>
            <w:shd w:val="clear" w:color="auto" w:fill="FFFFFF" w:themeFill="background1"/>
            <w:noWrap/>
          </w:tcPr>
          <w:p w14:paraId="50DBF49F" w14:textId="7F736031" w:rsidR="002E098E" w:rsidRPr="00846769" w:rsidRDefault="002E098E" w:rsidP="00A67BBE">
            <w:pPr>
              <w:pStyle w:val="TableText"/>
            </w:pPr>
            <w:r w:rsidRPr="00846769">
              <w:t>Any plant or animal that attaches to natural and artificial substrates such as piers, navigation buoys, pilings</w:t>
            </w:r>
            <w:r w:rsidR="00CE5080" w:rsidRPr="00846769">
              <w:t>,</w:t>
            </w:r>
            <w:r w:rsidRPr="00846769">
              <w:t xml:space="preserve"> or hulls. Includes crawling and nestling forms as well as seaweeds, hydroids, barnacles, mussels, bryozoans etc. </w:t>
            </w:r>
          </w:p>
        </w:tc>
      </w:tr>
      <w:tr w:rsidR="00986712" w:rsidRPr="00846769" w14:paraId="33240CFD" w14:textId="77777777" w:rsidTr="00A04E26">
        <w:trPr>
          <w:trHeight w:val="397"/>
        </w:trPr>
        <w:tc>
          <w:tcPr>
            <w:tcW w:w="2188" w:type="dxa"/>
            <w:shd w:val="clear" w:color="auto" w:fill="FFFFFF" w:themeFill="background1"/>
            <w:noWrap/>
          </w:tcPr>
          <w:p w14:paraId="5A3CBC3E" w14:textId="1FE56FF0" w:rsidR="00986712" w:rsidRPr="00846769" w:rsidRDefault="00986712" w:rsidP="00A67BBE">
            <w:pPr>
              <w:pStyle w:val="TableText"/>
            </w:pPr>
            <w:r w:rsidRPr="00846769">
              <w:t>General surveillance</w:t>
            </w:r>
          </w:p>
        </w:tc>
        <w:tc>
          <w:tcPr>
            <w:tcW w:w="6784" w:type="dxa"/>
            <w:shd w:val="clear" w:color="auto" w:fill="FFFFFF" w:themeFill="background1"/>
            <w:noWrap/>
          </w:tcPr>
          <w:p w14:paraId="670E857D" w14:textId="4261BABE" w:rsidR="00986712" w:rsidRPr="00846769" w:rsidRDefault="00BA0C35" w:rsidP="00A67BBE">
            <w:pPr>
              <w:pStyle w:val="TableText"/>
              <w:rPr>
                <w:lang w:eastAsia="ja-JP"/>
              </w:rPr>
            </w:pPr>
            <w:r w:rsidRPr="00846769">
              <w:t>General surveillance activities which are not specifically focused on a single or select number of marine pest species.</w:t>
            </w:r>
            <w:r>
              <w:t xml:space="preserve"> General surveillance activities</w:t>
            </w:r>
            <w:r w:rsidRPr="00846769">
              <w:t xml:space="preserve"> have one or more element(s) of opportunism, on a spectrum ranging from fortuitous </w:t>
            </w:r>
            <w:r w:rsidRPr="00846769">
              <w:rPr>
                <w:i/>
                <w:iCs/>
              </w:rPr>
              <w:t xml:space="preserve">ad hoc </w:t>
            </w:r>
            <w:r w:rsidRPr="00846769">
              <w:t>detections to relatively highly structured activities but excludes active surveillance. An example is a report of an unusual organism by a member of the public.</w:t>
            </w:r>
          </w:p>
        </w:tc>
      </w:tr>
      <w:tr w:rsidR="002E098E" w:rsidRPr="00846769" w14:paraId="1CDF6059" w14:textId="77777777" w:rsidTr="00A04E26">
        <w:trPr>
          <w:trHeight w:val="397"/>
        </w:trPr>
        <w:tc>
          <w:tcPr>
            <w:tcW w:w="2188" w:type="dxa"/>
            <w:shd w:val="clear" w:color="auto" w:fill="FFFFFF" w:themeFill="background1"/>
            <w:noWrap/>
          </w:tcPr>
          <w:p w14:paraId="53EA3EE7" w14:textId="77777777" w:rsidR="002E098E" w:rsidRPr="00846769" w:rsidRDefault="002E098E" w:rsidP="00A67BBE">
            <w:pPr>
              <w:pStyle w:val="TableText"/>
            </w:pPr>
            <w:r w:rsidRPr="00846769">
              <w:t xml:space="preserve">Hazard </w:t>
            </w:r>
          </w:p>
        </w:tc>
        <w:tc>
          <w:tcPr>
            <w:tcW w:w="6784" w:type="dxa"/>
            <w:shd w:val="clear" w:color="auto" w:fill="FFFFFF" w:themeFill="background1"/>
            <w:noWrap/>
          </w:tcPr>
          <w:p w14:paraId="5C7C052C" w14:textId="06CEC4C1" w:rsidR="002E098E" w:rsidRPr="00846769" w:rsidRDefault="002E098E" w:rsidP="00A67BBE">
            <w:pPr>
              <w:pStyle w:val="TableText"/>
            </w:pPr>
            <w:r w:rsidRPr="00846769">
              <w:t>A situation/activity that under certain conditions will cause harm. The likelihood of these conditions and magnitude of the harm produce</w:t>
            </w:r>
            <w:r w:rsidR="00CE5080" w:rsidRPr="00846769">
              <w:t>s</w:t>
            </w:r>
            <w:r w:rsidRPr="00846769">
              <w:t xml:space="preserve"> a level of </w:t>
            </w:r>
            <w:r w:rsidR="00CE5080" w:rsidRPr="00846769">
              <w:t>r</w:t>
            </w:r>
            <w:r w:rsidRPr="00846769">
              <w:t xml:space="preserve">isk. </w:t>
            </w:r>
          </w:p>
        </w:tc>
      </w:tr>
      <w:tr w:rsidR="002E098E" w:rsidRPr="00846769" w14:paraId="5E1AD19C" w14:textId="77777777" w:rsidTr="00A04E26">
        <w:trPr>
          <w:trHeight w:val="397"/>
        </w:trPr>
        <w:tc>
          <w:tcPr>
            <w:tcW w:w="2188" w:type="dxa"/>
            <w:shd w:val="clear" w:color="auto" w:fill="FFFFFF" w:themeFill="background1"/>
            <w:noWrap/>
          </w:tcPr>
          <w:p w14:paraId="407FF75F" w14:textId="77777777" w:rsidR="002E098E" w:rsidRPr="00846769" w:rsidRDefault="002E098E" w:rsidP="00A67BBE">
            <w:pPr>
              <w:pStyle w:val="TableText"/>
            </w:pPr>
            <w:r w:rsidRPr="00846769">
              <w:t xml:space="preserve">Incursion </w:t>
            </w:r>
          </w:p>
        </w:tc>
        <w:tc>
          <w:tcPr>
            <w:tcW w:w="6784" w:type="dxa"/>
            <w:shd w:val="clear" w:color="auto" w:fill="FFFFFF" w:themeFill="background1"/>
            <w:noWrap/>
          </w:tcPr>
          <w:p w14:paraId="0841C478" w14:textId="77777777" w:rsidR="002E098E" w:rsidRPr="00846769" w:rsidRDefault="002E098E" w:rsidP="00A67BBE">
            <w:pPr>
              <w:pStyle w:val="TableText"/>
            </w:pPr>
            <w:r w:rsidRPr="00846769">
              <w:t xml:space="preserve">Occurrence of an introduced species in a region or country where it is not already established. See Interception. </w:t>
            </w:r>
          </w:p>
        </w:tc>
      </w:tr>
      <w:tr w:rsidR="002E098E" w:rsidRPr="00846769" w14:paraId="2D7ABBB5" w14:textId="77777777" w:rsidTr="00A04E26">
        <w:trPr>
          <w:trHeight w:val="397"/>
        </w:trPr>
        <w:tc>
          <w:tcPr>
            <w:tcW w:w="2188" w:type="dxa"/>
            <w:shd w:val="clear" w:color="auto" w:fill="FFFFFF" w:themeFill="background1"/>
            <w:noWrap/>
          </w:tcPr>
          <w:p w14:paraId="45E83958" w14:textId="77777777" w:rsidR="002E098E" w:rsidRPr="00846769" w:rsidRDefault="002E098E" w:rsidP="00A67BBE">
            <w:pPr>
              <w:pStyle w:val="TableText"/>
            </w:pPr>
            <w:r w:rsidRPr="00846769">
              <w:t>Infaunal</w:t>
            </w:r>
          </w:p>
        </w:tc>
        <w:tc>
          <w:tcPr>
            <w:tcW w:w="6784" w:type="dxa"/>
            <w:shd w:val="clear" w:color="auto" w:fill="FFFFFF" w:themeFill="background1"/>
            <w:noWrap/>
          </w:tcPr>
          <w:p w14:paraId="78ECBF7B" w14:textId="408BDEE5" w:rsidR="002E098E" w:rsidRPr="00846769" w:rsidRDefault="002E098E" w:rsidP="00A67BBE">
            <w:pPr>
              <w:pStyle w:val="TableText"/>
            </w:pPr>
            <w:r w:rsidRPr="00846769">
              <w:t>Organisms living within substrate (</w:t>
            </w:r>
            <w:r w:rsidR="0004422F">
              <w:t>e.g.</w:t>
            </w:r>
            <w:r w:rsidRPr="00846769">
              <w:t xml:space="preserve"> burrowing</w:t>
            </w:r>
            <w:r w:rsidR="00227D6E" w:rsidRPr="00846769">
              <w:t xml:space="preserve"> species</w:t>
            </w:r>
            <w:r w:rsidRPr="00846769">
              <w:t>).</w:t>
            </w:r>
          </w:p>
        </w:tc>
      </w:tr>
      <w:tr w:rsidR="002E098E" w:rsidRPr="00846769" w14:paraId="6DAF5AE7" w14:textId="77777777" w:rsidTr="00A04E26">
        <w:trPr>
          <w:trHeight w:val="397"/>
        </w:trPr>
        <w:tc>
          <w:tcPr>
            <w:tcW w:w="2188" w:type="dxa"/>
            <w:shd w:val="clear" w:color="auto" w:fill="FFFFFF" w:themeFill="background1"/>
            <w:noWrap/>
          </w:tcPr>
          <w:p w14:paraId="587FE97E" w14:textId="77777777" w:rsidR="002E098E" w:rsidRPr="00846769" w:rsidRDefault="002E098E" w:rsidP="00A67BBE">
            <w:pPr>
              <w:pStyle w:val="TableText"/>
            </w:pPr>
            <w:r w:rsidRPr="00846769">
              <w:t xml:space="preserve">Infestation/infested area </w:t>
            </w:r>
          </w:p>
        </w:tc>
        <w:tc>
          <w:tcPr>
            <w:tcW w:w="6784" w:type="dxa"/>
            <w:shd w:val="clear" w:color="auto" w:fill="FFFFFF" w:themeFill="background1"/>
            <w:noWrap/>
          </w:tcPr>
          <w:p w14:paraId="3E2D5F57" w14:textId="77777777" w:rsidR="002E098E" w:rsidRPr="00846769" w:rsidRDefault="002E098E" w:rsidP="00A67BBE">
            <w:pPr>
              <w:pStyle w:val="TableText"/>
            </w:pPr>
            <w:r w:rsidRPr="00846769">
              <w:t xml:space="preserve">Population, or area with a population, of the introduced species. </w:t>
            </w:r>
          </w:p>
        </w:tc>
      </w:tr>
      <w:tr w:rsidR="002E098E" w:rsidRPr="00846769" w14:paraId="4EB10CAD" w14:textId="77777777" w:rsidTr="00A04E26">
        <w:trPr>
          <w:trHeight w:val="397"/>
        </w:trPr>
        <w:tc>
          <w:tcPr>
            <w:tcW w:w="2188" w:type="dxa"/>
            <w:shd w:val="clear" w:color="auto" w:fill="FFFFFF" w:themeFill="background1"/>
            <w:noWrap/>
          </w:tcPr>
          <w:p w14:paraId="7B3F4900" w14:textId="77777777" w:rsidR="002E098E" w:rsidRPr="00846769" w:rsidRDefault="002E098E" w:rsidP="00A67BBE">
            <w:pPr>
              <w:pStyle w:val="TableText"/>
            </w:pPr>
            <w:r w:rsidRPr="00846769">
              <w:t xml:space="preserve">Interception </w:t>
            </w:r>
          </w:p>
        </w:tc>
        <w:tc>
          <w:tcPr>
            <w:tcW w:w="6784" w:type="dxa"/>
            <w:shd w:val="clear" w:color="auto" w:fill="FFFFFF" w:themeFill="background1"/>
            <w:noWrap/>
          </w:tcPr>
          <w:p w14:paraId="45E07338" w14:textId="77777777" w:rsidR="002E098E" w:rsidRPr="00846769" w:rsidRDefault="002E098E" w:rsidP="00A67BBE">
            <w:pPr>
              <w:pStyle w:val="TableText"/>
            </w:pPr>
            <w:r w:rsidRPr="00846769">
              <w:t xml:space="preserve">Detection of a non-native organism at a pre-border or border inspection point, quarantine facility or other type of biosecurity control location. </w:t>
            </w:r>
          </w:p>
        </w:tc>
      </w:tr>
      <w:tr w:rsidR="00227D6E" w:rsidRPr="00846769" w14:paraId="30A151CF" w14:textId="77777777" w:rsidTr="00A04E26">
        <w:trPr>
          <w:trHeight w:val="397"/>
        </w:trPr>
        <w:tc>
          <w:tcPr>
            <w:tcW w:w="2188" w:type="dxa"/>
            <w:shd w:val="clear" w:color="auto" w:fill="FFFFFF" w:themeFill="background1"/>
            <w:noWrap/>
          </w:tcPr>
          <w:p w14:paraId="72E401CB" w14:textId="41306200" w:rsidR="00227D6E" w:rsidRPr="00846769" w:rsidRDefault="00227D6E" w:rsidP="00A67BBE">
            <w:pPr>
              <w:pStyle w:val="TableText"/>
            </w:pPr>
            <w:r w:rsidRPr="00846769">
              <w:t>Invasive marine species</w:t>
            </w:r>
          </w:p>
        </w:tc>
        <w:tc>
          <w:tcPr>
            <w:tcW w:w="6784" w:type="dxa"/>
            <w:shd w:val="clear" w:color="auto" w:fill="FFFFFF" w:themeFill="background1"/>
            <w:noWrap/>
          </w:tcPr>
          <w:p w14:paraId="3025AE6D" w14:textId="55595CC2" w:rsidR="00227D6E" w:rsidRPr="00846769" w:rsidRDefault="00227D6E" w:rsidP="00A67BBE">
            <w:pPr>
              <w:pStyle w:val="TableText"/>
            </w:pPr>
            <w:r w:rsidRPr="00846769">
              <w:t xml:space="preserve">See ‘marine pest’. </w:t>
            </w:r>
          </w:p>
        </w:tc>
      </w:tr>
      <w:tr w:rsidR="002E098E" w:rsidRPr="00846769" w14:paraId="6F3B61DE" w14:textId="77777777" w:rsidTr="00A04E26">
        <w:trPr>
          <w:trHeight w:val="397"/>
        </w:trPr>
        <w:tc>
          <w:tcPr>
            <w:tcW w:w="2188" w:type="dxa"/>
            <w:shd w:val="clear" w:color="auto" w:fill="FFFFFF" w:themeFill="background1"/>
            <w:noWrap/>
          </w:tcPr>
          <w:p w14:paraId="794020CF" w14:textId="77777777" w:rsidR="002E098E" w:rsidRPr="00846769" w:rsidRDefault="002E098E" w:rsidP="00A67BBE">
            <w:pPr>
              <w:pStyle w:val="TableText"/>
            </w:pPr>
            <w:r w:rsidRPr="00846769">
              <w:t xml:space="preserve">Management </w:t>
            </w:r>
          </w:p>
        </w:tc>
        <w:tc>
          <w:tcPr>
            <w:tcW w:w="6784" w:type="dxa"/>
            <w:shd w:val="clear" w:color="auto" w:fill="FFFFFF" w:themeFill="background1"/>
            <w:noWrap/>
          </w:tcPr>
          <w:p w14:paraId="2C37AED8" w14:textId="1D9A2299" w:rsidR="002E098E" w:rsidRPr="00846769" w:rsidRDefault="002E098E" w:rsidP="00A67BBE">
            <w:pPr>
              <w:pStyle w:val="TableText"/>
            </w:pPr>
            <w:r w:rsidRPr="00846769">
              <w:t xml:space="preserve">Actions taken in response to an introduced species including </w:t>
            </w:r>
            <w:r w:rsidR="00AC589C">
              <w:t>surveillance</w:t>
            </w:r>
            <w:r w:rsidRPr="00846769">
              <w:t>, control, containment, destruction etc.</w:t>
            </w:r>
          </w:p>
        </w:tc>
      </w:tr>
      <w:tr w:rsidR="002E098E" w:rsidRPr="00846769" w14:paraId="6C25197B" w14:textId="77777777" w:rsidTr="00A04E26">
        <w:trPr>
          <w:trHeight w:val="397"/>
        </w:trPr>
        <w:tc>
          <w:tcPr>
            <w:tcW w:w="2188" w:type="dxa"/>
            <w:shd w:val="clear" w:color="auto" w:fill="FFFFFF" w:themeFill="background1"/>
            <w:noWrap/>
          </w:tcPr>
          <w:p w14:paraId="542673D7" w14:textId="77777777" w:rsidR="002E098E" w:rsidRPr="00846769" w:rsidRDefault="002E098E" w:rsidP="00A67BBE">
            <w:pPr>
              <w:pStyle w:val="TableText"/>
            </w:pPr>
            <w:r w:rsidRPr="00846769">
              <w:t xml:space="preserve">Marine pest </w:t>
            </w:r>
          </w:p>
        </w:tc>
        <w:tc>
          <w:tcPr>
            <w:tcW w:w="6784" w:type="dxa"/>
            <w:shd w:val="clear" w:color="auto" w:fill="FFFFFF" w:themeFill="background1"/>
            <w:noWrap/>
          </w:tcPr>
          <w:p w14:paraId="6D39BA4C" w14:textId="76CC1281" w:rsidR="00227D6E" w:rsidRPr="00846769" w:rsidRDefault="002E098E" w:rsidP="00A67BBE">
            <w:pPr>
              <w:pStyle w:val="TableText"/>
            </w:pPr>
            <w:r w:rsidRPr="00846769">
              <w:t xml:space="preserve">Non-native marine plants or animals that </w:t>
            </w:r>
            <w:r w:rsidR="000215B0" w:rsidRPr="00846769">
              <w:t xml:space="preserve">may </w:t>
            </w:r>
            <w:r w:rsidRPr="00846769">
              <w:t>harm Australia’s marine environment, social amenity</w:t>
            </w:r>
            <w:r w:rsidR="000215B0" w:rsidRPr="00846769">
              <w:t>,</w:t>
            </w:r>
            <w:r w:rsidRPr="00846769">
              <w:t xml:space="preserve"> or industries that use the marine environment, or</w:t>
            </w:r>
            <w:r w:rsidR="000215B0" w:rsidRPr="00846769">
              <w:t xml:space="preserve"> species that</w:t>
            </w:r>
            <w:r w:rsidRPr="00846769">
              <w:t xml:space="preserve"> have the potential to do so if they were to be introduced, established (</w:t>
            </w:r>
            <w:r w:rsidR="0004422F">
              <w:t>i.e.</w:t>
            </w:r>
            <w:r w:rsidRPr="00846769">
              <w:t xml:space="preserve"> forming self-sustaining populations) or spread in Australia’s marine environment. </w:t>
            </w:r>
          </w:p>
          <w:p w14:paraId="6236D20D" w14:textId="77EA2927" w:rsidR="000215B0" w:rsidRPr="00846769" w:rsidRDefault="002E098E" w:rsidP="00A67BBE">
            <w:pPr>
              <w:pStyle w:val="TableText"/>
            </w:pPr>
            <w:r w:rsidRPr="00846769">
              <w:t>Many terms are used, sometimes interchangeably, to describe plants and animals that have been moved beyond their native rang</w:t>
            </w:r>
            <w:r w:rsidR="000215B0" w:rsidRPr="00846769">
              <w:t>e</w:t>
            </w:r>
            <w:r w:rsidRPr="00846769">
              <w:t>, including alien, exotic, introduced, invasive, non-indigenous, non-nativ</w:t>
            </w:r>
            <w:r w:rsidR="007242A6" w:rsidRPr="00846769">
              <w:t>e</w:t>
            </w:r>
            <w:r w:rsidRPr="00846769">
              <w:t xml:space="preserve"> and nuisance species</w:t>
            </w:r>
            <w:r w:rsidR="007242A6" w:rsidRPr="00846769">
              <w:t>.</w:t>
            </w:r>
          </w:p>
        </w:tc>
      </w:tr>
      <w:tr w:rsidR="002E098E" w:rsidRPr="00846769" w14:paraId="45DA4431" w14:textId="77777777" w:rsidTr="00A04E26">
        <w:trPr>
          <w:trHeight w:val="397"/>
        </w:trPr>
        <w:tc>
          <w:tcPr>
            <w:tcW w:w="2188" w:type="dxa"/>
            <w:shd w:val="clear" w:color="auto" w:fill="FFFFFF" w:themeFill="background1"/>
            <w:noWrap/>
          </w:tcPr>
          <w:p w14:paraId="664F7EF0" w14:textId="77777777" w:rsidR="002E098E" w:rsidRPr="00846769" w:rsidRDefault="002E098E" w:rsidP="00A67BBE">
            <w:pPr>
              <w:pStyle w:val="TableText"/>
            </w:pPr>
            <w:r w:rsidRPr="00846769">
              <w:t xml:space="preserve">Marine species </w:t>
            </w:r>
          </w:p>
        </w:tc>
        <w:tc>
          <w:tcPr>
            <w:tcW w:w="6784" w:type="dxa"/>
            <w:shd w:val="clear" w:color="auto" w:fill="FFFFFF" w:themeFill="background1"/>
            <w:noWrap/>
          </w:tcPr>
          <w:p w14:paraId="12C5B5C0" w14:textId="3D9AD500" w:rsidR="002E098E" w:rsidRPr="00846769" w:rsidRDefault="002E098E" w:rsidP="00A67BBE">
            <w:pPr>
              <w:pStyle w:val="TableText"/>
            </w:pPr>
            <w:r w:rsidRPr="00846769">
              <w:t xml:space="preserve">Any </w:t>
            </w:r>
            <w:r w:rsidR="000215B0" w:rsidRPr="00846769">
              <w:t>a</w:t>
            </w:r>
            <w:r w:rsidRPr="00846769">
              <w:t>quatic species that does not spend its entire life</w:t>
            </w:r>
            <w:r w:rsidR="00227D6E" w:rsidRPr="00846769">
              <w:t xml:space="preserve"> </w:t>
            </w:r>
            <w:r w:rsidRPr="00846769">
              <w:t xml:space="preserve">cycle in fresh </w:t>
            </w:r>
            <w:proofErr w:type="gramStart"/>
            <w:r w:rsidRPr="00846769">
              <w:t>water</w:t>
            </w:r>
            <w:r w:rsidR="00227D6E" w:rsidRPr="00846769">
              <w:t>, or</w:t>
            </w:r>
            <w:proofErr w:type="gramEnd"/>
            <w:r w:rsidR="00227D6E" w:rsidRPr="00846769">
              <w:t xml:space="preserve"> require fresh water to survive and reproduce</w:t>
            </w:r>
            <w:r w:rsidRPr="00846769">
              <w:t xml:space="preserve">. </w:t>
            </w:r>
          </w:p>
        </w:tc>
      </w:tr>
      <w:tr w:rsidR="002E098E" w:rsidRPr="00846769" w14:paraId="1D6159B4" w14:textId="77777777" w:rsidTr="00A04E26">
        <w:trPr>
          <w:trHeight w:val="397"/>
        </w:trPr>
        <w:tc>
          <w:tcPr>
            <w:tcW w:w="2188" w:type="dxa"/>
            <w:shd w:val="clear" w:color="auto" w:fill="FFFFFF" w:themeFill="background1"/>
            <w:noWrap/>
          </w:tcPr>
          <w:p w14:paraId="6176E38A" w14:textId="77777777" w:rsidR="002E098E" w:rsidRPr="00846769" w:rsidRDefault="002E098E" w:rsidP="00A67BBE">
            <w:pPr>
              <w:pStyle w:val="TableText"/>
            </w:pPr>
            <w:r w:rsidRPr="00846769">
              <w:t>Motile</w:t>
            </w:r>
          </w:p>
        </w:tc>
        <w:tc>
          <w:tcPr>
            <w:tcW w:w="6784" w:type="dxa"/>
            <w:shd w:val="clear" w:color="auto" w:fill="FFFFFF" w:themeFill="background1"/>
            <w:noWrap/>
          </w:tcPr>
          <w:p w14:paraId="290419DF" w14:textId="77777777" w:rsidR="002E098E" w:rsidRPr="00846769" w:rsidRDefault="002E098E" w:rsidP="00A67BBE">
            <w:pPr>
              <w:pStyle w:val="TableText"/>
            </w:pPr>
            <w:r w:rsidRPr="00846769">
              <w:t>An organism capable of active movement.</w:t>
            </w:r>
          </w:p>
        </w:tc>
      </w:tr>
      <w:tr w:rsidR="00F03462" w:rsidRPr="00846769" w14:paraId="5AC4488F" w14:textId="77777777" w:rsidTr="00A04E26">
        <w:trPr>
          <w:trHeight w:val="397"/>
        </w:trPr>
        <w:tc>
          <w:tcPr>
            <w:tcW w:w="2188" w:type="dxa"/>
            <w:shd w:val="clear" w:color="auto" w:fill="FFFFFF" w:themeFill="background1"/>
            <w:noWrap/>
          </w:tcPr>
          <w:p w14:paraId="65286B6B" w14:textId="29FA8645" w:rsidR="00F03462" w:rsidRPr="00846769" w:rsidRDefault="00F03462" w:rsidP="00A67BBE">
            <w:pPr>
              <w:pStyle w:val="TableText"/>
            </w:pPr>
            <w:r w:rsidRPr="00846769">
              <w:t>Passive surveillance</w:t>
            </w:r>
          </w:p>
        </w:tc>
        <w:tc>
          <w:tcPr>
            <w:tcW w:w="6784" w:type="dxa"/>
            <w:shd w:val="clear" w:color="auto" w:fill="FFFFFF" w:themeFill="background1"/>
            <w:noWrap/>
          </w:tcPr>
          <w:p w14:paraId="5AADDB56" w14:textId="3EFFD97B" w:rsidR="00F03462" w:rsidRPr="00846769" w:rsidRDefault="00BA0C35" w:rsidP="00A67BBE">
            <w:pPr>
              <w:pStyle w:val="TableText"/>
            </w:pPr>
            <w:r>
              <w:t>See ‘general surveillance’.</w:t>
            </w:r>
          </w:p>
        </w:tc>
      </w:tr>
      <w:tr w:rsidR="002E098E" w:rsidRPr="00846769" w14:paraId="375BAC74" w14:textId="77777777" w:rsidTr="00A04E26">
        <w:trPr>
          <w:trHeight w:val="397"/>
        </w:trPr>
        <w:tc>
          <w:tcPr>
            <w:tcW w:w="2188" w:type="dxa"/>
            <w:shd w:val="clear" w:color="auto" w:fill="FFFFFF" w:themeFill="background1"/>
            <w:noWrap/>
          </w:tcPr>
          <w:p w14:paraId="3ABB1220" w14:textId="77777777" w:rsidR="002E098E" w:rsidRPr="00846769" w:rsidRDefault="002E098E" w:rsidP="00A67BBE">
            <w:pPr>
              <w:pStyle w:val="TableText"/>
            </w:pPr>
            <w:r w:rsidRPr="00846769">
              <w:t xml:space="preserve">Pathway </w:t>
            </w:r>
          </w:p>
        </w:tc>
        <w:tc>
          <w:tcPr>
            <w:tcW w:w="6784" w:type="dxa"/>
            <w:shd w:val="clear" w:color="auto" w:fill="FFFFFF" w:themeFill="background1"/>
            <w:noWrap/>
          </w:tcPr>
          <w:p w14:paraId="35B33742" w14:textId="166138ED" w:rsidR="007242A6" w:rsidRPr="00846769" w:rsidRDefault="002E098E" w:rsidP="005A63C2">
            <w:pPr>
              <w:pStyle w:val="TableText"/>
            </w:pPr>
            <w:r w:rsidRPr="00846769">
              <w:t>The geographic route taken by one or more vectors from point A to point B</w:t>
            </w:r>
            <w:r w:rsidR="00227D6E" w:rsidRPr="00846769">
              <w:t xml:space="preserve"> (see ‘vector’).</w:t>
            </w:r>
            <w:r w:rsidR="005A63C2" w:rsidRPr="00846769">
              <w:t xml:space="preserve"> </w:t>
            </w:r>
            <w:r w:rsidR="007242A6" w:rsidRPr="00846769">
              <w:t xml:space="preserve">Pathways can be primary or secondary. </w:t>
            </w:r>
          </w:p>
        </w:tc>
      </w:tr>
      <w:tr w:rsidR="002E098E" w:rsidRPr="00846769" w14:paraId="136E6E3B" w14:textId="77777777" w:rsidTr="00A04E26">
        <w:trPr>
          <w:trHeight w:val="397"/>
        </w:trPr>
        <w:tc>
          <w:tcPr>
            <w:tcW w:w="2188" w:type="dxa"/>
            <w:shd w:val="clear" w:color="auto" w:fill="FFFFFF" w:themeFill="background1"/>
            <w:noWrap/>
          </w:tcPr>
          <w:p w14:paraId="52F3B0F0" w14:textId="77777777" w:rsidR="002E098E" w:rsidRPr="00846769" w:rsidRDefault="002E098E" w:rsidP="00A67BBE">
            <w:pPr>
              <w:pStyle w:val="TableText"/>
            </w:pPr>
            <w:r w:rsidRPr="00846769">
              <w:t xml:space="preserve">Pesticide </w:t>
            </w:r>
          </w:p>
        </w:tc>
        <w:tc>
          <w:tcPr>
            <w:tcW w:w="6784" w:type="dxa"/>
            <w:shd w:val="clear" w:color="auto" w:fill="FFFFFF" w:themeFill="background1"/>
            <w:noWrap/>
          </w:tcPr>
          <w:p w14:paraId="69D7B603" w14:textId="77777777" w:rsidR="002E098E" w:rsidRPr="00846769" w:rsidRDefault="002E098E" w:rsidP="00A67BBE">
            <w:pPr>
              <w:pStyle w:val="TableText"/>
            </w:pPr>
            <w:r w:rsidRPr="00846769">
              <w:t xml:space="preserve">Any substance or preparation used for destroying a pest (typically associated with insects and rodents, with herbicides used for weed killers). </w:t>
            </w:r>
          </w:p>
        </w:tc>
      </w:tr>
      <w:tr w:rsidR="002E098E" w:rsidRPr="00846769" w14:paraId="56270B2B" w14:textId="77777777" w:rsidTr="00A04E26">
        <w:trPr>
          <w:trHeight w:val="397"/>
        </w:trPr>
        <w:tc>
          <w:tcPr>
            <w:tcW w:w="2188" w:type="dxa"/>
            <w:shd w:val="clear" w:color="auto" w:fill="FFFFFF" w:themeFill="background1"/>
            <w:noWrap/>
          </w:tcPr>
          <w:p w14:paraId="0E877872" w14:textId="77777777" w:rsidR="002E098E" w:rsidRPr="00846769" w:rsidRDefault="002E098E" w:rsidP="00A67BBE">
            <w:pPr>
              <w:pStyle w:val="TableText"/>
            </w:pPr>
            <w:r w:rsidRPr="00846769">
              <w:t>Plankton/planktonic</w:t>
            </w:r>
          </w:p>
        </w:tc>
        <w:tc>
          <w:tcPr>
            <w:tcW w:w="6784" w:type="dxa"/>
            <w:shd w:val="clear" w:color="auto" w:fill="FFFFFF" w:themeFill="background1"/>
            <w:noWrap/>
          </w:tcPr>
          <w:p w14:paraId="7E246AED" w14:textId="55978C0C" w:rsidR="002E098E" w:rsidRPr="00846769" w:rsidRDefault="002E098E" w:rsidP="00A67BBE">
            <w:pPr>
              <w:pStyle w:val="TableText"/>
            </w:pPr>
            <w:r w:rsidRPr="00846769">
              <w:t>Small or microscopic organisms that drift or swim weakly in a body of water, including bacteria, diatoms, jellyfish, and various larvae</w:t>
            </w:r>
            <w:r w:rsidR="00227D6E" w:rsidRPr="00846769">
              <w:t xml:space="preserve"> (including bivalve larvae)</w:t>
            </w:r>
            <w:r w:rsidRPr="00846769">
              <w:t>.</w:t>
            </w:r>
          </w:p>
        </w:tc>
      </w:tr>
      <w:tr w:rsidR="002E098E" w:rsidRPr="00846769" w14:paraId="25B3E049" w14:textId="77777777" w:rsidTr="00A04E26">
        <w:trPr>
          <w:trHeight w:val="397"/>
        </w:trPr>
        <w:tc>
          <w:tcPr>
            <w:tcW w:w="2188" w:type="dxa"/>
            <w:shd w:val="clear" w:color="auto" w:fill="FFFFFF" w:themeFill="background1"/>
            <w:noWrap/>
          </w:tcPr>
          <w:p w14:paraId="32E4613D" w14:textId="77777777" w:rsidR="002E098E" w:rsidRPr="00846769" w:rsidRDefault="002E098E" w:rsidP="00A67BBE">
            <w:pPr>
              <w:pStyle w:val="TableText"/>
            </w:pPr>
            <w:r w:rsidRPr="00846769">
              <w:t xml:space="preserve">Primary invasion </w:t>
            </w:r>
          </w:p>
        </w:tc>
        <w:tc>
          <w:tcPr>
            <w:tcW w:w="6784" w:type="dxa"/>
            <w:shd w:val="clear" w:color="auto" w:fill="FFFFFF" w:themeFill="background1"/>
            <w:noWrap/>
          </w:tcPr>
          <w:p w14:paraId="7E733B38" w14:textId="0D21DEE7" w:rsidR="007242A6" w:rsidRPr="00846769" w:rsidRDefault="002E098E" w:rsidP="00A67BBE">
            <w:pPr>
              <w:pStyle w:val="TableText"/>
            </w:pPr>
            <w:r w:rsidRPr="00846769">
              <w:t xml:space="preserve">Initial </w:t>
            </w:r>
            <w:r w:rsidR="00227D6E" w:rsidRPr="00846769">
              <w:t>introduction of an introduced species</w:t>
            </w:r>
            <w:r w:rsidRPr="00846769">
              <w:t xml:space="preserve"> in a disjunct region (</w:t>
            </w:r>
            <w:r w:rsidR="0004422F">
              <w:t>e.g.</w:t>
            </w:r>
            <w:r w:rsidRPr="00846769">
              <w:t xml:space="preserve"> located beyond a land, ocean</w:t>
            </w:r>
            <w:r w:rsidR="00CE5080" w:rsidRPr="00846769">
              <w:t>,</w:t>
            </w:r>
            <w:r w:rsidRPr="00846769">
              <w:t xml:space="preserve"> or temperature/salinity barrier). </w:t>
            </w:r>
            <w:r w:rsidR="005A63C2" w:rsidRPr="00846769">
              <w:t>See ‘primary pathway.’</w:t>
            </w:r>
          </w:p>
        </w:tc>
      </w:tr>
      <w:tr w:rsidR="007242A6" w:rsidRPr="00846769" w14:paraId="37A4E3DF" w14:textId="77777777" w:rsidTr="00A04E26">
        <w:trPr>
          <w:trHeight w:val="397"/>
        </w:trPr>
        <w:tc>
          <w:tcPr>
            <w:tcW w:w="2188" w:type="dxa"/>
            <w:shd w:val="clear" w:color="auto" w:fill="FFFFFF" w:themeFill="background1"/>
            <w:noWrap/>
          </w:tcPr>
          <w:p w14:paraId="25E6B601" w14:textId="2CAB75F4" w:rsidR="007242A6" w:rsidRPr="00846769" w:rsidRDefault="007242A6" w:rsidP="00A67BBE">
            <w:pPr>
              <w:pStyle w:val="TableText"/>
            </w:pPr>
            <w:r w:rsidRPr="00846769">
              <w:t>Primary pathway</w:t>
            </w:r>
          </w:p>
        </w:tc>
        <w:tc>
          <w:tcPr>
            <w:tcW w:w="6784" w:type="dxa"/>
            <w:shd w:val="clear" w:color="auto" w:fill="FFFFFF" w:themeFill="background1"/>
            <w:noWrap/>
          </w:tcPr>
          <w:p w14:paraId="1EE0F85E" w14:textId="741D4BDE" w:rsidR="007242A6" w:rsidRPr="00846769" w:rsidRDefault="007242A6" w:rsidP="00A67BBE">
            <w:pPr>
              <w:pStyle w:val="TableText"/>
            </w:pPr>
            <w:r w:rsidRPr="00846769">
              <w:rPr>
                <w:rFonts w:cstheme="minorHAnsi"/>
              </w:rPr>
              <w:t xml:space="preserve">A primary pathway moves </w:t>
            </w:r>
            <w:r w:rsidR="00227D6E" w:rsidRPr="00846769">
              <w:rPr>
                <w:rFonts w:cstheme="minorHAnsi"/>
              </w:rPr>
              <w:t xml:space="preserve">introduced </w:t>
            </w:r>
            <w:r w:rsidRPr="00846769">
              <w:rPr>
                <w:rFonts w:cstheme="minorHAnsi"/>
              </w:rPr>
              <w:t>species to new regions across biogeographic barriers</w:t>
            </w:r>
            <w:r w:rsidR="005A63C2" w:rsidRPr="00846769">
              <w:rPr>
                <w:rFonts w:cstheme="minorHAnsi"/>
              </w:rPr>
              <w:t xml:space="preserve"> (</w:t>
            </w:r>
            <w:r w:rsidR="0004422F">
              <w:rPr>
                <w:rFonts w:cstheme="minorHAnsi"/>
              </w:rPr>
              <w:t>e.g.</w:t>
            </w:r>
            <w:r w:rsidR="005A63C2" w:rsidRPr="00846769">
              <w:rPr>
                <w:rFonts w:cstheme="minorHAnsi"/>
              </w:rPr>
              <w:t xml:space="preserve"> between continents). </w:t>
            </w:r>
          </w:p>
        </w:tc>
      </w:tr>
      <w:tr w:rsidR="002E098E" w:rsidRPr="00846769" w14:paraId="1B4D69B3" w14:textId="77777777" w:rsidTr="00A04E26">
        <w:trPr>
          <w:trHeight w:val="397"/>
        </w:trPr>
        <w:tc>
          <w:tcPr>
            <w:tcW w:w="2188" w:type="dxa"/>
            <w:shd w:val="clear" w:color="auto" w:fill="FFFFFF" w:themeFill="background1"/>
            <w:noWrap/>
          </w:tcPr>
          <w:p w14:paraId="00B01DA0" w14:textId="77777777" w:rsidR="002E098E" w:rsidRPr="00846769" w:rsidRDefault="002E098E" w:rsidP="00A67BBE">
            <w:pPr>
              <w:pStyle w:val="TableText"/>
            </w:pPr>
            <w:r w:rsidRPr="00846769">
              <w:t xml:space="preserve">Propagules </w:t>
            </w:r>
          </w:p>
        </w:tc>
        <w:tc>
          <w:tcPr>
            <w:tcW w:w="6784" w:type="dxa"/>
            <w:shd w:val="clear" w:color="auto" w:fill="FFFFFF" w:themeFill="background1"/>
            <w:noWrap/>
          </w:tcPr>
          <w:p w14:paraId="7F6D3313" w14:textId="06DFC397" w:rsidR="002E098E" w:rsidRPr="00846769" w:rsidRDefault="002E098E" w:rsidP="00A67BBE">
            <w:pPr>
              <w:pStyle w:val="TableText"/>
            </w:pPr>
            <w:r w:rsidRPr="00846769">
              <w:t>Dispersal agents of organisms, including spores, zygotes, cysts, seeds, larvae</w:t>
            </w:r>
            <w:r w:rsidR="005A63C2" w:rsidRPr="00846769">
              <w:t>, eggs</w:t>
            </w:r>
            <w:r w:rsidR="00227D6E" w:rsidRPr="00846769">
              <w:t xml:space="preserve">, </w:t>
            </w:r>
            <w:r w:rsidR="005A63C2" w:rsidRPr="00846769">
              <w:t xml:space="preserve">sperm, </w:t>
            </w:r>
            <w:r w:rsidRPr="00846769">
              <w:t xml:space="preserve">and self-regenerative tissue fragments. </w:t>
            </w:r>
          </w:p>
        </w:tc>
      </w:tr>
      <w:tr w:rsidR="00B07C41" w:rsidRPr="00846769" w14:paraId="36D06B23" w14:textId="77777777" w:rsidTr="00A04E26">
        <w:trPr>
          <w:trHeight w:val="397"/>
        </w:trPr>
        <w:tc>
          <w:tcPr>
            <w:tcW w:w="2188" w:type="dxa"/>
            <w:shd w:val="clear" w:color="auto" w:fill="FFFFFF" w:themeFill="background1"/>
            <w:noWrap/>
          </w:tcPr>
          <w:p w14:paraId="03DCB88B" w14:textId="53F80034" w:rsidR="00B07C41" w:rsidRPr="00846769" w:rsidRDefault="00B07C41" w:rsidP="00B07C41">
            <w:pPr>
              <w:pStyle w:val="TableText"/>
            </w:pPr>
            <w:r w:rsidRPr="00846769">
              <w:t>Regulation</w:t>
            </w:r>
          </w:p>
        </w:tc>
        <w:tc>
          <w:tcPr>
            <w:tcW w:w="6784" w:type="dxa"/>
            <w:shd w:val="clear" w:color="auto" w:fill="FFFFFF" w:themeFill="background1"/>
            <w:noWrap/>
          </w:tcPr>
          <w:p w14:paraId="45A06F08" w14:textId="6C2CAD7E" w:rsidR="00B07C41" w:rsidRPr="00846769" w:rsidRDefault="00B07C41" w:rsidP="00B07C41">
            <w:pPr>
              <w:pStyle w:val="TableText"/>
            </w:pPr>
            <w:r w:rsidRPr="00846769">
              <w:t>A rule or order, as for conduct, prescribed by authority; a governing direction or law.</w:t>
            </w:r>
          </w:p>
        </w:tc>
      </w:tr>
      <w:tr w:rsidR="00B07C41" w:rsidRPr="00846769" w14:paraId="11B0C89A" w14:textId="77777777" w:rsidTr="00A04E26">
        <w:trPr>
          <w:trHeight w:val="397"/>
        </w:trPr>
        <w:tc>
          <w:tcPr>
            <w:tcW w:w="2188" w:type="dxa"/>
            <w:shd w:val="clear" w:color="auto" w:fill="FFFFFF" w:themeFill="background1"/>
            <w:noWrap/>
          </w:tcPr>
          <w:p w14:paraId="02A91BD0" w14:textId="155EB223" w:rsidR="00B07C41" w:rsidRPr="00846769" w:rsidRDefault="00B07C41" w:rsidP="00B07C41">
            <w:pPr>
              <w:pStyle w:val="TableText"/>
            </w:pPr>
            <w:r w:rsidRPr="00846769">
              <w:t xml:space="preserve">Route </w:t>
            </w:r>
          </w:p>
        </w:tc>
        <w:tc>
          <w:tcPr>
            <w:tcW w:w="6784" w:type="dxa"/>
            <w:shd w:val="clear" w:color="auto" w:fill="FFFFFF" w:themeFill="background1"/>
            <w:noWrap/>
          </w:tcPr>
          <w:p w14:paraId="2C9CAD4A" w14:textId="6CE49572" w:rsidR="00B07C41" w:rsidRPr="00846769" w:rsidRDefault="00B07C41" w:rsidP="00B07C41">
            <w:pPr>
              <w:pStyle w:val="TableText"/>
            </w:pPr>
            <w:r w:rsidRPr="00846769">
              <w:t xml:space="preserve">A geographic track or corridor followed by one or more vectors (see ‘vector’ and ‘pathway’). </w:t>
            </w:r>
          </w:p>
        </w:tc>
      </w:tr>
      <w:tr w:rsidR="002E098E" w:rsidRPr="00846769" w14:paraId="5DD0F994" w14:textId="77777777" w:rsidTr="00A04E26">
        <w:trPr>
          <w:trHeight w:val="397"/>
        </w:trPr>
        <w:tc>
          <w:tcPr>
            <w:tcW w:w="2188" w:type="dxa"/>
            <w:shd w:val="clear" w:color="auto" w:fill="FFFFFF" w:themeFill="background1"/>
            <w:noWrap/>
          </w:tcPr>
          <w:p w14:paraId="65DB1296" w14:textId="77777777" w:rsidR="002E098E" w:rsidRPr="00846769" w:rsidRDefault="002E098E" w:rsidP="00A67BBE">
            <w:pPr>
              <w:pStyle w:val="TableText"/>
            </w:pPr>
            <w:r w:rsidRPr="00846769">
              <w:lastRenderedPageBreak/>
              <w:t xml:space="preserve">Secondary invasion </w:t>
            </w:r>
          </w:p>
        </w:tc>
        <w:tc>
          <w:tcPr>
            <w:tcW w:w="6784" w:type="dxa"/>
            <w:shd w:val="clear" w:color="auto" w:fill="FFFFFF" w:themeFill="background1"/>
            <w:noWrap/>
          </w:tcPr>
          <w:p w14:paraId="20650080" w14:textId="627124A6" w:rsidR="002E098E" w:rsidRPr="00846769" w:rsidRDefault="002E098E" w:rsidP="00A67BBE">
            <w:pPr>
              <w:pStyle w:val="TableText"/>
            </w:pPr>
            <w:r w:rsidRPr="00846769">
              <w:t xml:space="preserve">Subsequent spread </w:t>
            </w:r>
            <w:r w:rsidR="00227D6E" w:rsidRPr="00846769">
              <w:t xml:space="preserve">of an introduced species </w:t>
            </w:r>
            <w:r w:rsidRPr="00846769">
              <w:t>within a new region due to reproduction or translocation of the initial founder population</w:t>
            </w:r>
            <w:r w:rsidR="005A63C2" w:rsidRPr="00846769">
              <w:t>. See ‘secondary pathway.’</w:t>
            </w:r>
            <w:r w:rsidRPr="00846769">
              <w:t xml:space="preserve"> </w:t>
            </w:r>
          </w:p>
        </w:tc>
      </w:tr>
      <w:tr w:rsidR="005A63C2" w:rsidRPr="00846769" w14:paraId="0775BA06" w14:textId="77777777" w:rsidTr="00A04E26">
        <w:trPr>
          <w:trHeight w:val="397"/>
        </w:trPr>
        <w:tc>
          <w:tcPr>
            <w:tcW w:w="2188" w:type="dxa"/>
            <w:shd w:val="clear" w:color="auto" w:fill="FFFFFF" w:themeFill="background1"/>
            <w:noWrap/>
          </w:tcPr>
          <w:p w14:paraId="7B8ECFA8" w14:textId="78EC82D8" w:rsidR="005A63C2" w:rsidRPr="00846769" w:rsidRDefault="005A63C2" w:rsidP="00A67BBE">
            <w:pPr>
              <w:pStyle w:val="TableText"/>
            </w:pPr>
            <w:r w:rsidRPr="00846769">
              <w:t>Secondary pathway</w:t>
            </w:r>
          </w:p>
        </w:tc>
        <w:tc>
          <w:tcPr>
            <w:tcW w:w="6784" w:type="dxa"/>
            <w:shd w:val="clear" w:color="auto" w:fill="FFFFFF" w:themeFill="background1"/>
            <w:noWrap/>
          </w:tcPr>
          <w:p w14:paraId="30C16CBF" w14:textId="19F46E0D" w:rsidR="005A63C2" w:rsidRPr="00846769" w:rsidRDefault="005A63C2" w:rsidP="00A67BBE">
            <w:pPr>
              <w:pStyle w:val="TableText"/>
            </w:pPr>
            <w:r w:rsidRPr="00846769">
              <w:rPr>
                <w:rFonts w:cstheme="minorHAnsi"/>
              </w:rPr>
              <w:t>A secondary pathway is the spread and dispersal of introduced species between points within or between neighbouring regions (</w:t>
            </w:r>
            <w:r w:rsidR="0004422F">
              <w:rPr>
                <w:rFonts w:cstheme="minorHAnsi"/>
              </w:rPr>
              <w:t>e.g.</w:t>
            </w:r>
            <w:r w:rsidRPr="00846769">
              <w:rPr>
                <w:rFonts w:cstheme="minorHAnsi"/>
              </w:rPr>
              <w:t xml:space="preserve"> between local marinas). </w:t>
            </w:r>
          </w:p>
        </w:tc>
      </w:tr>
      <w:tr w:rsidR="002E098E" w:rsidRPr="00846769" w14:paraId="63C1A55A" w14:textId="77777777" w:rsidTr="00A04E26">
        <w:trPr>
          <w:trHeight w:val="397"/>
        </w:trPr>
        <w:tc>
          <w:tcPr>
            <w:tcW w:w="2188" w:type="dxa"/>
            <w:shd w:val="clear" w:color="auto" w:fill="FFFFFF" w:themeFill="background1"/>
            <w:noWrap/>
          </w:tcPr>
          <w:p w14:paraId="35037CC1" w14:textId="77777777" w:rsidR="002E098E" w:rsidRPr="00846769" w:rsidRDefault="002E098E" w:rsidP="00A67BBE">
            <w:pPr>
              <w:pStyle w:val="TableText"/>
            </w:pPr>
            <w:r w:rsidRPr="00846769">
              <w:t>Sedentary</w:t>
            </w:r>
          </w:p>
        </w:tc>
        <w:tc>
          <w:tcPr>
            <w:tcW w:w="6784" w:type="dxa"/>
            <w:shd w:val="clear" w:color="auto" w:fill="FFFFFF" w:themeFill="background1"/>
            <w:noWrap/>
          </w:tcPr>
          <w:p w14:paraId="61D5D7B8" w14:textId="050E37FD" w:rsidR="002E098E" w:rsidRPr="00846769" w:rsidRDefault="002E098E" w:rsidP="00A67BBE">
            <w:pPr>
              <w:pStyle w:val="TableText"/>
            </w:pPr>
            <w:r w:rsidRPr="00846769">
              <w:t>An organism that may be capable of limited movement but typically remains in one place or moves little (</w:t>
            </w:r>
            <w:r w:rsidR="0004422F">
              <w:t>e.g.</w:t>
            </w:r>
            <w:r w:rsidRPr="00846769">
              <w:t xml:space="preserve"> infaunal bivalves). See also sessile.</w:t>
            </w:r>
          </w:p>
        </w:tc>
      </w:tr>
      <w:tr w:rsidR="002E098E" w:rsidRPr="00846769" w14:paraId="1E3EAA51" w14:textId="77777777" w:rsidTr="00A04E26">
        <w:trPr>
          <w:trHeight w:val="397"/>
        </w:trPr>
        <w:tc>
          <w:tcPr>
            <w:tcW w:w="2188" w:type="dxa"/>
            <w:shd w:val="clear" w:color="auto" w:fill="FFFFFF" w:themeFill="background1"/>
            <w:noWrap/>
          </w:tcPr>
          <w:p w14:paraId="16F16309" w14:textId="77777777" w:rsidR="002E098E" w:rsidRPr="00846769" w:rsidRDefault="002E098E" w:rsidP="00A67BBE">
            <w:pPr>
              <w:pStyle w:val="TableText"/>
            </w:pPr>
            <w:r w:rsidRPr="00846769">
              <w:t>Sessile</w:t>
            </w:r>
          </w:p>
        </w:tc>
        <w:tc>
          <w:tcPr>
            <w:tcW w:w="6784" w:type="dxa"/>
            <w:shd w:val="clear" w:color="auto" w:fill="FFFFFF" w:themeFill="background1"/>
            <w:noWrap/>
          </w:tcPr>
          <w:p w14:paraId="457114FB" w14:textId="3F4111C3" w:rsidR="002E098E" w:rsidRPr="00846769" w:rsidRDefault="002E098E" w:rsidP="00A67BBE">
            <w:pPr>
              <w:pStyle w:val="TableText"/>
            </w:pPr>
            <w:r w:rsidRPr="00846769">
              <w:t>An organism that is immobile and typically attached</w:t>
            </w:r>
            <w:r w:rsidR="00227D6E" w:rsidRPr="00846769">
              <w:t xml:space="preserve"> to a surface or object for most or </w:t>
            </w:r>
            <w:proofErr w:type="gramStart"/>
            <w:r w:rsidR="00227D6E" w:rsidRPr="00846769">
              <w:t>all of</w:t>
            </w:r>
            <w:proofErr w:type="gramEnd"/>
            <w:r w:rsidR="00227D6E" w:rsidRPr="00846769">
              <w:t xml:space="preserve"> its life cycle</w:t>
            </w:r>
            <w:r w:rsidRPr="00846769">
              <w:t>.</w:t>
            </w:r>
          </w:p>
        </w:tc>
      </w:tr>
      <w:tr w:rsidR="002E098E" w:rsidRPr="00846769" w14:paraId="7DFBB57F" w14:textId="77777777" w:rsidTr="00A04E26">
        <w:trPr>
          <w:trHeight w:val="397"/>
        </w:trPr>
        <w:tc>
          <w:tcPr>
            <w:tcW w:w="2188" w:type="dxa"/>
            <w:shd w:val="clear" w:color="auto" w:fill="FFFFFF" w:themeFill="background1"/>
            <w:noWrap/>
          </w:tcPr>
          <w:p w14:paraId="6518A3B0" w14:textId="77777777" w:rsidR="002E098E" w:rsidRPr="00846769" w:rsidRDefault="002E098E" w:rsidP="00A67BBE">
            <w:pPr>
              <w:pStyle w:val="TableText"/>
            </w:pPr>
            <w:r w:rsidRPr="00846769">
              <w:t>Surveillance</w:t>
            </w:r>
          </w:p>
        </w:tc>
        <w:tc>
          <w:tcPr>
            <w:tcW w:w="6784" w:type="dxa"/>
            <w:shd w:val="clear" w:color="auto" w:fill="FFFFFF" w:themeFill="background1"/>
            <w:noWrap/>
          </w:tcPr>
          <w:p w14:paraId="7D4C94F7" w14:textId="74BA2D5A" w:rsidR="005A63C2" w:rsidRPr="00846769" w:rsidRDefault="002E098E" w:rsidP="00A67BBE">
            <w:pPr>
              <w:pStyle w:val="TableText"/>
            </w:pPr>
            <w:r w:rsidRPr="00846769">
              <w:t>S</w:t>
            </w:r>
            <w:r w:rsidR="00227D6E" w:rsidRPr="00846769">
              <w:t>urveillance (also ‘biosecurity surveillance’) is the s</w:t>
            </w:r>
            <w:r w:rsidRPr="00846769">
              <w:t>ystematic investigation over time, of a population or area</w:t>
            </w:r>
            <w:r w:rsidR="005A63C2" w:rsidRPr="00846769">
              <w:t>,</w:t>
            </w:r>
            <w:r w:rsidRPr="00846769">
              <w:t xml:space="preserve"> to collect data and information about the presence, incidence, prevalence</w:t>
            </w:r>
            <w:r w:rsidR="005A63C2" w:rsidRPr="00846769">
              <w:t>,</w:t>
            </w:r>
            <w:r w:rsidRPr="00846769">
              <w:t xml:space="preserve"> or geographical extent of a pest or disease</w:t>
            </w:r>
            <w:r w:rsidR="005A63C2" w:rsidRPr="00846769">
              <w:t xml:space="preserve">, and includes active and passive surveillance approaches. </w:t>
            </w:r>
          </w:p>
        </w:tc>
      </w:tr>
      <w:tr w:rsidR="002E098E" w:rsidRPr="00846769" w14:paraId="413C1326" w14:textId="77777777" w:rsidTr="00A04E26">
        <w:trPr>
          <w:trHeight w:val="397"/>
        </w:trPr>
        <w:tc>
          <w:tcPr>
            <w:tcW w:w="2188" w:type="dxa"/>
            <w:shd w:val="clear" w:color="auto" w:fill="FFFFFF" w:themeFill="background1"/>
            <w:noWrap/>
          </w:tcPr>
          <w:p w14:paraId="3C6ECD63" w14:textId="77777777" w:rsidR="002E098E" w:rsidRPr="00846769" w:rsidRDefault="002E098E" w:rsidP="00A67BBE">
            <w:pPr>
              <w:pStyle w:val="TableText"/>
            </w:pPr>
            <w:r w:rsidRPr="00846769">
              <w:t>Targeted surveillance</w:t>
            </w:r>
          </w:p>
        </w:tc>
        <w:tc>
          <w:tcPr>
            <w:tcW w:w="6784" w:type="dxa"/>
            <w:shd w:val="clear" w:color="auto" w:fill="FFFFFF" w:themeFill="background1"/>
            <w:noWrap/>
          </w:tcPr>
          <w:p w14:paraId="01CA195F" w14:textId="256AC5A4" w:rsidR="007242A6" w:rsidRPr="00846769" w:rsidRDefault="007242A6" w:rsidP="007242A6">
            <w:pPr>
              <w:pStyle w:val="TableText"/>
            </w:pPr>
            <w:r w:rsidRPr="00846769">
              <w:t xml:space="preserve">Surveillance which is undertaken to target marine pest species or taxa at certain locations and times. Targeted surveillance is usually done as part of active surveillance programs. </w:t>
            </w:r>
          </w:p>
        </w:tc>
      </w:tr>
      <w:tr w:rsidR="002E098E" w:rsidRPr="00846769" w14:paraId="6B8FAB29" w14:textId="77777777" w:rsidTr="00A04E26">
        <w:trPr>
          <w:trHeight w:val="397"/>
        </w:trPr>
        <w:tc>
          <w:tcPr>
            <w:tcW w:w="2188" w:type="dxa"/>
            <w:shd w:val="clear" w:color="auto" w:fill="FFFFFF" w:themeFill="background1"/>
            <w:noWrap/>
          </w:tcPr>
          <w:p w14:paraId="38B77724" w14:textId="77777777" w:rsidR="002E098E" w:rsidRPr="00846769" w:rsidRDefault="002E098E" w:rsidP="00A67BBE">
            <w:pPr>
              <w:pStyle w:val="TableText"/>
            </w:pPr>
            <w:r w:rsidRPr="00846769">
              <w:t xml:space="preserve">Translocate/translocation </w:t>
            </w:r>
          </w:p>
        </w:tc>
        <w:tc>
          <w:tcPr>
            <w:tcW w:w="6784" w:type="dxa"/>
            <w:shd w:val="clear" w:color="auto" w:fill="FFFFFF" w:themeFill="background1"/>
            <w:noWrap/>
          </w:tcPr>
          <w:p w14:paraId="716284DB" w14:textId="77777777" w:rsidR="002E098E" w:rsidRPr="00846769" w:rsidRDefault="002E098E" w:rsidP="00A67BBE">
            <w:pPr>
              <w:pStyle w:val="TableText"/>
            </w:pPr>
            <w:r w:rsidRPr="00846769">
              <w:t>Any deliberate or unintentional transfer of an organism or its propagules between disjunct sites.</w:t>
            </w:r>
          </w:p>
        </w:tc>
      </w:tr>
      <w:tr w:rsidR="005A63C2" w:rsidRPr="00846769" w14:paraId="62FB940A" w14:textId="77777777" w:rsidTr="00A04E26">
        <w:trPr>
          <w:trHeight w:val="397"/>
        </w:trPr>
        <w:tc>
          <w:tcPr>
            <w:tcW w:w="2188" w:type="dxa"/>
            <w:shd w:val="clear" w:color="auto" w:fill="FFFFFF" w:themeFill="background1"/>
            <w:noWrap/>
          </w:tcPr>
          <w:p w14:paraId="3ACFA279" w14:textId="69502B66" w:rsidR="005A63C2" w:rsidRPr="00846769" w:rsidRDefault="005A63C2" w:rsidP="00A67BBE">
            <w:pPr>
              <w:pStyle w:val="TableText"/>
            </w:pPr>
            <w:r w:rsidRPr="00846769">
              <w:t>Validation</w:t>
            </w:r>
          </w:p>
        </w:tc>
        <w:tc>
          <w:tcPr>
            <w:tcW w:w="6784" w:type="dxa"/>
            <w:shd w:val="clear" w:color="auto" w:fill="FFFFFF" w:themeFill="background1"/>
            <w:noWrap/>
          </w:tcPr>
          <w:p w14:paraId="4A98CCF4" w14:textId="183AE7D0" w:rsidR="005A63C2" w:rsidRPr="00846769" w:rsidRDefault="005A63C2" w:rsidP="00A67BBE">
            <w:pPr>
              <w:pStyle w:val="TableText"/>
              <w:rPr>
                <w:lang w:eastAsia="ja-JP"/>
              </w:rPr>
            </w:pPr>
            <w:r w:rsidRPr="00846769">
              <w:t xml:space="preserve">A process that determines fitness-for-purpose of a specific test or assay. The validation process </w:t>
            </w:r>
            <w:proofErr w:type="gramStart"/>
            <w:r w:rsidRPr="00846769">
              <w:t>takes into account</w:t>
            </w:r>
            <w:proofErr w:type="gramEnd"/>
            <w:r w:rsidRPr="00846769">
              <w:t xml:space="preserve"> test sensitivity, specificity, repeatability, and robustness.</w:t>
            </w:r>
          </w:p>
        </w:tc>
      </w:tr>
      <w:tr w:rsidR="002E098E" w:rsidRPr="00846769" w14:paraId="5365184C" w14:textId="77777777" w:rsidTr="00A04E26">
        <w:trPr>
          <w:trHeight w:val="397"/>
        </w:trPr>
        <w:tc>
          <w:tcPr>
            <w:tcW w:w="2188" w:type="dxa"/>
            <w:shd w:val="clear" w:color="auto" w:fill="FFFFFF" w:themeFill="background1"/>
            <w:noWrap/>
          </w:tcPr>
          <w:p w14:paraId="01A6296D" w14:textId="77777777" w:rsidR="002E098E" w:rsidRPr="00846769" w:rsidRDefault="002E098E" w:rsidP="00A67BBE">
            <w:pPr>
              <w:pStyle w:val="TableText"/>
            </w:pPr>
            <w:r w:rsidRPr="00846769">
              <w:t xml:space="preserve">Vector </w:t>
            </w:r>
          </w:p>
        </w:tc>
        <w:tc>
          <w:tcPr>
            <w:tcW w:w="6784" w:type="dxa"/>
            <w:shd w:val="clear" w:color="auto" w:fill="FFFFFF" w:themeFill="background1"/>
            <w:noWrap/>
          </w:tcPr>
          <w:p w14:paraId="5E8FF2DE" w14:textId="7CB3E09D" w:rsidR="002E098E" w:rsidRPr="00846769" w:rsidRDefault="007242A6" w:rsidP="00A67BBE">
            <w:pPr>
              <w:pStyle w:val="TableText"/>
              <w:rPr>
                <w:lang w:eastAsia="ja-JP"/>
              </w:rPr>
            </w:pPr>
            <w:r w:rsidRPr="00846769">
              <w:rPr>
                <w:lang w:eastAsia="ja-JP"/>
              </w:rPr>
              <w:t>Vectors are the physical means, agent, or mechanism that facilitates the transfer and introduction of marine pests, or their propagules, from one place to another (</w:t>
            </w:r>
            <w:r w:rsidR="0004422F">
              <w:rPr>
                <w:lang w:eastAsia="ja-JP"/>
              </w:rPr>
              <w:t>e.g.</w:t>
            </w:r>
            <w:r w:rsidRPr="00846769">
              <w:rPr>
                <w:lang w:eastAsia="ja-JP"/>
              </w:rPr>
              <w:t xml:space="preserve"> vessel</w:t>
            </w:r>
            <w:r w:rsidR="00227D6E" w:rsidRPr="00846769">
              <w:rPr>
                <w:lang w:eastAsia="ja-JP"/>
              </w:rPr>
              <w:t>s or maritime equipment</w:t>
            </w:r>
            <w:r w:rsidRPr="00846769">
              <w:rPr>
                <w:lang w:eastAsia="ja-JP"/>
              </w:rPr>
              <w:t xml:space="preserve">). </w:t>
            </w:r>
          </w:p>
        </w:tc>
      </w:tr>
      <w:tr w:rsidR="002E098E" w:rsidRPr="00846769" w14:paraId="60CA7218" w14:textId="77777777" w:rsidTr="00A04E26">
        <w:trPr>
          <w:trHeight w:val="397"/>
        </w:trPr>
        <w:tc>
          <w:tcPr>
            <w:tcW w:w="2188" w:type="dxa"/>
            <w:shd w:val="clear" w:color="auto" w:fill="FFFFFF" w:themeFill="background1"/>
            <w:noWrap/>
          </w:tcPr>
          <w:p w14:paraId="68620542" w14:textId="77777777" w:rsidR="002E098E" w:rsidRPr="00846769" w:rsidRDefault="002E098E" w:rsidP="00A67BBE">
            <w:pPr>
              <w:pStyle w:val="TableText"/>
            </w:pPr>
            <w:r w:rsidRPr="00846769">
              <w:t xml:space="preserve">Vessel </w:t>
            </w:r>
          </w:p>
        </w:tc>
        <w:tc>
          <w:tcPr>
            <w:tcW w:w="6784" w:type="dxa"/>
            <w:shd w:val="clear" w:color="auto" w:fill="FFFFFF" w:themeFill="background1"/>
            <w:noWrap/>
          </w:tcPr>
          <w:p w14:paraId="1370932A" w14:textId="2FD9EB4C" w:rsidR="007242A6" w:rsidRPr="00846769" w:rsidRDefault="002E098E" w:rsidP="007242A6">
            <w:pPr>
              <w:pStyle w:val="TableText"/>
            </w:pPr>
            <w:r w:rsidRPr="00846769">
              <w:t>Any ship, boat</w:t>
            </w:r>
            <w:r w:rsidR="005A63C2" w:rsidRPr="00846769">
              <w:t>,</w:t>
            </w:r>
            <w:r w:rsidRPr="00846769">
              <w:t xml:space="preserve"> or other craft used in marine environments; includes ships, floating platforms, boats</w:t>
            </w:r>
            <w:r w:rsidR="00F03462" w:rsidRPr="00846769">
              <w:t>,</w:t>
            </w:r>
            <w:r w:rsidRPr="00846769">
              <w:t xml:space="preserve"> and barges (</w:t>
            </w:r>
            <w:r w:rsidR="0004422F">
              <w:t>e.g.</w:t>
            </w:r>
            <w:r w:rsidRPr="00846769">
              <w:t xml:space="preserve"> structures that can float and be steered or moved by their own means or by other means, </w:t>
            </w:r>
            <w:r w:rsidR="0004422F">
              <w:t>e.g.</w:t>
            </w:r>
            <w:r w:rsidRPr="00846769">
              <w:t xml:space="preserve"> if towed). Also specifically includes smaller craft including recreational boats and other craft. </w:t>
            </w:r>
          </w:p>
        </w:tc>
      </w:tr>
    </w:tbl>
    <w:p w14:paraId="1DAAA89A" w14:textId="77777777" w:rsidR="001C16BA" w:rsidRPr="00846769" w:rsidRDefault="001C16BA" w:rsidP="001C16BA"/>
    <w:p w14:paraId="0E6D8382" w14:textId="77777777" w:rsidR="001C16BA" w:rsidRPr="00846769" w:rsidRDefault="001C16BA" w:rsidP="001C16BA"/>
    <w:p w14:paraId="26A35D92" w14:textId="77777777" w:rsidR="00B0354A" w:rsidRDefault="00B0354A" w:rsidP="00B0354A">
      <w:pPr>
        <w:pStyle w:val="Heading2"/>
        <w:numPr>
          <w:ilvl w:val="0"/>
          <w:numId w:val="0"/>
        </w:numPr>
      </w:pPr>
      <w:bookmarkStart w:id="786" w:name="_Toc117844921"/>
      <w:bookmarkStart w:id="787" w:name="_Toc178176864"/>
      <w:bookmarkStart w:id="788" w:name="_Toc191998694"/>
      <w:bookmarkStart w:id="789" w:name="_Toc43120325"/>
      <w:bookmarkStart w:id="790" w:name="_Toc87599125"/>
      <w:r>
        <w:lastRenderedPageBreak/>
        <w:t>References</w:t>
      </w:r>
      <w:bookmarkEnd w:id="786"/>
      <w:bookmarkEnd w:id="787"/>
      <w:bookmarkEnd w:id="788"/>
    </w:p>
    <w:p w14:paraId="05933A7E" w14:textId="51E3946F" w:rsidR="00C80491" w:rsidRDefault="00C80491" w:rsidP="00C80491">
      <w:pPr>
        <w:pStyle w:val="EndNoteBibliography"/>
        <w:rPr>
          <w:noProof w:val="0"/>
          <w:lang w:val="en-AU"/>
        </w:rPr>
      </w:pPr>
      <w:bookmarkStart w:id="791" w:name="_Hlk189858337"/>
      <w:bookmarkEnd w:id="789"/>
      <w:bookmarkEnd w:id="790"/>
      <w:r w:rsidRPr="00C80491">
        <w:rPr>
          <w:noProof w:val="0"/>
          <w:lang w:val="en-AU"/>
        </w:rPr>
        <w:t xml:space="preserve">Abraham BJ, </w:t>
      </w:r>
      <w:r>
        <w:rPr>
          <w:noProof w:val="0"/>
          <w:lang w:val="en-AU"/>
        </w:rPr>
        <w:t xml:space="preserve">&amp; </w:t>
      </w:r>
      <w:r w:rsidRPr="00C80491">
        <w:rPr>
          <w:noProof w:val="0"/>
          <w:lang w:val="en-AU"/>
        </w:rPr>
        <w:t>Dillon PL</w:t>
      </w:r>
      <w:r>
        <w:rPr>
          <w:noProof w:val="0"/>
          <w:lang w:val="en-AU"/>
        </w:rPr>
        <w:t xml:space="preserve"> 1986, </w:t>
      </w:r>
      <w:hyperlink r:id="rId308" w:history="1">
        <w:r w:rsidRPr="00C80491">
          <w:rPr>
            <w:rStyle w:val="Hyperlink"/>
            <w:noProof w:val="0"/>
            <w:lang w:val="en-AU"/>
          </w:rPr>
          <w:t>Species Profiles: life histories and environmental requirements of coastal fishes and invertebrates (mid-Atlantic) – softshell clam</w:t>
        </w:r>
      </w:hyperlink>
      <w:r>
        <w:rPr>
          <w:noProof w:val="0"/>
          <w:lang w:val="en-AU"/>
        </w:rPr>
        <w:t xml:space="preserve">, </w:t>
      </w:r>
      <w:r w:rsidRPr="00C80491">
        <w:rPr>
          <w:i/>
          <w:iCs/>
          <w:noProof w:val="0"/>
          <w:lang w:val="en-AU"/>
        </w:rPr>
        <w:t>U.S. Fish and Wildlife Service Biological Report,</w:t>
      </w:r>
      <w:r>
        <w:rPr>
          <w:noProof w:val="0"/>
          <w:lang w:val="en-AU"/>
        </w:rPr>
        <w:t xml:space="preserve"> vol.</w:t>
      </w:r>
      <w:r w:rsidRPr="00C80491">
        <w:rPr>
          <w:noProof w:val="0"/>
          <w:lang w:val="en-AU"/>
        </w:rPr>
        <w:t xml:space="preserve"> 82</w:t>
      </w:r>
      <w:r>
        <w:rPr>
          <w:noProof w:val="0"/>
          <w:lang w:val="en-AU"/>
        </w:rPr>
        <w:t xml:space="preserve">, no. </w:t>
      </w:r>
      <w:r w:rsidRPr="00C80491">
        <w:rPr>
          <w:noProof w:val="0"/>
          <w:lang w:val="en-AU"/>
        </w:rPr>
        <w:t>11.68</w:t>
      </w:r>
      <w:r>
        <w:rPr>
          <w:noProof w:val="0"/>
          <w:lang w:val="en-AU"/>
        </w:rPr>
        <w:t xml:space="preserve">, </w:t>
      </w:r>
      <w:r w:rsidRPr="00C80491">
        <w:rPr>
          <w:noProof w:val="0"/>
          <w:lang w:val="en-AU"/>
        </w:rPr>
        <w:t>18 pp</w:t>
      </w:r>
      <w:r>
        <w:rPr>
          <w:noProof w:val="0"/>
          <w:lang w:val="en-AU"/>
        </w:rPr>
        <w:t xml:space="preserve">, accessed </w:t>
      </w:r>
      <w:r w:rsidRPr="00C80491">
        <w:rPr>
          <w:noProof w:val="0"/>
          <w:lang w:val="en-AU"/>
        </w:rPr>
        <w:t>August 2015</w:t>
      </w:r>
      <w:r>
        <w:rPr>
          <w:noProof w:val="0"/>
          <w:lang w:val="en-AU"/>
        </w:rPr>
        <w:t>.</w:t>
      </w:r>
    </w:p>
    <w:p w14:paraId="31DB2ECC" w14:textId="312BB860" w:rsidR="007C3DB3" w:rsidRDefault="007C3DB3" w:rsidP="00C80491">
      <w:pPr>
        <w:pStyle w:val="EndNoteBibliography"/>
        <w:rPr>
          <w:noProof w:val="0"/>
          <w:lang w:val="en-AU"/>
        </w:rPr>
      </w:pPr>
      <w:r w:rsidRPr="007C3DB3">
        <w:rPr>
          <w:noProof w:val="0"/>
          <w:lang w:val="en-AU"/>
        </w:rPr>
        <w:t xml:space="preserve">Adlard, RD &amp; Nolan, MJ 2015, </w:t>
      </w:r>
      <w:hyperlink r:id="rId309" w:history="1">
        <w:r w:rsidRPr="007C3DB3">
          <w:rPr>
            <w:rStyle w:val="Hyperlink"/>
            <w:noProof w:val="0"/>
            <w:lang w:val="en-AU"/>
          </w:rPr>
          <w:t xml:space="preserve">Elucidating the lifecycle of </w:t>
        </w:r>
        <w:proofErr w:type="spellStart"/>
        <w:r w:rsidRPr="007C3DB3">
          <w:rPr>
            <w:rStyle w:val="Hyperlink"/>
            <w:i/>
            <w:iCs/>
            <w:noProof w:val="0"/>
            <w:lang w:val="en-AU"/>
          </w:rPr>
          <w:t>Marteilia</w:t>
        </w:r>
        <w:proofErr w:type="spellEnd"/>
        <w:r w:rsidRPr="007C3DB3">
          <w:rPr>
            <w:rStyle w:val="Hyperlink"/>
            <w:i/>
            <w:iCs/>
            <w:noProof w:val="0"/>
            <w:lang w:val="en-AU"/>
          </w:rPr>
          <w:t xml:space="preserve"> </w:t>
        </w:r>
        <w:proofErr w:type="spellStart"/>
        <w:r w:rsidRPr="007C3DB3">
          <w:rPr>
            <w:rStyle w:val="Hyperlink"/>
            <w:i/>
            <w:iCs/>
            <w:noProof w:val="0"/>
            <w:lang w:val="en-AU"/>
          </w:rPr>
          <w:t>sydneyi</w:t>
        </w:r>
        <w:proofErr w:type="spellEnd"/>
        <w:r w:rsidRPr="007C3DB3">
          <w:rPr>
            <w:rStyle w:val="Hyperlink"/>
            <w:noProof w:val="0"/>
            <w:lang w:val="en-AU"/>
          </w:rPr>
          <w:t>, the aetiological agent of QX disease in the Sydney rock oyster (</w:t>
        </w:r>
        <w:r w:rsidRPr="007C3DB3">
          <w:rPr>
            <w:rStyle w:val="Hyperlink"/>
            <w:i/>
            <w:iCs/>
            <w:noProof w:val="0"/>
            <w:lang w:val="en-AU"/>
          </w:rPr>
          <w:t>Saccostrea glomerata</w:t>
        </w:r>
        <w:r w:rsidRPr="007C3DB3">
          <w:rPr>
            <w:rStyle w:val="Hyperlink"/>
            <w:noProof w:val="0"/>
            <w:lang w:val="en-AU"/>
          </w:rPr>
          <w:t>),</w:t>
        </w:r>
      </w:hyperlink>
      <w:r w:rsidRPr="007C3DB3">
        <w:rPr>
          <w:noProof w:val="0"/>
          <w:lang w:val="en-AU"/>
        </w:rPr>
        <w:t xml:space="preserve"> </w:t>
      </w:r>
      <w:r w:rsidRPr="007C3DB3">
        <w:rPr>
          <w:i/>
          <w:iCs/>
          <w:noProof w:val="0"/>
          <w:lang w:val="en-AU"/>
        </w:rPr>
        <w:t>International Journal for Parasitology</w:t>
      </w:r>
      <w:r w:rsidRPr="007C3DB3">
        <w:rPr>
          <w:noProof w:val="0"/>
          <w:lang w:val="en-AU"/>
        </w:rPr>
        <w:t>, vol. 45,</w:t>
      </w:r>
      <w:r>
        <w:rPr>
          <w:noProof w:val="0"/>
          <w:lang w:val="en-AU"/>
        </w:rPr>
        <w:t xml:space="preserve"> no. 6,</w:t>
      </w:r>
      <w:r w:rsidRPr="007C3DB3">
        <w:rPr>
          <w:noProof w:val="0"/>
          <w:lang w:val="en-AU"/>
        </w:rPr>
        <w:t xml:space="preserve"> pp. 419-26</w:t>
      </w:r>
      <w:r>
        <w:rPr>
          <w:noProof w:val="0"/>
          <w:lang w:val="en-AU"/>
        </w:rPr>
        <w:t xml:space="preserve">, DOI: </w:t>
      </w:r>
      <w:r w:rsidRPr="007C3DB3">
        <w:rPr>
          <w:noProof w:val="0"/>
          <w:lang w:val="en-AU"/>
        </w:rPr>
        <w:t>10.1016/j.ijpara.2015.02.002</w:t>
      </w:r>
      <w:r>
        <w:rPr>
          <w:noProof w:val="0"/>
          <w:lang w:val="en-AU"/>
        </w:rPr>
        <w:t xml:space="preserve">. </w:t>
      </w:r>
    </w:p>
    <w:p w14:paraId="602EEF3D" w14:textId="00DFDCBC" w:rsidR="00046E18" w:rsidRPr="00046E18" w:rsidRDefault="00046E18" w:rsidP="00C80491">
      <w:pPr>
        <w:pStyle w:val="EndNoteBibliography"/>
        <w:rPr>
          <w:noProof w:val="0"/>
          <w:lang w:val="en-AU"/>
        </w:rPr>
      </w:pPr>
      <w:r>
        <w:rPr>
          <w:noProof w:val="0"/>
          <w:lang w:val="en-AU"/>
        </w:rPr>
        <w:t xml:space="preserve">Alfaro, AC, Jeffs, AG &amp; Creese, RB 2004, </w:t>
      </w:r>
      <w:hyperlink r:id="rId310" w:history="1">
        <w:r w:rsidRPr="00046E18">
          <w:rPr>
            <w:rStyle w:val="Hyperlink"/>
            <w:noProof w:val="0"/>
            <w:lang w:val="en-AU"/>
          </w:rPr>
          <w:t>Bottom-drifting algal/mussel spat associations along a sandy coastal region in northern New Zealand</w:t>
        </w:r>
      </w:hyperlink>
      <w:r>
        <w:rPr>
          <w:noProof w:val="0"/>
          <w:lang w:val="en-AU"/>
        </w:rPr>
        <w:t xml:space="preserve">, </w:t>
      </w:r>
      <w:r>
        <w:rPr>
          <w:i/>
          <w:iCs/>
          <w:noProof w:val="0"/>
          <w:lang w:val="en-AU"/>
        </w:rPr>
        <w:t xml:space="preserve">Aquaculture, </w:t>
      </w:r>
      <w:r>
        <w:rPr>
          <w:noProof w:val="0"/>
          <w:lang w:val="en-AU"/>
        </w:rPr>
        <w:t xml:space="preserve">vol. 241, no. 1-4, pp. 269-290, DOI: </w:t>
      </w:r>
      <w:r w:rsidRPr="00046E18">
        <w:rPr>
          <w:noProof w:val="0"/>
          <w:lang w:val="en-AU"/>
        </w:rPr>
        <w:t>10.1016/j.aquaculture.2004.07.029</w:t>
      </w:r>
      <w:r>
        <w:rPr>
          <w:noProof w:val="0"/>
          <w:lang w:val="en-AU"/>
        </w:rPr>
        <w:t>.</w:t>
      </w:r>
    </w:p>
    <w:p w14:paraId="7E8A96A0" w14:textId="43EFC394" w:rsidR="00E50272" w:rsidRPr="00E50272" w:rsidRDefault="00E50272" w:rsidP="00C80491">
      <w:pPr>
        <w:pStyle w:val="EndNoteBibliography"/>
        <w:rPr>
          <w:noProof w:val="0"/>
          <w:lang w:val="en-AU"/>
        </w:rPr>
      </w:pPr>
      <w:r>
        <w:rPr>
          <w:noProof w:val="0"/>
          <w:lang w:val="en-AU"/>
        </w:rPr>
        <w:t xml:space="preserve">Alfaro, AC 2006, </w:t>
      </w:r>
      <w:hyperlink r:id="rId311" w:history="1">
        <w:r w:rsidRPr="00E50272">
          <w:rPr>
            <w:rStyle w:val="Hyperlink"/>
            <w:noProof w:val="0"/>
            <w:lang w:val="en-AU"/>
          </w:rPr>
          <w:t xml:space="preserve">Byssal attachment of juvenile mussels, </w:t>
        </w:r>
        <w:r w:rsidRPr="00E50272">
          <w:rPr>
            <w:rStyle w:val="Hyperlink"/>
            <w:i/>
            <w:iCs/>
            <w:noProof w:val="0"/>
            <w:lang w:val="en-AU"/>
          </w:rPr>
          <w:t>Perna canaliculus</w:t>
        </w:r>
        <w:r w:rsidRPr="00E50272">
          <w:rPr>
            <w:rStyle w:val="Hyperlink"/>
            <w:noProof w:val="0"/>
            <w:lang w:val="en-AU"/>
          </w:rPr>
          <w:t>, affected by water motion and air bubbles</w:t>
        </w:r>
      </w:hyperlink>
      <w:r>
        <w:rPr>
          <w:noProof w:val="0"/>
          <w:lang w:val="en-AU"/>
        </w:rPr>
        <w:t xml:space="preserve">, </w:t>
      </w:r>
      <w:r>
        <w:rPr>
          <w:i/>
          <w:iCs/>
          <w:noProof w:val="0"/>
          <w:lang w:val="en-AU"/>
        </w:rPr>
        <w:t xml:space="preserve">Aquaculture, </w:t>
      </w:r>
      <w:r>
        <w:rPr>
          <w:noProof w:val="0"/>
          <w:lang w:val="en-AU"/>
        </w:rPr>
        <w:t xml:space="preserve">vol. 255, no. 1-4, pp. 357-361, DOI: </w:t>
      </w:r>
      <w:r w:rsidRPr="00E50272">
        <w:rPr>
          <w:noProof w:val="0"/>
          <w:lang w:val="en-AU"/>
        </w:rPr>
        <w:t>10.1016/j.aquaculture.2005.11.059</w:t>
      </w:r>
      <w:r>
        <w:rPr>
          <w:noProof w:val="0"/>
          <w:lang w:val="en-AU"/>
        </w:rPr>
        <w:t>.</w:t>
      </w:r>
    </w:p>
    <w:p w14:paraId="46E0B004" w14:textId="45AC2E53" w:rsidR="00237DD0" w:rsidRDefault="00237DD0" w:rsidP="00C80491">
      <w:pPr>
        <w:pStyle w:val="EndNoteBibliography"/>
        <w:rPr>
          <w:noProof w:val="0"/>
          <w:lang w:val="en-AU"/>
        </w:rPr>
      </w:pPr>
      <w:r w:rsidRPr="00846769">
        <w:rPr>
          <w:noProof w:val="0"/>
          <w:lang w:val="en-AU"/>
        </w:rPr>
        <w:t xml:space="preserve">Ammon, U, Swift, L, Brand, S, Jeffs, A, Swift, S &amp; Dunphy, B 2019, </w:t>
      </w:r>
      <w:hyperlink r:id="rId312" w:history="1">
        <w:r w:rsidRPr="00846769">
          <w:rPr>
            <w:rStyle w:val="Hyperlink"/>
            <w:iCs/>
            <w:noProof w:val="0"/>
            <w:lang w:val="en-AU"/>
          </w:rPr>
          <w:t>Review of in-water hull encapsulation and enclosure treatments for eliminating marine biofouling</w:t>
        </w:r>
      </w:hyperlink>
      <w:r w:rsidRPr="00846769">
        <w:rPr>
          <w:iCs/>
          <w:noProof w:val="0"/>
          <w:lang w:val="en-AU"/>
        </w:rPr>
        <w:t>,</w:t>
      </w:r>
      <w:r w:rsidRPr="00846769">
        <w:rPr>
          <w:noProof w:val="0"/>
          <w:lang w:val="en-AU"/>
        </w:rPr>
        <w:t xml:space="preserve"> MPI Technical Paper No: 2019/06, Wellington, New Zealand, p. 64.</w:t>
      </w:r>
    </w:p>
    <w:p w14:paraId="2E117E1A" w14:textId="7C0DF27A" w:rsidR="006939E1" w:rsidRPr="00846769" w:rsidRDefault="00B5740F" w:rsidP="00C80491">
      <w:pPr>
        <w:pStyle w:val="EndNoteBibliography"/>
        <w:rPr>
          <w:noProof w:val="0"/>
          <w:lang w:val="en-AU"/>
        </w:rPr>
      </w:pPr>
      <w:r w:rsidRPr="00846769">
        <w:rPr>
          <w:noProof w:val="0"/>
          <w:lang w:val="en-AU"/>
        </w:rPr>
        <w:t xml:space="preserve">Andersen, JH, Kallenbach, E, Thaulow, J, Hesselsøe, M, Bekkevold, D, Hansen, BK, Jacobsen, LMW, Olesen, CA, Møller, PR &amp; Knudsen, SW 2018, </w:t>
      </w:r>
      <w:hyperlink r:id="rId313" w:history="1">
        <w:r w:rsidRPr="00846769">
          <w:rPr>
            <w:rStyle w:val="Hyperlink"/>
            <w:noProof w:val="0"/>
            <w:lang w:val="en-AU"/>
          </w:rPr>
          <w:t>Development of species-specific eDNA-based test systems for monitoring of non-indigenous species in Danish marine waters</w:t>
        </w:r>
      </w:hyperlink>
      <w:r w:rsidRPr="00846769">
        <w:rPr>
          <w:noProof w:val="0"/>
          <w:lang w:val="en-AU"/>
        </w:rPr>
        <w:t xml:space="preserve">, </w:t>
      </w:r>
      <w:r w:rsidR="00EC7394" w:rsidRPr="00846769">
        <w:rPr>
          <w:noProof w:val="0"/>
          <w:lang w:val="en-AU"/>
        </w:rPr>
        <w:t>NIVA Denmark Water Research 7204-2017, p</w:t>
      </w:r>
      <w:r w:rsidRPr="00846769">
        <w:rPr>
          <w:noProof w:val="0"/>
          <w:lang w:val="en-AU"/>
        </w:rPr>
        <w:t>.</w:t>
      </w:r>
      <w:r w:rsidR="00EC7394" w:rsidRPr="00846769">
        <w:rPr>
          <w:noProof w:val="0"/>
          <w:lang w:val="en-AU"/>
        </w:rPr>
        <w:t xml:space="preserve"> 126.</w:t>
      </w:r>
    </w:p>
    <w:p w14:paraId="016EF40B" w14:textId="1B1C9B5E" w:rsidR="006939E1" w:rsidRDefault="00B5740F" w:rsidP="00C80491">
      <w:pPr>
        <w:pStyle w:val="EndNoteBibliography"/>
        <w:rPr>
          <w:noProof w:val="0"/>
          <w:lang w:val="en-AU"/>
        </w:rPr>
      </w:pPr>
      <w:r w:rsidRPr="00846769">
        <w:rPr>
          <w:noProof w:val="0"/>
          <w:lang w:val="en-AU"/>
        </w:rPr>
        <w:t xml:space="preserve">Anderson, LW 2005, </w:t>
      </w:r>
      <w:hyperlink r:id="rId314" w:history="1">
        <w:r w:rsidRPr="00846769">
          <w:rPr>
            <w:rStyle w:val="Hyperlink"/>
            <w:noProof w:val="0"/>
            <w:lang w:val="en-AU"/>
          </w:rPr>
          <w:t xml:space="preserve">California’s reaction to </w:t>
        </w:r>
        <w:r w:rsidRPr="00846769">
          <w:rPr>
            <w:rStyle w:val="Hyperlink"/>
            <w:i/>
            <w:iCs/>
            <w:noProof w:val="0"/>
            <w:lang w:val="en-AU"/>
          </w:rPr>
          <w:t>Caulerpa taxifolia</w:t>
        </w:r>
        <w:r w:rsidRPr="00846769">
          <w:rPr>
            <w:rStyle w:val="Hyperlink"/>
            <w:noProof w:val="0"/>
            <w:lang w:val="en-AU"/>
          </w:rPr>
          <w:t>: a model for invasive species rapid response</w:t>
        </w:r>
      </w:hyperlink>
      <w:r w:rsidRPr="00846769">
        <w:rPr>
          <w:noProof w:val="0"/>
          <w:lang w:val="en-AU"/>
        </w:rPr>
        <w:t xml:space="preserve">, </w:t>
      </w:r>
      <w:r w:rsidRPr="00846769">
        <w:rPr>
          <w:i/>
          <w:noProof w:val="0"/>
          <w:lang w:val="en-AU"/>
        </w:rPr>
        <w:t>Biological Invasions</w:t>
      </w:r>
      <w:r w:rsidRPr="00846769">
        <w:rPr>
          <w:noProof w:val="0"/>
          <w:lang w:val="en-AU"/>
        </w:rPr>
        <w:t>, vol. 7, no. 6, pp. 1003-16</w:t>
      </w:r>
      <w:r w:rsidR="00FA1E54" w:rsidRPr="00846769">
        <w:rPr>
          <w:noProof w:val="0"/>
          <w:lang w:val="en-AU"/>
        </w:rPr>
        <w:t xml:space="preserve">, DOI: 10.1007/s10530-004-3123-z. </w:t>
      </w:r>
    </w:p>
    <w:p w14:paraId="7D6E5BB5" w14:textId="45955160" w:rsidR="007C3DB3" w:rsidRDefault="007C3DB3" w:rsidP="007C3DB3">
      <w:pPr>
        <w:spacing w:line="240" w:lineRule="auto"/>
      </w:pPr>
      <w:proofErr w:type="spellStart"/>
      <w:r w:rsidRPr="00883320">
        <w:t>Andreakis</w:t>
      </w:r>
      <w:proofErr w:type="spellEnd"/>
      <w:r>
        <w:t>,</w:t>
      </w:r>
      <w:r w:rsidRPr="00883320">
        <w:t xml:space="preserve"> N</w:t>
      </w:r>
      <w:r>
        <w:t xml:space="preserve"> &amp;</w:t>
      </w:r>
      <w:r w:rsidRPr="00883320">
        <w:t xml:space="preserve"> </w:t>
      </w:r>
      <w:proofErr w:type="spellStart"/>
      <w:r w:rsidRPr="00883320">
        <w:t>Schaffelke</w:t>
      </w:r>
      <w:proofErr w:type="spellEnd"/>
      <w:r>
        <w:t>,</w:t>
      </w:r>
      <w:r w:rsidRPr="00883320">
        <w:t xml:space="preserve"> B 2012</w:t>
      </w:r>
      <w:r>
        <w:t>,</w:t>
      </w:r>
      <w:r w:rsidRPr="00883320">
        <w:t xml:space="preserve"> Invasive Marine Seaweeds: Pest or Prize?</w:t>
      </w:r>
      <w:r>
        <w:t xml:space="preserve">, in </w:t>
      </w:r>
      <w:hyperlink r:id="rId315" w:history="1">
        <w:r w:rsidRPr="00883320">
          <w:rPr>
            <w:rStyle w:val="Hyperlink"/>
          </w:rPr>
          <w:t>Seaweed Biology</w:t>
        </w:r>
      </w:hyperlink>
      <w:r>
        <w:t xml:space="preserve">, </w:t>
      </w:r>
      <w:r w:rsidRPr="00883320">
        <w:t>Springer</w:t>
      </w:r>
      <w:r>
        <w:t xml:space="preserve">, </w:t>
      </w:r>
      <w:r w:rsidRPr="00883320">
        <w:t>Berlin, Heidelberg</w:t>
      </w:r>
      <w:r>
        <w:t>, accessed 31 January 2024.</w:t>
      </w:r>
    </w:p>
    <w:p w14:paraId="1E1B5C7F" w14:textId="27C5CD56" w:rsidR="007C3DB3" w:rsidRDefault="007C3DB3" w:rsidP="007C3DB3">
      <w:pPr>
        <w:spacing w:line="240" w:lineRule="auto"/>
      </w:pPr>
      <w:r>
        <w:rPr>
          <w:lang w:eastAsia="ja-JP"/>
        </w:rPr>
        <w:t xml:space="preserve">Animal Health Australia 2023, </w:t>
      </w:r>
      <w:hyperlink r:id="rId316" w:history="1">
        <w:r w:rsidRPr="00F72CA6">
          <w:rPr>
            <w:rStyle w:val="Hyperlink"/>
            <w:lang w:eastAsia="ja-JP"/>
          </w:rPr>
          <w:t>Biosecurity Incident Public Information Manual Part 1: Public Information Policy</w:t>
        </w:r>
      </w:hyperlink>
      <w:r>
        <w:rPr>
          <w:lang w:eastAsia="ja-JP"/>
        </w:rPr>
        <w:t xml:space="preserve">, </w:t>
      </w:r>
      <w:r>
        <w:t xml:space="preserve">Department of Agriculture, Water and the Environment, </w:t>
      </w:r>
      <w:r w:rsidRPr="00721431">
        <w:t xml:space="preserve">Canberra, </w:t>
      </w:r>
      <w:r>
        <w:t>May 2021</w:t>
      </w:r>
      <w:r w:rsidRPr="00721431">
        <w:t xml:space="preserve">, accessed </w:t>
      </w:r>
      <w:r>
        <w:t>26 September</w:t>
      </w:r>
      <w:r w:rsidRPr="00721431">
        <w:t xml:space="preserve"> 2023.</w:t>
      </w:r>
      <w:r w:rsidRPr="00721431" w:rsidDel="007F5827">
        <w:t xml:space="preserve"> </w:t>
      </w:r>
    </w:p>
    <w:p w14:paraId="0C34678D" w14:textId="7010DD04" w:rsidR="00C80491" w:rsidRPr="00846769" w:rsidRDefault="00C80491" w:rsidP="00C80491">
      <w:pPr>
        <w:spacing w:line="240" w:lineRule="auto"/>
      </w:pPr>
      <w:r w:rsidRPr="002A2138">
        <w:t xml:space="preserve">Aquenal 2007, </w:t>
      </w:r>
      <w:r w:rsidRPr="002A2138">
        <w:rPr>
          <w:rStyle w:val="Emphasis"/>
        </w:rPr>
        <w:t>Pre</w:t>
      </w:r>
      <w:r w:rsidRPr="002A2138">
        <w:rPr>
          <w:rStyle w:val="Emphasis"/>
        </w:rPr>
        <w:noBreakHyphen/>
        <w:t>developing technology for marine pest emergency eradication response: Review of current technology</w:t>
      </w:r>
      <w:r w:rsidRPr="002A2138">
        <w:t>, a draft report prepared for the Australian Department of Agriculture, Fisheries and Forestry Project, Canberra.</w:t>
      </w:r>
    </w:p>
    <w:p w14:paraId="285F4A87" w14:textId="177BD561" w:rsidR="006939E1" w:rsidRPr="00846769" w:rsidRDefault="00B5740F" w:rsidP="00C80491">
      <w:pPr>
        <w:pStyle w:val="EndNoteBibliography"/>
        <w:rPr>
          <w:noProof w:val="0"/>
          <w:lang w:val="en-AU"/>
        </w:rPr>
      </w:pPr>
      <w:proofErr w:type="spellStart"/>
      <w:r w:rsidRPr="00846769">
        <w:rPr>
          <w:noProof w:val="0"/>
          <w:lang w:val="en-AU"/>
        </w:rPr>
        <w:t>Ardura</w:t>
      </w:r>
      <w:proofErr w:type="spellEnd"/>
      <w:r w:rsidRPr="00846769">
        <w:rPr>
          <w:noProof w:val="0"/>
          <w:lang w:val="en-AU"/>
        </w:rPr>
        <w:t xml:space="preserve">, A &amp; </w:t>
      </w:r>
      <w:proofErr w:type="spellStart"/>
      <w:r w:rsidRPr="00846769">
        <w:rPr>
          <w:noProof w:val="0"/>
          <w:lang w:val="en-AU"/>
        </w:rPr>
        <w:t>Zaiko</w:t>
      </w:r>
      <w:proofErr w:type="spellEnd"/>
      <w:r w:rsidRPr="00846769">
        <w:rPr>
          <w:noProof w:val="0"/>
          <w:lang w:val="en-AU"/>
        </w:rPr>
        <w:t xml:space="preserve">, A 2018, </w:t>
      </w:r>
      <w:hyperlink r:id="rId317" w:history="1">
        <w:r w:rsidRPr="00846769">
          <w:rPr>
            <w:rStyle w:val="Hyperlink"/>
            <w:noProof w:val="0"/>
            <w:lang w:val="en-AU"/>
          </w:rPr>
          <w:t xml:space="preserve">PCR-based assay for </w:t>
        </w:r>
        <w:r w:rsidRPr="00846769">
          <w:rPr>
            <w:rStyle w:val="Hyperlink"/>
            <w:i/>
            <w:iCs/>
            <w:noProof w:val="0"/>
            <w:lang w:val="en-AU"/>
          </w:rPr>
          <w:t>Mya arenaria</w:t>
        </w:r>
        <w:r w:rsidRPr="00846769">
          <w:rPr>
            <w:rStyle w:val="Hyperlink"/>
            <w:noProof w:val="0"/>
            <w:lang w:val="en-AU"/>
          </w:rPr>
          <w:t xml:space="preserve"> detection from marine environmental samples and tracking its invasion in coastal ecosystems</w:t>
        </w:r>
      </w:hyperlink>
      <w:r w:rsidRPr="00846769">
        <w:rPr>
          <w:noProof w:val="0"/>
          <w:lang w:val="en-AU"/>
        </w:rPr>
        <w:t xml:space="preserve">, </w:t>
      </w:r>
      <w:r w:rsidRPr="00846769">
        <w:rPr>
          <w:i/>
          <w:noProof w:val="0"/>
          <w:lang w:val="en-AU"/>
        </w:rPr>
        <w:t>Journal for Nature Conservation</w:t>
      </w:r>
      <w:r w:rsidRPr="00846769">
        <w:rPr>
          <w:noProof w:val="0"/>
          <w:lang w:val="en-AU"/>
        </w:rPr>
        <w:t>, vol. 43, pp. 1-7</w:t>
      </w:r>
      <w:r w:rsidR="00FA1E54" w:rsidRPr="00846769">
        <w:rPr>
          <w:noProof w:val="0"/>
          <w:lang w:val="en-AU"/>
        </w:rPr>
        <w:t>, DOI: 10.1016/j.jnc.2018.02.007.</w:t>
      </w:r>
    </w:p>
    <w:p w14:paraId="0FF1F91A" w14:textId="71253C62" w:rsidR="00246AE3" w:rsidRPr="00246AE3" w:rsidRDefault="00246AE3" w:rsidP="00C80491">
      <w:pPr>
        <w:pStyle w:val="EndNoteBibliography"/>
        <w:rPr>
          <w:noProof w:val="0"/>
          <w:lang w:val="en-AU"/>
        </w:rPr>
      </w:pPr>
      <w:r w:rsidRPr="00246AE3">
        <w:rPr>
          <w:noProof w:val="0"/>
          <w:lang w:val="en-AU"/>
        </w:rPr>
        <w:t xml:space="preserve">Astudillo, JC, Bonebrake, TC &amp; Leung, KMY 2017, </w:t>
      </w:r>
      <w:hyperlink r:id="rId318" w:history="1">
        <w:r w:rsidRPr="00246AE3">
          <w:rPr>
            <w:rStyle w:val="Hyperlink"/>
            <w:noProof w:val="0"/>
            <w:lang w:val="en-AU"/>
          </w:rPr>
          <w:t xml:space="preserve">The recently introduced bivalve </w:t>
        </w:r>
        <w:proofErr w:type="spellStart"/>
        <w:r w:rsidRPr="00246AE3">
          <w:rPr>
            <w:rStyle w:val="Hyperlink"/>
            <w:i/>
            <w:iCs/>
            <w:noProof w:val="0"/>
            <w:lang w:val="en-AU"/>
          </w:rPr>
          <w:t>Xenostrobus</w:t>
        </w:r>
        <w:proofErr w:type="spellEnd"/>
        <w:r w:rsidRPr="00246AE3">
          <w:rPr>
            <w:rStyle w:val="Hyperlink"/>
            <w:i/>
            <w:iCs/>
            <w:noProof w:val="0"/>
            <w:lang w:val="en-AU"/>
          </w:rPr>
          <w:t xml:space="preserve"> </w:t>
        </w:r>
        <w:proofErr w:type="spellStart"/>
        <w:r w:rsidRPr="00246AE3">
          <w:rPr>
            <w:rStyle w:val="Hyperlink"/>
            <w:i/>
            <w:iCs/>
            <w:noProof w:val="0"/>
            <w:lang w:val="en-AU"/>
          </w:rPr>
          <w:t>securis</w:t>
        </w:r>
        <w:proofErr w:type="spellEnd"/>
        <w:r w:rsidRPr="00246AE3">
          <w:rPr>
            <w:rStyle w:val="Hyperlink"/>
            <w:noProof w:val="0"/>
            <w:lang w:val="en-AU"/>
          </w:rPr>
          <w:t xml:space="preserve"> has higher thermal and salinity tolerance than the native </w:t>
        </w:r>
        <w:proofErr w:type="spellStart"/>
        <w:r w:rsidRPr="00246AE3">
          <w:rPr>
            <w:rStyle w:val="Hyperlink"/>
            <w:i/>
            <w:iCs/>
            <w:noProof w:val="0"/>
            <w:lang w:val="en-AU"/>
          </w:rPr>
          <w:t>Brachidontes</w:t>
        </w:r>
        <w:proofErr w:type="spellEnd"/>
        <w:r w:rsidRPr="00246AE3">
          <w:rPr>
            <w:rStyle w:val="Hyperlink"/>
            <w:i/>
            <w:iCs/>
            <w:noProof w:val="0"/>
            <w:lang w:val="en-AU"/>
          </w:rPr>
          <w:t xml:space="preserve"> variabilis</w:t>
        </w:r>
        <w:r w:rsidRPr="00246AE3">
          <w:rPr>
            <w:rStyle w:val="Hyperlink"/>
            <w:noProof w:val="0"/>
            <w:lang w:val="en-AU"/>
          </w:rPr>
          <w:t xml:space="preserve"> and established </w:t>
        </w:r>
        <w:r w:rsidRPr="00246AE3">
          <w:rPr>
            <w:rStyle w:val="Hyperlink"/>
            <w:i/>
            <w:iCs/>
            <w:noProof w:val="0"/>
            <w:lang w:val="en-AU"/>
          </w:rPr>
          <w:t>Mytilopsis sallei</w:t>
        </w:r>
      </w:hyperlink>
      <w:r w:rsidRPr="00246AE3">
        <w:rPr>
          <w:i/>
          <w:iCs/>
          <w:noProof w:val="0"/>
          <w:lang w:val="en-AU"/>
        </w:rPr>
        <w:t xml:space="preserve">, Marine Pollution Bulletin, </w:t>
      </w:r>
      <w:r w:rsidRPr="00246AE3">
        <w:rPr>
          <w:noProof w:val="0"/>
          <w:lang w:val="en-AU"/>
        </w:rPr>
        <w:t>vol. 15, no. 1-2, pp. 229-36, DOI: 10.1016/j.marpolbul.2017.02.046.</w:t>
      </w:r>
    </w:p>
    <w:p w14:paraId="5CDAB81D" w14:textId="51EEEE25" w:rsidR="006939E1" w:rsidRPr="00846769" w:rsidRDefault="00B5740F" w:rsidP="00C80491">
      <w:pPr>
        <w:pStyle w:val="EndNoteBibliography"/>
        <w:rPr>
          <w:noProof w:val="0"/>
          <w:lang w:val="en-AU"/>
        </w:rPr>
      </w:pPr>
      <w:r w:rsidRPr="00846769">
        <w:rPr>
          <w:noProof w:val="0"/>
          <w:lang w:val="en-AU"/>
        </w:rPr>
        <w:t xml:space="preserve">Astudillo, JC, Bonebrake, TC &amp; Leung, KM 2018, </w:t>
      </w:r>
      <w:hyperlink r:id="rId319" w:history="1">
        <w:r w:rsidRPr="00846769">
          <w:rPr>
            <w:rStyle w:val="Hyperlink"/>
            <w:noProof w:val="0"/>
            <w:lang w:val="en-AU"/>
          </w:rPr>
          <w:t xml:space="preserve">Deterred but not preferred: predation by native whelk </w:t>
        </w:r>
        <w:proofErr w:type="spellStart"/>
        <w:r w:rsidRPr="00846769">
          <w:rPr>
            <w:rStyle w:val="Hyperlink"/>
            <w:i/>
            <w:noProof w:val="0"/>
            <w:lang w:val="en-AU"/>
          </w:rPr>
          <w:t>Reishia</w:t>
        </w:r>
        <w:proofErr w:type="spellEnd"/>
        <w:r w:rsidRPr="00846769">
          <w:rPr>
            <w:rStyle w:val="Hyperlink"/>
            <w:i/>
            <w:noProof w:val="0"/>
            <w:lang w:val="en-AU"/>
          </w:rPr>
          <w:t xml:space="preserve"> </w:t>
        </w:r>
        <w:proofErr w:type="spellStart"/>
        <w:r w:rsidRPr="00846769">
          <w:rPr>
            <w:rStyle w:val="Hyperlink"/>
            <w:i/>
            <w:noProof w:val="0"/>
            <w:lang w:val="en-AU"/>
          </w:rPr>
          <w:t>clavigera</w:t>
        </w:r>
        <w:proofErr w:type="spellEnd"/>
        <w:r w:rsidRPr="00846769">
          <w:rPr>
            <w:rStyle w:val="Hyperlink"/>
            <w:noProof w:val="0"/>
            <w:lang w:val="en-AU"/>
          </w:rPr>
          <w:t xml:space="preserve"> on invasive bivalves</w:t>
        </w:r>
      </w:hyperlink>
      <w:r w:rsidRPr="00846769">
        <w:rPr>
          <w:noProof w:val="0"/>
          <w:lang w:val="en-AU"/>
        </w:rPr>
        <w:t xml:space="preserve">, </w:t>
      </w:r>
      <w:proofErr w:type="spellStart"/>
      <w:r w:rsidRPr="00846769">
        <w:rPr>
          <w:i/>
          <w:noProof w:val="0"/>
          <w:lang w:val="en-AU"/>
        </w:rPr>
        <w:t>Plos</w:t>
      </w:r>
      <w:proofErr w:type="spellEnd"/>
      <w:r w:rsidRPr="00846769">
        <w:rPr>
          <w:i/>
          <w:noProof w:val="0"/>
          <w:lang w:val="en-AU"/>
        </w:rPr>
        <w:t xml:space="preserve"> One</w:t>
      </w:r>
      <w:r w:rsidRPr="00846769">
        <w:rPr>
          <w:noProof w:val="0"/>
          <w:lang w:val="en-AU"/>
        </w:rPr>
        <w:t>, vol. 13, no. 5, p. e0196578</w:t>
      </w:r>
      <w:r w:rsidR="00FA1E54" w:rsidRPr="00846769">
        <w:rPr>
          <w:noProof w:val="0"/>
          <w:lang w:val="en-AU"/>
        </w:rPr>
        <w:t xml:space="preserve">, DOI: 10.1371/journal.pone.0196578. </w:t>
      </w:r>
    </w:p>
    <w:p w14:paraId="37E3B35F" w14:textId="3D87E4BA" w:rsidR="00051661" w:rsidRPr="00846769" w:rsidRDefault="00B5740F" w:rsidP="00C80491">
      <w:pPr>
        <w:pStyle w:val="EndNoteBibliography"/>
        <w:rPr>
          <w:noProof w:val="0"/>
          <w:lang w:val="en-AU"/>
        </w:rPr>
      </w:pPr>
      <w:proofErr w:type="spellStart"/>
      <w:r w:rsidRPr="00846769">
        <w:rPr>
          <w:noProof w:val="0"/>
          <w:lang w:val="en-AU"/>
        </w:rPr>
        <w:lastRenderedPageBreak/>
        <w:t>Atalah</w:t>
      </w:r>
      <w:proofErr w:type="spellEnd"/>
      <w:r w:rsidRPr="00846769">
        <w:rPr>
          <w:noProof w:val="0"/>
          <w:lang w:val="en-AU"/>
        </w:rPr>
        <w:t xml:space="preserve">, J, Brook, R, Cahill, P, Fletcher, L &amp; Hopkins, G 2016, </w:t>
      </w:r>
      <w:hyperlink r:id="rId320" w:history="1">
        <w:r w:rsidRPr="00846769">
          <w:rPr>
            <w:rStyle w:val="Hyperlink"/>
            <w:noProof w:val="0"/>
            <w:lang w:val="en-AU"/>
          </w:rPr>
          <w:t>It’s a wrap: encapsulation as a management tool for marine biofouling</w:t>
        </w:r>
      </w:hyperlink>
      <w:r w:rsidRPr="00846769">
        <w:rPr>
          <w:noProof w:val="0"/>
          <w:lang w:val="en-AU"/>
        </w:rPr>
        <w:t xml:space="preserve">, </w:t>
      </w:r>
      <w:r w:rsidRPr="00846769">
        <w:rPr>
          <w:i/>
          <w:noProof w:val="0"/>
          <w:lang w:val="en-AU"/>
        </w:rPr>
        <w:t>Biofouling</w:t>
      </w:r>
      <w:r w:rsidRPr="00846769">
        <w:rPr>
          <w:noProof w:val="0"/>
          <w:lang w:val="en-AU"/>
        </w:rPr>
        <w:t>, vol. 32, no. 3, pp. 277-86</w:t>
      </w:r>
      <w:r w:rsidR="00FA1E54" w:rsidRPr="00846769">
        <w:rPr>
          <w:noProof w:val="0"/>
          <w:lang w:val="en-AU"/>
        </w:rPr>
        <w:t>, DOI: 10.1080/08927014.2015.1137288.</w:t>
      </w:r>
    </w:p>
    <w:p w14:paraId="4AB22BFE" w14:textId="2AB0DC80" w:rsidR="00FA1E54" w:rsidRPr="00846769" w:rsidRDefault="00FA1E54" w:rsidP="00C80491">
      <w:pPr>
        <w:pStyle w:val="EndNoteBibliography"/>
        <w:rPr>
          <w:noProof w:val="0"/>
          <w:lang w:val="en-AU"/>
        </w:rPr>
      </w:pPr>
      <w:proofErr w:type="spellStart"/>
      <w:r w:rsidRPr="00846769">
        <w:rPr>
          <w:noProof w:val="0"/>
          <w:lang w:val="en-AU"/>
        </w:rPr>
        <w:t>Audemard</w:t>
      </w:r>
      <w:proofErr w:type="spellEnd"/>
      <w:r w:rsidRPr="00846769">
        <w:rPr>
          <w:noProof w:val="0"/>
          <w:lang w:val="en-AU"/>
        </w:rPr>
        <w:t xml:space="preserve">, C, </w:t>
      </w:r>
      <w:proofErr w:type="spellStart"/>
      <w:r w:rsidRPr="00846769">
        <w:rPr>
          <w:noProof w:val="0"/>
          <w:lang w:val="en-AU"/>
        </w:rPr>
        <w:t>Sajus</w:t>
      </w:r>
      <w:proofErr w:type="spellEnd"/>
      <w:r w:rsidRPr="00846769">
        <w:rPr>
          <w:noProof w:val="0"/>
          <w:lang w:val="en-AU"/>
        </w:rPr>
        <w:t xml:space="preserve">, M-C, Barnaud, A, </w:t>
      </w:r>
      <w:proofErr w:type="spellStart"/>
      <w:r w:rsidRPr="00846769">
        <w:rPr>
          <w:noProof w:val="0"/>
          <w:lang w:val="en-AU"/>
        </w:rPr>
        <w:t>Sautour</w:t>
      </w:r>
      <w:proofErr w:type="spellEnd"/>
      <w:r w:rsidRPr="00846769">
        <w:rPr>
          <w:noProof w:val="0"/>
          <w:lang w:val="en-AU"/>
        </w:rPr>
        <w:t xml:space="preserve">, B, </w:t>
      </w:r>
      <w:proofErr w:type="spellStart"/>
      <w:r w:rsidRPr="00846769">
        <w:rPr>
          <w:noProof w:val="0"/>
          <w:lang w:val="en-AU"/>
        </w:rPr>
        <w:t>Sauriau</w:t>
      </w:r>
      <w:proofErr w:type="spellEnd"/>
      <w:r w:rsidRPr="00846769">
        <w:rPr>
          <w:noProof w:val="0"/>
          <w:lang w:val="en-AU"/>
        </w:rPr>
        <w:t xml:space="preserve">, P-G &amp; Berthe, FJC 2004, </w:t>
      </w:r>
      <w:hyperlink r:id="rId321" w:history="1">
        <w:r w:rsidRPr="00846769">
          <w:rPr>
            <w:rStyle w:val="Hyperlink"/>
            <w:noProof w:val="0"/>
            <w:lang w:val="en-AU"/>
          </w:rPr>
          <w:t xml:space="preserve">Infection dynamics of </w:t>
        </w:r>
        <w:proofErr w:type="spellStart"/>
        <w:r w:rsidRPr="00846769">
          <w:rPr>
            <w:rStyle w:val="Hyperlink"/>
            <w:i/>
            <w:iCs/>
            <w:noProof w:val="0"/>
            <w:lang w:val="en-AU"/>
          </w:rPr>
          <w:t>Marteilia</w:t>
        </w:r>
        <w:proofErr w:type="spellEnd"/>
        <w:r w:rsidRPr="00846769">
          <w:rPr>
            <w:rStyle w:val="Hyperlink"/>
            <w:i/>
            <w:iCs/>
            <w:noProof w:val="0"/>
            <w:lang w:val="en-AU"/>
          </w:rPr>
          <w:t xml:space="preserve"> </w:t>
        </w:r>
        <w:proofErr w:type="spellStart"/>
        <w:r w:rsidRPr="00846769">
          <w:rPr>
            <w:rStyle w:val="Hyperlink"/>
            <w:i/>
            <w:iCs/>
            <w:noProof w:val="0"/>
            <w:lang w:val="en-AU"/>
          </w:rPr>
          <w:t>refringens</w:t>
        </w:r>
        <w:proofErr w:type="spellEnd"/>
        <w:r w:rsidRPr="00846769">
          <w:rPr>
            <w:rStyle w:val="Hyperlink"/>
            <w:i/>
            <w:iCs/>
            <w:noProof w:val="0"/>
            <w:lang w:val="en-AU"/>
          </w:rPr>
          <w:t xml:space="preserve"> </w:t>
        </w:r>
        <w:r w:rsidRPr="00846769">
          <w:rPr>
            <w:rStyle w:val="Hyperlink"/>
            <w:noProof w:val="0"/>
            <w:lang w:val="en-AU"/>
          </w:rPr>
          <w:t xml:space="preserve">in flat oyster </w:t>
        </w:r>
        <w:r w:rsidRPr="00846769">
          <w:rPr>
            <w:rStyle w:val="Hyperlink"/>
            <w:i/>
            <w:iCs/>
            <w:noProof w:val="0"/>
            <w:lang w:val="en-AU"/>
          </w:rPr>
          <w:t xml:space="preserve">Ostrea edulis </w:t>
        </w:r>
        <w:r w:rsidRPr="00846769">
          <w:rPr>
            <w:rStyle w:val="Hyperlink"/>
            <w:noProof w:val="0"/>
            <w:lang w:val="en-AU"/>
          </w:rPr>
          <w:t xml:space="preserve">and copepod </w:t>
        </w:r>
        <w:proofErr w:type="spellStart"/>
        <w:r w:rsidRPr="00846769">
          <w:rPr>
            <w:rStyle w:val="Hyperlink"/>
            <w:i/>
            <w:iCs/>
            <w:noProof w:val="0"/>
            <w:lang w:val="en-AU"/>
          </w:rPr>
          <w:t>Paracartia</w:t>
        </w:r>
        <w:proofErr w:type="spellEnd"/>
        <w:r w:rsidRPr="00846769">
          <w:rPr>
            <w:rStyle w:val="Hyperlink"/>
            <w:i/>
            <w:iCs/>
            <w:noProof w:val="0"/>
            <w:lang w:val="en-AU"/>
          </w:rPr>
          <w:t xml:space="preserve"> </w:t>
        </w:r>
        <w:proofErr w:type="spellStart"/>
        <w:r w:rsidRPr="00846769">
          <w:rPr>
            <w:rStyle w:val="Hyperlink"/>
            <w:i/>
            <w:iCs/>
            <w:noProof w:val="0"/>
            <w:lang w:val="en-AU"/>
          </w:rPr>
          <w:t>grani</w:t>
        </w:r>
        <w:proofErr w:type="spellEnd"/>
        <w:r w:rsidRPr="00846769">
          <w:rPr>
            <w:rStyle w:val="Hyperlink"/>
            <w:i/>
            <w:iCs/>
            <w:noProof w:val="0"/>
            <w:lang w:val="en-AU"/>
          </w:rPr>
          <w:t xml:space="preserve"> </w:t>
        </w:r>
        <w:r w:rsidRPr="00846769">
          <w:rPr>
            <w:rStyle w:val="Hyperlink"/>
            <w:noProof w:val="0"/>
            <w:lang w:val="en-AU"/>
          </w:rPr>
          <w:t xml:space="preserve">in a </w:t>
        </w:r>
        <w:proofErr w:type="spellStart"/>
        <w:r w:rsidRPr="00846769">
          <w:rPr>
            <w:rStyle w:val="Hyperlink"/>
            <w:noProof w:val="0"/>
            <w:lang w:val="en-AU"/>
          </w:rPr>
          <w:t>claire</w:t>
        </w:r>
        <w:proofErr w:type="spellEnd"/>
        <w:r w:rsidRPr="00846769">
          <w:rPr>
            <w:rStyle w:val="Hyperlink"/>
            <w:noProof w:val="0"/>
            <w:lang w:val="en-AU"/>
          </w:rPr>
          <w:t xml:space="preserve"> pond of </w:t>
        </w:r>
        <w:proofErr w:type="spellStart"/>
        <w:r w:rsidRPr="00846769">
          <w:rPr>
            <w:rStyle w:val="Hyperlink"/>
            <w:noProof w:val="0"/>
            <w:lang w:val="en-AU"/>
          </w:rPr>
          <w:t>Marennes-Oleron</w:t>
        </w:r>
        <w:proofErr w:type="spellEnd"/>
        <w:r w:rsidRPr="00846769">
          <w:rPr>
            <w:rStyle w:val="Hyperlink"/>
            <w:noProof w:val="0"/>
            <w:lang w:val="en-AU"/>
          </w:rPr>
          <w:t xml:space="preserve"> Bay</w:t>
        </w:r>
      </w:hyperlink>
      <w:r w:rsidRPr="00846769">
        <w:rPr>
          <w:noProof w:val="0"/>
          <w:lang w:val="en-AU"/>
        </w:rPr>
        <w:t xml:space="preserve">, </w:t>
      </w:r>
      <w:r w:rsidRPr="00846769">
        <w:rPr>
          <w:i/>
          <w:iCs/>
          <w:noProof w:val="0"/>
          <w:lang w:val="en-AU"/>
        </w:rPr>
        <w:t xml:space="preserve">Diseases of Aquatic Organisms </w:t>
      </w:r>
      <w:r w:rsidRPr="00846769">
        <w:rPr>
          <w:noProof w:val="0"/>
          <w:lang w:val="en-AU"/>
        </w:rPr>
        <w:t xml:space="preserve">vol. 21 pp. 103-11, DOI: 10.3354/dao061103. </w:t>
      </w:r>
    </w:p>
    <w:p w14:paraId="6A69788A" w14:textId="04FC8A19" w:rsidR="000D6B35" w:rsidRPr="007C3DB3" w:rsidRDefault="00B5740F" w:rsidP="00C80491">
      <w:pPr>
        <w:pStyle w:val="EndNoteBibliography"/>
        <w:rPr>
          <w:noProof w:val="0"/>
          <w:lang w:val="en-AU"/>
        </w:rPr>
      </w:pPr>
      <w:proofErr w:type="spellStart"/>
      <w:r w:rsidRPr="007C3DB3">
        <w:rPr>
          <w:noProof w:val="0"/>
          <w:lang w:val="en-AU"/>
        </w:rPr>
        <w:t>Audemard</w:t>
      </w:r>
      <w:proofErr w:type="spellEnd"/>
      <w:r w:rsidRPr="007C3DB3">
        <w:rPr>
          <w:noProof w:val="0"/>
          <w:lang w:val="en-AU"/>
        </w:rPr>
        <w:t>, C, Carnegie, RB, Bishop, MJ, Peterson, CH</w:t>
      </w:r>
      <w:r w:rsidR="00EC7394" w:rsidRPr="007C3DB3">
        <w:rPr>
          <w:noProof w:val="0"/>
          <w:lang w:val="en-AU"/>
        </w:rPr>
        <w:t xml:space="preserve"> &amp; </w:t>
      </w:r>
      <w:r w:rsidRPr="007C3DB3">
        <w:rPr>
          <w:noProof w:val="0"/>
          <w:lang w:val="en-AU"/>
        </w:rPr>
        <w:t xml:space="preserve">Burreson, EM 2008, </w:t>
      </w:r>
      <w:hyperlink r:id="rId322" w:history="1">
        <w:r w:rsidRPr="007C3DB3">
          <w:rPr>
            <w:rStyle w:val="Hyperlink"/>
            <w:noProof w:val="0"/>
            <w:lang w:val="en-AU"/>
          </w:rPr>
          <w:t xml:space="preserve">Interacting effects of temperature and salinity on </w:t>
        </w:r>
        <w:proofErr w:type="spellStart"/>
        <w:r w:rsidRPr="007C3DB3">
          <w:rPr>
            <w:rStyle w:val="Hyperlink"/>
            <w:i/>
            <w:iCs/>
            <w:noProof w:val="0"/>
            <w:lang w:val="en-AU"/>
          </w:rPr>
          <w:t>Bonamia</w:t>
        </w:r>
        <w:proofErr w:type="spellEnd"/>
        <w:r w:rsidRPr="007C3DB3">
          <w:rPr>
            <w:rStyle w:val="Hyperlink"/>
            <w:i/>
            <w:iCs/>
            <w:noProof w:val="0"/>
            <w:lang w:val="en-AU"/>
          </w:rPr>
          <w:t xml:space="preserve"> </w:t>
        </w:r>
        <w:r w:rsidRPr="007C3DB3">
          <w:rPr>
            <w:rStyle w:val="Hyperlink"/>
            <w:noProof w:val="0"/>
            <w:lang w:val="en-AU"/>
          </w:rPr>
          <w:t xml:space="preserve">sp. </w:t>
        </w:r>
        <w:r w:rsidR="00EC7394" w:rsidRPr="007C3DB3">
          <w:rPr>
            <w:rStyle w:val="Hyperlink"/>
            <w:noProof w:val="0"/>
            <w:lang w:val="en-AU"/>
          </w:rPr>
          <w:t xml:space="preserve">parasitism </w:t>
        </w:r>
        <w:r w:rsidRPr="007C3DB3">
          <w:rPr>
            <w:rStyle w:val="Hyperlink"/>
            <w:noProof w:val="0"/>
            <w:lang w:val="en-AU"/>
          </w:rPr>
          <w:t xml:space="preserve">in the Asian oyster </w:t>
        </w:r>
        <w:r w:rsidRPr="007C3DB3">
          <w:rPr>
            <w:rStyle w:val="Hyperlink"/>
            <w:i/>
            <w:iCs/>
            <w:noProof w:val="0"/>
            <w:lang w:val="en-AU"/>
          </w:rPr>
          <w:t>Crassostrea ariakensis</w:t>
        </w:r>
      </w:hyperlink>
      <w:r w:rsidRPr="007C3DB3">
        <w:rPr>
          <w:noProof w:val="0"/>
          <w:lang w:val="en-AU"/>
        </w:rPr>
        <w:t xml:space="preserve">, </w:t>
      </w:r>
      <w:r w:rsidRPr="007C3DB3">
        <w:rPr>
          <w:i/>
          <w:iCs/>
          <w:noProof w:val="0"/>
          <w:lang w:val="en-AU"/>
        </w:rPr>
        <w:t>Journal of Invertebrate Pathology</w:t>
      </w:r>
      <w:r w:rsidRPr="007C3DB3">
        <w:rPr>
          <w:noProof w:val="0"/>
          <w:lang w:val="en-AU"/>
        </w:rPr>
        <w:t>, vol. 98, pp. 344-50</w:t>
      </w:r>
      <w:r w:rsidR="007C3DB3">
        <w:rPr>
          <w:noProof w:val="0"/>
          <w:lang w:val="en-AU"/>
        </w:rPr>
        <w:t xml:space="preserve">, DOI: </w:t>
      </w:r>
      <w:r w:rsidR="007C3DB3" w:rsidRPr="007C3DB3">
        <w:rPr>
          <w:noProof w:val="0"/>
          <w:lang w:val="en-AU"/>
        </w:rPr>
        <w:t>10.1016/j.jip.2008.03.010</w:t>
      </w:r>
      <w:r w:rsidR="007C3DB3">
        <w:rPr>
          <w:noProof w:val="0"/>
          <w:lang w:val="en-AU"/>
        </w:rPr>
        <w:t>.</w:t>
      </w:r>
    </w:p>
    <w:p w14:paraId="36F89D23" w14:textId="08905FB7" w:rsidR="008B22A6" w:rsidRPr="00846769" w:rsidRDefault="008B22A6" w:rsidP="00C80491">
      <w:pPr>
        <w:pStyle w:val="EndNoteBibliography"/>
        <w:rPr>
          <w:noProof w:val="0"/>
          <w:lang w:val="en-AU"/>
        </w:rPr>
      </w:pPr>
      <w:proofErr w:type="spellStart"/>
      <w:r w:rsidRPr="00846769">
        <w:rPr>
          <w:noProof w:val="0"/>
          <w:lang w:val="en-AU"/>
        </w:rPr>
        <w:t>Baumsteiger</w:t>
      </w:r>
      <w:proofErr w:type="spellEnd"/>
      <w:r w:rsidRPr="00846769">
        <w:rPr>
          <w:noProof w:val="0"/>
          <w:lang w:val="en-AU"/>
        </w:rPr>
        <w:t xml:space="preserve">, J, Schroeter, RE, Robert, E, O’Rear, T, Cook, JD, Moyle, PB 2017, </w:t>
      </w:r>
      <w:hyperlink r:id="rId323" w:history="1">
        <w:r w:rsidRPr="00846769">
          <w:rPr>
            <w:rStyle w:val="Hyperlink"/>
            <w:noProof w:val="0"/>
            <w:lang w:val="en-AU"/>
          </w:rPr>
          <w:t>Long-term surveys show invasive overbite clams (</w:t>
        </w:r>
        <w:r w:rsidRPr="00846769">
          <w:rPr>
            <w:rStyle w:val="Hyperlink"/>
            <w:i/>
            <w:iCs/>
            <w:noProof w:val="0"/>
            <w:lang w:val="en-AU"/>
          </w:rPr>
          <w:t>Potamocorbula amurensis</w:t>
        </w:r>
        <w:r w:rsidRPr="00846769">
          <w:rPr>
            <w:rStyle w:val="Hyperlink"/>
            <w:noProof w:val="0"/>
            <w:lang w:val="en-AU"/>
          </w:rPr>
          <w:t>) are spatially limited in Suisun Marsh, California</w:t>
        </w:r>
      </w:hyperlink>
      <w:r w:rsidRPr="00846769">
        <w:rPr>
          <w:noProof w:val="0"/>
          <w:lang w:val="en-AU"/>
        </w:rPr>
        <w:t xml:space="preserve">, </w:t>
      </w:r>
      <w:r w:rsidRPr="00846769">
        <w:rPr>
          <w:i/>
          <w:iCs/>
          <w:noProof w:val="0"/>
          <w:lang w:val="en-AU"/>
        </w:rPr>
        <w:t xml:space="preserve">San Francisco Estuary and Watershed Science, </w:t>
      </w:r>
      <w:r w:rsidRPr="00846769">
        <w:rPr>
          <w:noProof w:val="0"/>
          <w:lang w:val="en-AU"/>
        </w:rPr>
        <w:t xml:space="preserve">vol. 15, no. 2, pp. 1-11, DOI: 10.15447/sfews.2017v15iss2art6. </w:t>
      </w:r>
    </w:p>
    <w:p w14:paraId="44CBF691" w14:textId="2EA56FC0" w:rsidR="005B774E" w:rsidRPr="00846769" w:rsidRDefault="00AB1A95" w:rsidP="00C80491">
      <w:pPr>
        <w:spacing w:line="240" w:lineRule="auto"/>
      </w:pPr>
      <w:r w:rsidRPr="00846769">
        <w:t xml:space="preserve">Bax, N, Hayes, KR, Marshall, A, Parry, D &amp; Thresher, R 2002, </w:t>
      </w:r>
      <w:hyperlink r:id="rId324" w:history="1">
        <w:r w:rsidRPr="00846769">
          <w:rPr>
            <w:rStyle w:val="Hyperlink"/>
          </w:rPr>
          <w:t>Man</w:t>
        </w:r>
        <w:r w:rsidRPr="00846769">
          <w:rPr>
            <w:rStyle w:val="Hyperlink"/>
          </w:rPr>
          <w:noBreakHyphen/>
          <w:t>made marinas as sheltered islands for alien marine organisms: Establishment and eradication of an alien invasive marine species</w:t>
        </w:r>
      </w:hyperlink>
      <w:r w:rsidRPr="00846769">
        <w:t xml:space="preserve">, in CR Veitch &amp; MN Clout (eds), </w:t>
      </w:r>
      <w:r w:rsidRPr="00846769">
        <w:rPr>
          <w:rStyle w:val="Emphasis"/>
        </w:rPr>
        <w:t>Turning the tide: the eradication of invasive species</w:t>
      </w:r>
      <w:r w:rsidRPr="00846769">
        <w:t>, pp. 26–39, paper presented at the International Conference on Eradication of Island Invasives Auckland, New Zealand 19–23 February 2001.</w:t>
      </w:r>
    </w:p>
    <w:p w14:paraId="640F7DA4" w14:textId="01ADFAAD" w:rsidR="006939E1" w:rsidRDefault="00B5740F" w:rsidP="00C80491">
      <w:pPr>
        <w:pStyle w:val="EndNoteBibliography"/>
        <w:rPr>
          <w:noProof w:val="0"/>
          <w:lang w:val="en-AU"/>
        </w:rPr>
      </w:pPr>
      <w:r w:rsidRPr="00846769">
        <w:rPr>
          <w:noProof w:val="0"/>
          <w:lang w:val="en-AU"/>
        </w:rPr>
        <w:t xml:space="preserve">Bayne, BL, Ahrens, M, Allen, SK, </w:t>
      </w:r>
      <w:proofErr w:type="spellStart"/>
      <w:r w:rsidRPr="00846769">
        <w:rPr>
          <w:noProof w:val="0"/>
          <w:lang w:val="en-AU"/>
        </w:rPr>
        <w:t>D'auriac</w:t>
      </w:r>
      <w:proofErr w:type="spellEnd"/>
      <w:r w:rsidRPr="00846769">
        <w:rPr>
          <w:noProof w:val="0"/>
          <w:lang w:val="en-AU"/>
        </w:rPr>
        <w:t xml:space="preserve">, MA, </w:t>
      </w:r>
      <w:proofErr w:type="spellStart"/>
      <w:r w:rsidRPr="00846769">
        <w:rPr>
          <w:noProof w:val="0"/>
          <w:lang w:val="en-AU"/>
        </w:rPr>
        <w:t>Backeljau</w:t>
      </w:r>
      <w:proofErr w:type="spellEnd"/>
      <w:r w:rsidRPr="00846769">
        <w:rPr>
          <w:noProof w:val="0"/>
          <w:lang w:val="en-AU"/>
        </w:rPr>
        <w:t xml:space="preserve">, T, </w:t>
      </w:r>
      <w:proofErr w:type="spellStart"/>
      <w:r w:rsidRPr="00846769">
        <w:rPr>
          <w:noProof w:val="0"/>
          <w:lang w:val="en-AU"/>
        </w:rPr>
        <w:t>Beninger</w:t>
      </w:r>
      <w:proofErr w:type="spellEnd"/>
      <w:r w:rsidRPr="00846769">
        <w:rPr>
          <w:noProof w:val="0"/>
          <w:lang w:val="en-AU"/>
        </w:rPr>
        <w:t xml:space="preserve">, P, Bohn, R, </w:t>
      </w:r>
      <w:proofErr w:type="spellStart"/>
      <w:r w:rsidRPr="00846769">
        <w:rPr>
          <w:noProof w:val="0"/>
          <w:lang w:val="en-AU"/>
        </w:rPr>
        <w:t>Boudry</w:t>
      </w:r>
      <w:proofErr w:type="spellEnd"/>
      <w:r w:rsidRPr="00846769">
        <w:rPr>
          <w:noProof w:val="0"/>
          <w:lang w:val="en-AU"/>
        </w:rPr>
        <w:t xml:space="preserve">, P, Davis, J &amp; Green, T 2017, </w:t>
      </w:r>
      <w:hyperlink r:id="rId325" w:history="1">
        <w:r w:rsidRPr="00846769">
          <w:rPr>
            <w:rStyle w:val="Hyperlink"/>
            <w:noProof w:val="0"/>
            <w:lang w:val="en-AU"/>
          </w:rPr>
          <w:t xml:space="preserve">The proposed dropping of the genus </w:t>
        </w:r>
        <w:r w:rsidRPr="00846769">
          <w:rPr>
            <w:rStyle w:val="Hyperlink"/>
            <w:i/>
            <w:iCs/>
            <w:noProof w:val="0"/>
            <w:lang w:val="en-AU"/>
          </w:rPr>
          <w:t xml:space="preserve">Crassostrea </w:t>
        </w:r>
        <w:r w:rsidRPr="00846769">
          <w:rPr>
            <w:rStyle w:val="Hyperlink"/>
            <w:noProof w:val="0"/>
            <w:lang w:val="en-AU"/>
          </w:rPr>
          <w:t xml:space="preserve">for all Pacific cupped oysters and its replacement by a new genus </w:t>
        </w:r>
        <w:r w:rsidRPr="00846769">
          <w:rPr>
            <w:rStyle w:val="Hyperlink"/>
            <w:i/>
            <w:iCs/>
            <w:noProof w:val="0"/>
            <w:lang w:val="en-AU"/>
          </w:rPr>
          <w:t>Magallana</w:t>
        </w:r>
        <w:r w:rsidRPr="00846769">
          <w:rPr>
            <w:rStyle w:val="Hyperlink"/>
            <w:noProof w:val="0"/>
            <w:lang w:val="en-AU"/>
          </w:rPr>
          <w:t>: a dissenting view</w:t>
        </w:r>
      </w:hyperlink>
      <w:r w:rsidRPr="00846769">
        <w:rPr>
          <w:noProof w:val="0"/>
          <w:lang w:val="en-AU"/>
        </w:rPr>
        <w:t xml:space="preserve">, </w:t>
      </w:r>
      <w:r w:rsidRPr="00846769">
        <w:rPr>
          <w:i/>
          <w:noProof w:val="0"/>
          <w:lang w:val="en-AU"/>
        </w:rPr>
        <w:t>Journal of Shellfish Research</w:t>
      </w:r>
      <w:r w:rsidRPr="00846769">
        <w:rPr>
          <w:noProof w:val="0"/>
          <w:lang w:val="en-AU"/>
        </w:rPr>
        <w:t>, vol. 36, no. 3, pp. 545-7</w:t>
      </w:r>
      <w:r w:rsidR="00FA1E54" w:rsidRPr="00846769">
        <w:rPr>
          <w:noProof w:val="0"/>
          <w:lang w:val="en-AU"/>
        </w:rPr>
        <w:t>, DOI: 10.2983/035.036.0301.</w:t>
      </w:r>
    </w:p>
    <w:p w14:paraId="032204C4" w14:textId="04D230CB" w:rsidR="007F3FF4" w:rsidRDefault="007F3FF4" w:rsidP="00C80491">
      <w:pPr>
        <w:pStyle w:val="EndNoteBibliography"/>
        <w:rPr>
          <w:noProof w:val="0"/>
          <w:lang w:val="en-AU"/>
        </w:rPr>
      </w:pPr>
      <w:r w:rsidRPr="007F3FF4">
        <w:rPr>
          <w:noProof w:val="0"/>
          <w:lang w:val="en-AU"/>
        </w:rPr>
        <w:t xml:space="preserve">Behera, DP, </w:t>
      </w:r>
      <w:proofErr w:type="spellStart"/>
      <w:r w:rsidRPr="007F3FF4">
        <w:rPr>
          <w:noProof w:val="0"/>
          <w:lang w:val="en-AU"/>
        </w:rPr>
        <w:t>Tenjing</w:t>
      </w:r>
      <w:proofErr w:type="spellEnd"/>
      <w:r>
        <w:rPr>
          <w:noProof w:val="0"/>
          <w:lang w:val="en-AU"/>
        </w:rPr>
        <w:t>,</w:t>
      </w:r>
      <w:r w:rsidRPr="007F3FF4">
        <w:rPr>
          <w:noProof w:val="0"/>
          <w:lang w:val="en-AU"/>
        </w:rPr>
        <w:t xml:space="preserve"> SY</w:t>
      </w:r>
      <w:r>
        <w:rPr>
          <w:noProof w:val="0"/>
          <w:lang w:val="en-AU"/>
        </w:rPr>
        <w:t xml:space="preserve"> &amp; </w:t>
      </w:r>
      <w:r w:rsidRPr="007F3FF4">
        <w:rPr>
          <w:noProof w:val="0"/>
          <w:lang w:val="en-AU"/>
        </w:rPr>
        <w:t>Kosygin, L</w:t>
      </w:r>
      <w:r>
        <w:rPr>
          <w:noProof w:val="0"/>
          <w:lang w:val="en-AU"/>
        </w:rPr>
        <w:t xml:space="preserve"> </w:t>
      </w:r>
      <w:r w:rsidRPr="007F3FF4">
        <w:rPr>
          <w:noProof w:val="0"/>
          <w:lang w:val="en-AU"/>
        </w:rPr>
        <w:t>2019</w:t>
      </w:r>
      <w:r>
        <w:rPr>
          <w:noProof w:val="0"/>
          <w:lang w:val="en-AU"/>
        </w:rPr>
        <w:t xml:space="preserve">, </w:t>
      </w:r>
      <w:hyperlink r:id="rId326" w:history="1">
        <w:r w:rsidRPr="007F3FF4">
          <w:rPr>
            <w:rStyle w:val="Hyperlink"/>
            <w:noProof w:val="0"/>
            <w:lang w:val="en-AU"/>
          </w:rPr>
          <w:t xml:space="preserve">Occurrence of exotic mussel, </w:t>
        </w:r>
        <w:r w:rsidRPr="007F3FF4">
          <w:rPr>
            <w:rStyle w:val="Hyperlink"/>
            <w:i/>
            <w:iCs/>
            <w:noProof w:val="0"/>
            <w:lang w:val="en-AU"/>
          </w:rPr>
          <w:t>Arcuatula senhousia</w:t>
        </w:r>
        <w:r w:rsidRPr="007F3FF4">
          <w:rPr>
            <w:rStyle w:val="Hyperlink"/>
            <w:noProof w:val="0"/>
            <w:lang w:val="en-AU"/>
          </w:rPr>
          <w:t xml:space="preserve"> (Benson in Cantor, 1842) along southeast coast of India</w:t>
        </w:r>
      </w:hyperlink>
      <w:r>
        <w:rPr>
          <w:noProof w:val="0"/>
          <w:lang w:val="en-AU"/>
        </w:rPr>
        <w:t xml:space="preserve">, </w:t>
      </w:r>
      <w:r w:rsidRPr="007F3FF4">
        <w:rPr>
          <w:i/>
          <w:iCs/>
          <w:noProof w:val="0"/>
          <w:lang w:val="en-AU"/>
        </w:rPr>
        <w:t>Journal of the Marine Biological Association of India</w:t>
      </w:r>
      <w:r>
        <w:rPr>
          <w:noProof w:val="0"/>
          <w:lang w:val="en-AU"/>
        </w:rPr>
        <w:t xml:space="preserve">, vol. </w:t>
      </w:r>
      <w:r w:rsidRPr="007F3FF4">
        <w:rPr>
          <w:noProof w:val="0"/>
          <w:lang w:val="en-AU"/>
        </w:rPr>
        <w:t>61</w:t>
      </w:r>
      <w:r>
        <w:rPr>
          <w:noProof w:val="0"/>
          <w:lang w:val="en-AU"/>
        </w:rPr>
        <w:t xml:space="preserve">, no. </w:t>
      </w:r>
      <w:r w:rsidRPr="007F3FF4">
        <w:rPr>
          <w:noProof w:val="0"/>
          <w:lang w:val="en-AU"/>
        </w:rPr>
        <w:t>1</w:t>
      </w:r>
      <w:r>
        <w:rPr>
          <w:noProof w:val="0"/>
          <w:lang w:val="en-AU"/>
        </w:rPr>
        <w:t xml:space="preserve">, pp. 44-48, DOI: </w:t>
      </w:r>
      <w:r w:rsidRPr="007F3FF4">
        <w:rPr>
          <w:noProof w:val="0"/>
          <w:lang w:val="en-AU"/>
        </w:rPr>
        <w:t>10.6024/jmbai.2019.61.1.2035-06</w:t>
      </w:r>
      <w:r>
        <w:rPr>
          <w:noProof w:val="0"/>
          <w:lang w:val="en-AU"/>
        </w:rPr>
        <w:t xml:space="preserve">. </w:t>
      </w:r>
    </w:p>
    <w:p w14:paraId="625A1D39" w14:textId="5F3D86B4" w:rsidR="00865A52" w:rsidRPr="00865A52" w:rsidRDefault="00865A52" w:rsidP="00865A52">
      <w:pPr>
        <w:pStyle w:val="EndNoteBibliography"/>
        <w:rPr>
          <w:noProof w:val="0"/>
          <w:lang w:val="en-AU"/>
        </w:rPr>
      </w:pPr>
      <w:r>
        <w:rPr>
          <w:noProof w:val="0"/>
          <w:lang w:val="en-AU"/>
        </w:rPr>
        <w:t xml:space="preserve">Bishop, MJ, Carnegie, RB, Stokes, NA, Peterson, CH &amp; Burreson, EM 2006, </w:t>
      </w:r>
      <w:hyperlink r:id="rId327" w:history="1">
        <w:r w:rsidRPr="00865A52">
          <w:rPr>
            <w:rStyle w:val="Hyperlink"/>
            <w:noProof w:val="0"/>
            <w:lang w:val="en-AU"/>
          </w:rPr>
          <w:t>Complications of a non-native oyster introduction: facilitation of a local parasite</w:t>
        </w:r>
      </w:hyperlink>
      <w:r>
        <w:rPr>
          <w:noProof w:val="0"/>
          <w:lang w:val="en-AU"/>
        </w:rPr>
        <w:t xml:space="preserve">, </w:t>
      </w:r>
      <w:r>
        <w:rPr>
          <w:i/>
          <w:iCs/>
          <w:noProof w:val="0"/>
          <w:lang w:val="en-AU"/>
        </w:rPr>
        <w:t xml:space="preserve">Marine Ecology Progress Series, </w:t>
      </w:r>
      <w:r>
        <w:rPr>
          <w:noProof w:val="0"/>
          <w:lang w:val="en-AU"/>
        </w:rPr>
        <w:t xml:space="preserve">vol. 325, pp. 145-152. </w:t>
      </w:r>
    </w:p>
    <w:p w14:paraId="16E8EEEB" w14:textId="334362F3" w:rsidR="002B001B" w:rsidRPr="00846769" w:rsidRDefault="00B5740F" w:rsidP="00C80491">
      <w:pPr>
        <w:pStyle w:val="EndNoteBibliography"/>
        <w:rPr>
          <w:noProof w:val="0"/>
          <w:lang w:val="en-AU"/>
        </w:rPr>
      </w:pPr>
      <w:r w:rsidRPr="00846769">
        <w:rPr>
          <w:noProof w:val="0"/>
          <w:lang w:val="en-AU"/>
        </w:rPr>
        <w:t xml:space="preserve">Blakeslee, AM, Fowler, AE &amp; Keogh, CL 2013, </w:t>
      </w:r>
      <w:hyperlink r:id="rId328" w:history="1">
        <w:r w:rsidRPr="00846769">
          <w:rPr>
            <w:rStyle w:val="Hyperlink"/>
            <w:noProof w:val="0"/>
            <w:lang w:val="en-AU"/>
          </w:rPr>
          <w:t>Marine invasions and parasite escape: updates and new perspectives</w:t>
        </w:r>
      </w:hyperlink>
      <w:r w:rsidRPr="00846769">
        <w:rPr>
          <w:noProof w:val="0"/>
          <w:lang w:val="en-AU"/>
        </w:rPr>
        <w:t xml:space="preserve">, </w:t>
      </w:r>
      <w:r w:rsidRPr="00846769">
        <w:rPr>
          <w:i/>
          <w:noProof w:val="0"/>
          <w:lang w:val="en-AU"/>
        </w:rPr>
        <w:t xml:space="preserve">Advances in </w:t>
      </w:r>
      <w:r w:rsidR="00EC7394" w:rsidRPr="00846769">
        <w:rPr>
          <w:i/>
          <w:noProof w:val="0"/>
          <w:lang w:val="en-AU"/>
        </w:rPr>
        <w:t>Marine B</w:t>
      </w:r>
      <w:r w:rsidRPr="00846769">
        <w:rPr>
          <w:i/>
          <w:noProof w:val="0"/>
          <w:lang w:val="en-AU"/>
        </w:rPr>
        <w:t>iology</w:t>
      </w:r>
      <w:r w:rsidRPr="00846769">
        <w:rPr>
          <w:noProof w:val="0"/>
          <w:lang w:val="en-AU"/>
        </w:rPr>
        <w:t>, vol. 66, pp. 87-169</w:t>
      </w:r>
      <w:r w:rsidR="00FA1E54" w:rsidRPr="00846769">
        <w:rPr>
          <w:noProof w:val="0"/>
          <w:lang w:val="en-AU"/>
        </w:rPr>
        <w:t>, DOI: 10.1016/B978-0-12-408096-6.00002-X.</w:t>
      </w:r>
    </w:p>
    <w:p w14:paraId="491ECF7D" w14:textId="4DFE7A32" w:rsidR="006939E1" w:rsidRPr="00846769" w:rsidRDefault="00B5740F" w:rsidP="00C80491">
      <w:pPr>
        <w:pStyle w:val="EndNoteBibliography"/>
        <w:rPr>
          <w:noProof w:val="0"/>
          <w:lang w:val="en-AU"/>
        </w:rPr>
      </w:pPr>
      <w:r w:rsidRPr="00846769">
        <w:rPr>
          <w:noProof w:val="0"/>
          <w:lang w:val="en-AU"/>
        </w:rPr>
        <w:t xml:space="preserve">Bloomfield, N, Summerson, R &amp; Arthur, T 2021, </w:t>
      </w:r>
      <w:r w:rsidRPr="00846769">
        <w:rPr>
          <w:i/>
          <w:iCs/>
          <w:noProof w:val="0"/>
          <w:lang w:val="en-AU"/>
        </w:rPr>
        <w:t>Updating the species temperature tolerances used in the species range mapping method and incorporating known species distributions</w:t>
      </w:r>
      <w:r w:rsidR="00FA1E54" w:rsidRPr="00846769">
        <w:rPr>
          <w:noProof w:val="0"/>
          <w:lang w:val="en-AU"/>
        </w:rPr>
        <w:t>,</w:t>
      </w:r>
      <w:r w:rsidRPr="00846769">
        <w:rPr>
          <w:noProof w:val="0"/>
          <w:lang w:val="en-AU"/>
        </w:rPr>
        <w:t xml:space="preserve"> </w:t>
      </w:r>
      <w:r w:rsidR="00FA1E54" w:rsidRPr="00846769">
        <w:rPr>
          <w:noProof w:val="0"/>
          <w:lang w:val="en-AU"/>
        </w:rPr>
        <w:t xml:space="preserve">Australian Bureau of Agricultural and Resource Economics and Sciences, </w:t>
      </w:r>
      <w:r w:rsidRPr="00846769">
        <w:rPr>
          <w:noProof w:val="0"/>
          <w:lang w:val="en-AU"/>
        </w:rPr>
        <w:t>Canberra, pp. 87.</w:t>
      </w:r>
    </w:p>
    <w:p w14:paraId="3AC836D6" w14:textId="32EE9E9B" w:rsidR="00FA1E54" w:rsidRPr="00846769" w:rsidRDefault="00FA1E54" w:rsidP="00C80491">
      <w:pPr>
        <w:pStyle w:val="EndNoteBibliography"/>
        <w:rPr>
          <w:noProof w:val="0"/>
          <w:lang w:val="en-AU"/>
        </w:rPr>
      </w:pPr>
      <w:r w:rsidRPr="00846769">
        <w:rPr>
          <w:noProof w:val="0"/>
          <w:lang w:val="en-AU"/>
        </w:rPr>
        <w:t xml:space="preserve">Bott, NJ, Ophel-Keller, KM, Sierp, MT, Rowling, KP, McKay, AC, Loo, MG, Tanner, JE &amp; Deveney, MR 2010, </w:t>
      </w:r>
      <w:hyperlink r:id="rId329" w:history="1">
        <w:r w:rsidRPr="00846769">
          <w:rPr>
            <w:rStyle w:val="Hyperlink"/>
            <w:noProof w:val="0"/>
            <w:lang w:val="en-AU"/>
          </w:rPr>
          <w:t>Toward routine, DNA-based detection methods for marine pests</w:t>
        </w:r>
      </w:hyperlink>
      <w:r w:rsidRPr="00846769">
        <w:rPr>
          <w:noProof w:val="0"/>
          <w:lang w:val="en-AU"/>
        </w:rPr>
        <w:t xml:space="preserve">, </w:t>
      </w:r>
      <w:r w:rsidRPr="00846769">
        <w:rPr>
          <w:i/>
          <w:noProof w:val="0"/>
          <w:lang w:val="en-AU"/>
        </w:rPr>
        <w:t>Biotechnology Advances</w:t>
      </w:r>
      <w:r w:rsidRPr="00846769">
        <w:rPr>
          <w:noProof w:val="0"/>
          <w:lang w:val="en-AU"/>
        </w:rPr>
        <w:t>, vol. 28, no. 6, pp. 706-14, DOI: 10.1016/j.biotechadv.2010.05.018.</w:t>
      </w:r>
    </w:p>
    <w:p w14:paraId="554EE9D7" w14:textId="0FD0F79E" w:rsidR="00FA1E54" w:rsidRDefault="00FA1E54" w:rsidP="00C80491">
      <w:pPr>
        <w:pStyle w:val="EndNoteBibliography"/>
        <w:rPr>
          <w:noProof w:val="0"/>
          <w:lang w:val="en-AU"/>
        </w:rPr>
      </w:pPr>
      <w:r w:rsidRPr="00846769">
        <w:rPr>
          <w:noProof w:val="0"/>
          <w:lang w:val="en-AU"/>
        </w:rPr>
        <w:t xml:space="preserve">Bott, NJ &amp; </w:t>
      </w:r>
      <w:proofErr w:type="spellStart"/>
      <w:r w:rsidRPr="00846769">
        <w:rPr>
          <w:noProof w:val="0"/>
          <w:lang w:val="en-AU"/>
        </w:rPr>
        <w:t>Giblot-Ducray</w:t>
      </w:r>
      <w:proofErr w:type="spellEnd"/>
      <w:r w:rsidRPr="00846769">
        <w:rPr>
          <w:noProof w:val="0"/>
          <w:lang w:val="en-AU"/>
        </w:rPr>
        <w:t xml:space="preserve">, D 2011, </w:t>
      </w:r>
      <w:hyperlink r:id="rId330" w:history="1">
        <w:r w:rsidRPr="00846769">
          <w:rPr>
            <w:rStyle w:val="Hyperlink"/>
            <w:noProof w:val="0"/>
            <w:lang w:val="en-AU"/>
          </w:rPr>
          <w:t xml:space="preserve">Molecular tools for detection of marine pests: </w:t>
        </w:r>
        <w:proofErr w:type="spellStart"/>
        <w:r w:rsidRPr="00846769">
          <w:rPr>
            <w:rStyle w:val="Hyperlink"/>
            <w:i/>
            <w:iCs/>
            <w:noProof w:val="0"/>
            <w:lang w:val="en-AU"/>
          </w:rPr>
          <w:t>Musculista</w:t>
        </w:r>
        <w:proofErr w:type="spellEnd"/>
        <w:r w:rsidRPr="00846769">
          <w:rPr>
            <w:rStyle w:val="Hyperlink"/>
            <w:i/>
            <w:iCs/>
            <w:noProof w:val="0"/>
            <w:lang w:val="en-AU"/>
          </w:rPr>
          <w:t xml:space="preserve"> senhousia</w:t>
        </w:r>
        <w:r w:rsidRPr="00846769">
          <w:rPr>
            <w:rStyle w:val="Hyperlink"/>
            <w:noProof w:val="0"/>
            <w:lang w:val="en-AU"/>
          </w:rPr>
          <w:t xml:space="preserve">, </w:t>
        </w:r>
        <w:proofErr w:type="spellStart"/>
        <w:r w:rsidRPr="00846769">
          <w:rPr>
            <w:rStyle w:val="Hyperlink"/>
            <w:i/>
            <w:iCs/>
            <w:noProof w:val="0"/>
            <w:lang w:val="en-AU"/>
          </w:rPr>
          <w:t>Corbula</w:t>
        </w:r>
        <w:proofErr w:type="spellEnd"/>
        <w:r w:rsidRPr="00846769">
          <w:rPr>
            <w:rStyle w:val="Hyperlink"/>
            <w:i/>
            <w:iCs/>
            <w:noProof w:val="0"/>
            <w:lang w:val="en-AU"/>
          </w:rPr>
          <w:t xml:space="preserve"> gibba </w:t>
        </w:r>
        <w:r w:rsidRPr="00846769">
          <w:rPr>
            <w:rStyle w:val="Hyperlink"/>
            <w:noProof w:val="0"/>
            <w:lang w:val="en-AU"/>
          </w:rPr>
          <w:t xml:space="preserve">and </w:t>
        </w:r>
        <w:r w:rsidRPr="00846769">
          <w:rPr>
            <w:rStyle w:val="Hyperlink"/>
            <w:i/>
            <w:iCs/>
            <w:noProof w:val="0"/>
            <w:lang w:val="en-AU"/>
          </w:rPr>
          <w:t xml:space="preserve">Perna canaliculus </w:t>
        </w:r>
        <w:r w:rsidRPr="00846769">
          <w:rPr>
            <w:rStyle w:val="Hyperlink"/>
            <w:noProof w:val="0"/>
            <w:lang w:val="en-AU"/>
          </w:rPr>
          <w:t>quantitative PCR assays</w:t>
        </w:r>
      </w:hyperlink>
      <w:r w:rsidRPr="00846769">
        <w:rPr>
          <w:noProof w:val="0"/>
          <w:lang w:val="en-AU"/>
        </w:rPr>
        <w:t>, SARDI Publication No. F2010/000991-1. SARDI Research Report Series No. 522. 22pp.</w:t>
      </w:r>
    </w:p>
    <w:p w14:paraId="67B18FA5" w14:textId="77777777" w:rsidR="005704F6" w:rsidRPr="00846769" w:rsidRDefault="005704F6" w:rsidP="00C80491">
      <w:pPr>
        <w:pStyle w:val="EndNoteBibliography"/>
        <w:rPr>
          <w:noProof w:val="0"/>
          <w:lang w:val="en-AU"/>
        </w:rPr>
      </w:pPr>
    </w:p>
    <w:p w14:paraId="4162F1E2" w14:textId="3EFFBE73" w:rsidR="006939E1" w:rsidRDefault="00B5740F" w:rsidP="00C80491">
      <w:pPr>
        <w:pStyle w:val="EndNoteBibliography"/>
        <w:rPr>
          <w:noProof w:val="0"/>
          <w:lang w:val="en-AU"/>
        </w:rPr>
      </w:pPr>
      <w:r w:rsidRPr="00846769">
        <w:rPr>
          <w:noProof w:val="0"/>
          <w:lang w:val="en-AU"/>
        </w:rPr>
        <w:lastRenderedPageBreak/>
        <w:t xml:space="preserve">Bott, NJ, </w:t>
      </w:r>
      <w:proofErr w:type="spellStart"/>
      <w:r w:rsidRPr="00846769">
        <w:rPr>
          <w:noProof w:val="0"/>
          <w:lang w:val="en-AU"/>
        </w:rPr>
        <w:t>Giblot-Ducray</w:t>
      </w:r>
      <w:proofErr w:type="spellEnd"/>
      <w:r w:rsidRPr="00846769">
        <w:rPr>
          <w:noProof w:val="0"/>
          <w:lang w:val="en-AU"/>
        </w:rPr>
        <w:t xml:space="preserve">, D &amp; Sierp, M 2012, </w:t>
      </w:r>
      <w:r w:rsidRPr="00846769">
        <w:rPr>
          <w:i/>
          <w:noProof w:val="0"/>
          <w:lang w:val="en-AU"/>
        </w:rPr>
        <w:t>Development of qPCR Assay for the Black-striped Mussel, Mytilopsis sallei</w:t>
      </w:r>
      <w:r w:rsidRPr="00846769">
        <w:rPr>
          <w:noProof w:val="0"/>
          <w:lang w:val="en-AU"/>
        </w:rPr>
        <w:t>,</w:t>
      </w:r>
      <w:r w:rsidR="00A53B86" w:rsidRPr="00846769">
        <w:rPr>
          <w:noProof w:val="0"/>
          <w:lang w:val="en-AU"/>
        </w:rPr>
        <w:t xml:space="preserve"> Report prepared for Commonwealth Department of Agriculture, Fisheries and Forestry &amp; Biosecurity SA.</w:t>
      </w:r>
      <w:r w:rsidRPr="00846769">
        <w:rPr>
          <w:noProof w:val="0"/>
          <w:lang w:val="en-AU"/>
        </w:rPr>
        <w:t xml:space="preserve"> SARDI </w:t>
      </w:r>
      <w:r w:rsidR="00A53B86" w:rsidRPr="00846769">
        <w:rPr>
          <w:noProof w:val="0"/>
          <w:lang w:val="en-AU"/>
        </w:rPr>
        <w:t>Publication No. F2012/000436-1</w:t>
      </w:r>
      <w:r w:rsidRPr="00846769">
        <w:rPr>
          <w:noProof w:val="0"/>
          <w:lang w:val="en-AU"/>
        </w:rPr>
        <w:t>.</w:t>
      </w:r>
      <w:r w:rsidR="00A53B86" w:rsidRPr="00846769">
        <w:rPr>
          <w:noProof w:val="0"/>
          <w:lang w:val="en-AU"/>
        </w:rPr>
        <w:t xml:space="preserve"> SARDI Research </w:t>
      </w:r>
      <w:proofErr w:type="spellStart"/>
      <w:r w:rsidR="00FA1E54" w:rsidRPr="00846769">
        <w:rPr>
          <w:noProof w:val="0"/>
          <w:lang w:val="en-AU"/>
        </w:rPr>
        <w:t>b</w:t>
      </w:r>
      <w:r w:rsidR="00A53B86" w:rsidRPr="00846769">
        <w:rPr>
          <w:noProof w:val="0"/>
          <w:lang w:val="en-AU"/>
        </w:rPr>
        <w:t>Report</w:t>
      </w:r>
      <w:proofErr w:type="spellEnd"/>
      <w:r w:rsidR="00A53B86" w:rsidRPr="00846769">
        <w:rPr>
          <w:noProof w:val="0"/>
          <w:lang w:val="en-AU"/>
        </w:rPr>
        <w:t xml:space="preserve"> Series No. 676. 24pp.</w:t>
      </w:r>
    </w:p>
    <w:p w14:paraId="54D77E41" w14:textId="1C3BB050" w:rsidR="00665C1F" w:rsidRPr="00665C1F" w:rsidRDefault="00665C1F" w:rsidP="00C80491">
      <w:pPr>
        <w:pStyle w:val="EndNoteBibliography"/>
        <w:rPr>
          <w:noProof w:val="0"/>
          <w:lang w:val="en-AU"/>
        </w:rPr>
      </w:pPr>
      <w:r>
        <w:rPr>
          <w:noProof w:val="0"/>
          <w:lang w:val="en-AU"/>
        </w:rPr>
        <w:t xml:space="preserve">Bott, NJ &amp; </w:t>
      </w:r>
      <w:proofErr w:type="spellStart"/>
      <w:r>
        <w:rPr>
          <w:noProof w:val="0"/>
          <w:lang w:val="en-AU"/>
        </w:rPr>
        <w:t>Giblot-Ducray</w:t>
      </w:r>
      <w:proofErr w:type="spellEnd"/>
      <w:r>
        <w:rPr>
          <w:noProof w:val="0"/>
          <w:lang w:val="en-AU"/>
        </w:rPr>
        <w:t xml:space="preserve">, D 2012, </w:t>
      </w:r>
      <w:hyperlink r:id="rId331" w:history="1">
        <w:r w:rsidRPr="00665C1F">
          <w:rPr>
            <w:rStyle w:val="Hyperlink"/>
            <w:noProof w:val="0"/>
            <w:lang w:val="en-AU"/>
          </w:rPr>
          <w:t xml:space="preserve">Development of a qPCR assay for the Pacific oyster, </w:t>
        </w:r>
        <w:r w:rsidRPr="00665C1F">
          <w:rPr>
            <w:rStyle w:val="Hyperlink"/>
            <w:i/>
            <w:iCs/>
            <w:noProof w:val="0"/>
            <w:lang w:val="en-AU"/>
          </w:rPr>
          <w:t>Crassostrea gigas</w:t>
        </w:r>
      </w:hyperlink>
      <w:r>
        <w:rPr>
          <w:i/>
          <w:iCs/>
          <w:noProof w:val="0"/>
          <w:lang w:val="en-AU"/>
        </w:rPr>
        <w:t xml:space="preserve">, </w:t>
      </w:r>
      <w:r>
        <w:rPr>
          <w:noProof w:val="0"/>
          <w:lang w:val="en-AU"/>
        </w:rPr>
        <w:t xml:space="preserve">Report prepared for Biosecurity SA. South Australian Research and Development Institute (Aquatic Sciences), Adelaide. SARDI Publication No. F2012/000210-1. SARDI Research Report Series No. 641, 12pp. </w:t>
      </w:r>
    </w:p>
    <w:p w14:paraId="73C511CC" w14:textId="23098353" w:rsidR="006939E1" w:rsidRDefault="00B5740F" w:rsidP="00C80491">
      <w:pPr>
        <w:spacing w:line="240" w:lineRule="auto"/>
        <w:rPr>
          <w:rFonts w:ascii="Calibri" w:hAnsi="Calibri" w:cs="Calibri"/>
        </w:rPr>
      </w:pPr>
      <w:proofErr w:type="spellStart"/>
      <w:r w:rsidRPr="00846769">
        <w:t>Boufafa</w:t>
      </w:r>
      <w:proofErr w:type="spellEnd"/>
      <w:r w:rsidRPr="00846769">
        <w:t xml:space="preserve">, M, Kadri, S, Redder, P &amp; </w:t>
      </w:r>
      <w:proofErr w:type="spellStart"/>
      <w:r w:rsidRPr="00846769">
        <w:t>Bensouilah</w:t>
      </w:r>
      <w:proofErr w:type="spellEnd"/>
      <w:r w:rsidRPr="00846769">
        <w:t xml:space="preserve">, M 2021, </w:t>
      </w:r>
      <w:hyperlink r:id="rId332" w:history="1">
        <w:r w:rsidRPr="00846769">
          <w:rPr>
            <w:rStyle w:val="Hyperlink"/>
          </w:rPr>
          <w:t xml:space="preserve">Occurrence and distribution of </w:t>
        </w:r>
        <w:proofErr w:type="spellStart"/>
        <w:r w:rsidRPr="00846769">
          <w:rPr>
            <w:rStyle w:val="Hyperlink"/>
          </w:rPr>
          <w:t>fecal</w:t>
        </w:r>
        <w:proofErr w:type="spellEnd"/>
        <w:r w:rsidRPr="00846769">
          <w:rPr>
            <w:rStyle w:val="Hyperlink"/>
          </w:rPr>
          <w:t xml:space="preserve"> indicators and pathogenic bacteria in seawater and </w:t>
        </w:r>
        <w:r w:rsidRPr="00846769">
          <w:rPr>
            <w:rStyle w:val="Hyperlink"/>
            <w:i/>
            <w:iCs/>
          </w:rPr>
          <w:t xml:space="preserve">Perna </w:t>
        </w:r>
        <w:proofErr w:type="spellStart"/>
        <w:r w:rsidRPr="00846769">
          <w:rPr>
            <w:rStyle w:val="Hyperlink"/>
            <w:i/>
            <w:iCs/>
          </w:rPr>
          <w:t>perna</w:t>
        </w:r>
        <w:proofErr w:type="spellEnd"/>
        <w:r w:rsidRPr="00846769">
          <w:rPr>
            <w:rStyle w:val="Hyperlink"/>
          </w:rPr>
          <w:t xml:space="preserve"> mussel in the Gulf of Annaba (Southern Mediterranean)</w:t>
        </w:r>
      </w:hyperlink>
      <w:r w:rsidRPr="00846769">
        <w:t xml:space="preserve">, </w:t>
      </w:r>
      <w:r w:rsidRPr="00846769">
        <w:rPr>
          <w:i/>
        </w:rPr>
        <w:t>Environmental Science and Pollution Research</w:t>
      </w:r>
      <w:r w:rsidRPr="00846769">
        <w:t>, vol. 28, no. 33, pp. 46035-52</w:t>
      </w:r>
      <w:r w:rsidR="00FA1E54" w:rsidRPr="00846769">
        <w:t xml:space="preserve">, DOI: </w:t>
      </w:r>
      <w:r w:rsidR="00FA1E54" w:rsidRPr="00846769">
        <w:rPr>
          <w:rFonts w:ascii="Calibri" w:hAnsi="Calibri" w:cs="Calibri"/>
        </w:rPr>
        <w:t>10.1007/s11356-021-13978-4.</w:t>
      </w:r>
    </w:p>
    <w:p w14:paraId="72B7BA54" w14:textId="090F1C01" w:rsidR="00C80491" w:rsidRPr="00C80491" w:rsidRDefault="00C80491" w:rsidP="00C80491">
      <w:pPr>
        <w:spacing w:line="240" w:lineRule="auto"/>
        <w:rPr>
          <w:rFonts w:ascii="Calibri" w:hAnsi="Calibri" w:cs="Calibri"/>
        </w:rPr>
      </w:pPr>
      <w:bookmarkStart w:id="792" w:name="_Hlk188354241"/>
      <w:r>
        <w:rPr>
          <w:rFonts w:ascii="Calibri" w:hAnsi="Calibri" w:cs="Calibri"/>
        </w:rPr>
        <w:t xml:space="preserve">Bowers, HA, </w:t>
      </w:r>
      <w:proofErr w:type="spellStart"/>
      <w:r>
        <w:rPr>
          <w:rFonts w:ascii="Calibri" w:hAnsi="Calibri" w:cs="Calibri"/>
        </w:rPr>
        <w:t>Pochon</w:t>
      </w:r>
      <w:proofErr w:type="spellEnd"/>
      <w:r>
        <w:rPr>
          <w:rFonts w:ascii="Calibri" w:hAnsi="Calibri" w:cs="Calibri"/>
        </w:rPr>
        <w:t xml:space="preserve">, X, Ammon, UV, Gemmell, N, Stanton, JAL, </w:t>
      </w:r>
      <w:proofErr w:type="spellStart"/>
      <w:r>
        <w:rPr>
          <w:rFonts w:ascii="Calibri" w:hAnsi="Calibri" w:cs="Calibri"/>
        </w:rPr>
        <w:t>Jeunen</w:t>
      </w:r>
      <w:proofErr w:type="spellEnd"/>
      <w:r>
        <w:rPr>
          <w:rFonts w:ascii="Calibri" w:hAnsi="Calibri" w:cs="Calibri"/>
        </w:rPr>
        <w:t xml:space="preserve">, GJ, Sherman, CDH &amp; </w:t>
      </w:r>
      <w:proofErr w:type="spellStart"/>
      <w:r>
        <w:rPr>
          <w:rFonts w:ascii="Calibri" w:hAnsi="Calibri" w:cs="Calibri"/>
        </w:rPr>
        <w:t>Zaiko</w:t>
      </w:r>
      <w:proofErr w:type="spellEnd"/>
      <w:r>
        <w:rPr>
          <w:rFonts w:ascii="Calibri" w:hAnsi="Calibri" w:cs="Calibri"/>
        </w:rPr>
        <w:t xml:space="preserve">, A 2021, </w:t>
      </w:r>
      <w:hyperlink r:id="rId333" w:history="1">
        <w:r w:rsidRPr="00C80491">
          <w:rPr>
            <w:rStyle w:val="Hyperlink"/>
            <w:rFonts w:ascii="Calibri" w:hAnsi="Calibri" w:cs="Calibri"/>
          </w:rPr>
          <w:t>Towards the optimization of eDNA/</w:t>
        </w:r>
        <w:proofErr w:type="spellStart"/>
        <w:r w:rsidRPr="00C80491">
          <w:rPr>
            <w:rStyle w:val="Hyperlink"/>
            <w:rFonts w:ascii="Calibri" w:hAnsi="Calibri" w:cs="Calibri"/>
          </w:rPr>
          <w:t>eRNA</w:t>
        </w:r>
        <w:proofErr w:type="spellEnd"/>
        <w:r w:rsidRPr="00C80491">
          <w:rPr>
            <w:rStyle w:val="Hyperlink"/>
            <w:rFonts w:ascii="Calibri" w:hAnsi="Calibri" w:cs="Calibri"/>
          </w:rPr>
          <w:t xml:space="preserve"> sampling technologies for marine biosecurity surveillance</w:t>
        </w:r>
      </w:hyperlink>
      <w:r>
        <w:rPr>
          <w:rFonts w:ascii="Calibri" w:hAnsi="Calibri" w:cs="Calibri"/>
        </w:rPr>
        <w:t xml:space="preserve">, </w:t>
      </w:r>
      <w:r>
        <w:rPr>
          <w:rFonts w:ascii="Calibri" w:hAnsi="Calibri" w:cs="Calibri"/>
          <w:i/>
          <w:iCs/>
        </w:rPr>
        <w:t xml:space="preserve">Water, </w:t>
      </w:r>
      <w:r>
        <w:rPr>
          <w:rFonts w:ascii="Calibri" w:hAnsi="Calibri" w:cs="Calibri"/>
        </w:rPr>
        <w:t xml:space="preserve">vol. 13, no. 8, pp. 1113, DOI: </w:t>
      </w:r>
      <w:r w:rsidRPr="00C80491">
        <w:rPr>
          <w:rFonts w:ascii="Calibri" w:hAnsi="Calibri" w:cs="Calibri"/>
        </w:rPr>
        <w:t>10.3390/w13081113</w:t>
      </w:r>
      <w:r>
        <w:rPr>
          <w:rFonts w:ascii="Calibri" w:hAnsi="Calibri" w:cs="Calibri"/>
        </w:rPr>
        <w:t>.</w:t>
      </w:r>
    </w:p>
    <w:bookmarkEnd w:id="792"/>
    <w:p w14:paraId="415D904B" w14:textId="225BDDEF" w:rsidR="00433856" w:rsidRDefault="00433856" w:rsidP="00C80491">
      <w:pPr>
        <w:pStyle w:val="EndNoteBibliography"/>
        <w:rPr>
          <w:noProof w:val="0"/>
          <w:lang w:val="en-AU"/>
        </w:rPr>
      </w:pPr>
      <w:r w:rsidRPr="00846769">
        <w:rPr>
          <w:noProof w:val="0"/>
          <w:lang w:val="en-AU"/>
        </w:rPr>
        <w:t xml:space="preserve">Bracken, J, Gust, N, Ross, J &amp; Coutts, A 2016, </w:t>
      </w:r>
      <w:hyperlink r:id="rId334" w:history="1">
        <w:r w:rsidRPr="00846769">
          <w:rPr>
            <w:rStyle w:val="Hyperlink"/>
            <w:noProof w:val="0"/>
            <w:lang w:val="en-AU"/>
          </w:rPr>
          <w:t>An assessment of the efficacy of chemical descalers for managing non-indigenous marine species within internal seawater systems and niche areas</w:t>
        </w:r>
      </w:hyperlink>
      <w:r w:rsidRPr="00846769">
        <w:rPr>
          <w:noProof w:val="0"/>
          <w:lang w:val="en-AU"/>
        </w:rPr>
        <w:t xml:space="preserve">, </w:t>
      </w:r>
      <w:r w:rsidRPr="00846769">
        <w:rPr>
          <w:i/>
          <w:iCs/>
          <w:noProof w:val="0"/>
          <w:lang w:val="en-AU"/>
        </w:rPr>
        <w:t xml:space="preserve">Management of Biological Invasions, </w:t>
      </w:r>
      <w:r w:rsidRPr="00846769">
        <w:rPr>
          <w:noProof w:val="0"/>
          <w:lang w:val="en-AU"/>
        </w:rPr>
        <w:t>vol. 7, pp. 241-256</w:t>
      </w:r>
      <w:r w:rsidR="00FA1E54" w:rsidRPr="00846769">
        <w:rPr>
          <w:noProof w:val="0"/>
          <w:lang w:val="en-AU"/>
        </w:rPr>
        <w:t>, DOI: 10.3391/mbi.2016.7.3.04.</w:t>
      </w:r>
    </w:p>
    <w:p w14:paraId="04883244" w14:textId="4605426F" w:rsidR="00C80491" w:rsidRPr="00C80491" w:rsidRDefault="00C80491" w:rsidP="00C80491">
      <w:pPr>
        <w:spacing w:line="240" w:lineRule="auto"/>
        <w:rPr>
          <w:rFonts w:cstheme="minorHAnsi"/>
          <w:lang w:eastAsia="ja-JP"/>
        </w:rPr>
      </w:pPr>
      <w:bookmarkStart w:id="793" w:name="_Hlk189214284"/>
      <w:r w:rsidRPr="002851E1">
        <w:rPr>
          <w:rFonts w:cstheme="minorHAnsi"/>
          <w:lang w:eastAsia="ja-JP"/>
        </w:rPr>
        <w:t xml:space="preserve">Braga, C, Hunsucker, K, Gardner, H, Swain, G 2020, </w:t>
      </w:r>
      <w:hyperlink r:id="rId335" w:history="1">
        <w:r w:rsidRPr="00581E99">
          <w:rPr>
            <w:rStyle w:val="Hyperlink"/>
          </w:rPr>
          <w:t>A novel design to investigate the impacts of UV exposure on marine biofouling</w:t>
        </w:r>
      </w:hyperlink>
      <w:r w:rsidRPr="002851E1">
        <w:rPr>
          <w:rFonts w:cstheme="minorHAnsi"/>
          <w:lang w:eastAsia="ja-JP"/>
        </w:rPr>
        <w:t xml:space="preserve">, </w:t>
      </w:r>
      <w:r w:rsidRPr="00581E99">
        <w:rPr>
          <w:rFonts w:cstheme="minorHAnsi"/>
          <w:i/>
          <w:iCs/>
          <w:lang w:eastAsia="ja-JP"/>
        </w:rPr>
        <w:t>Applied Ocean Research</w:t>
      </w:r>
      <w:r w:rsidRPr="002851E1">
        <w:rPr>
          <w:rFonts w:cstheme="minorHAnsi"/>
          <w:lang w:eastAsia="ja-JP"/>
        </w:rPr>
        <w:t>, vol. 101,</w:t>
      </w:r>
      <w:r>
        <w:rPr>
          <w:rFonts w:cstheme="minorHAnsi"/>
          <w:lang w:eastAsia="ja-JP"/>
        </w:rPr>
        <w:t xml:space="preserve"> pp. </w:t>
      </w:r>
      <w:r w:rsidRPr="002851E1">
        <w:rPr>
          <w:rFonts w:cstheme="minorHAnsi"/>
          <w:lang w:eastAsia="ja-JP"/>
        </w:rPr>
        <w:t>102226</w:t>
      </w:r>
      <w:r w:rsidRPr="00581E99">
        <w:rPr>
          <w:rFonts w:cstheme="minorHAnsi"/>
          <w:lang w:eastAsia="ja-JP"/>
        </w:rPr>
        <w:t xml:space="preserve">, </w:t>
      </w:r>
      <w:r w:rsidRPr="002851E1">
        <w:rPr>
          <w:rFonts w:cstheme="minorHAnsi"/>
          <w:lang w:eastAsia="ja-JP"/>
        </w:rPr>
        <w:t>DOI: 10.1016/j.apor.2020.102226.</w:t>
      </w:r>
    </w:p>
    <w:bookmarkEnd w:id="793"/>
    <w:p w14:paraId="1F8D4608" w14:textId="44F618D8" w:rsidR="00FA1E54" w:rsidRDefault="00B5740F" w:rsidP="00C80491">
      <w:pPr>
        <w:pStyle w:val="EndNoteBibliography"/>
        <w:rPr>
          <w:noProof w:val="0"/>
          <w:lang w:val="en-AU"/>
        </w:rPr>
      </w:pPr>
      <w:r w:rsidRPr="00846769">
        <w:rPr>
          <w:noProof w:val="0"/>
          <w:lang w:val="en-AU"/>
        </w:rPr>
        <w:t xml:space="preserve">Briski, E, Bailey, SA &amp; MacIsaac, HJ 2011, </w:t>
      </w:r>
      <w:hyperlink r:id="rId336" w:history="1">
        <w:r w:rsidRPr="00846769">
          <w:rPr>
            <w:rStyle w:val="Hyperlink"/>
            <w:noProof w:val="0"/>
            <w:lang w:val="en-AU"/>
          </w:rPr>
          <w:t>Invertebrates and their dormant eggs transported in ballast sediments of ships arriving to the Canadian coasts and the Laurentian Great Lakes</w:t>
        </w:r>
      </w:hyperlink>
      <w:r w:rsidRPr="00846769">
        <w:rPr>
          <w:noProof w:val="0"/>
          <w:lang w:val="en-AU"/>
        </w:rPr>
        <w:t xml:space="preserve">, </w:t>
      </w:r>
      <w:r w:rsidRPr="00846769">
        <w:rPr>
          <w:i/>
          <w:noProof w:val="0"/>
          <w:lang w:val="en-AU"/>
        </w:rPr>
        <w:t>Limnology and Oceanography</w:t>
      </w:r>
      <w:r w:rsidRPr="00846769">
        <w:rPr>
          <w:noProof w:val="0"/>
          <w:lang w:val="en-AU"/>
        </w:rPr>
        <w:t>, vol. 56, no. 5, pp. 1929-39</w:t>
      </w:r>
      <w:r w:rsidR="00FA1E54" w:rsidRPr="00846769">
        <w:rPr>
          <w:noProof w:val="0"/>
          <w:lang w:val="en-AU"/>
        </w:rPr>
        <w:t>, DOI: 10.4319/lo.2011.56.5.1929.</w:t>
      </w:r>
    </w:p>
    <w:p w14:paraId="0FA49B4D" w14:textId="60FAFC9B" w:rsidR="007F3FF4" w:rsidRPr="007F3FF4" w:rsidRDefault="007F3FF4" w:rsidP="00C80491">
      <w:pPr>
        <w:pStyle w:val="EndNoteBibliography"/>
        <w:rPr>
          <w:noProof w:val="0"/>
          <w:lang w:val="en-AU"/>
        </w:rPr>
      </w:pPr>
      <w:r>
        <w:rPr>
          <w:noProof w:val="0"/>
          <w:lang w:val="en-AU"/>
        </w:rPr>
        <w:t xml:space="preserve">Brousseau, DJ 1978, </w:t>
      </w:r>
      <w:hyperlink r:id="rId337" w:anchor="citeas" w:history="1">
        <w:r w:rsidRPr="007F3FF4">
          <w:rPr>
            <w:rStyle w:val="Hyperlink"/>
            <w:noProof w:val="0"/>
            <w:lang w:val="en-AU"/>
          </w:rPr>
          <w:t xml:space="preserve">Population dynamics of the soft-shell clam </w:t>
        </w:r>
        <w:r w:rsidRPr="007F3FF4">
          <w:rPr>
            <w:rStyle w:val="Hyperlink"/>
            <w:i/>
            <w:iCs/>
            <w:noProof w:val="0"/>
            <w:lang w:val="en-AU"/>
          </w:rPr>
          <w:t>Mya arenaria</w:t>
        </w:r>
      </w:hyperlink>
      <w:r>
        <w:rPr>
          <w:i/>
          <w:iCs/>
          <w:noProof w:val="0"/>
          <w:lang w:val="en-AU"/>
        </w:rPr>
        <w:t xml:space="preserve">, Marine Biology, </w:t>
      </w:r>
      <w:r>
        <w:rPr>
          <w:noProof w:val="0"/>
          <w:lang w:val="en-AU"/>
        </w:rPr>
        <w:t xml:space="preserve">vol. 50, pp. 63-71, DOI: </w:t>
      </w:r>
      <w:r w:rsidRPr="007F3FF4">
        <w:rPr>
          <w:noProof w:val="0"/>
          <w:lang w:val="en-AU"/>
        </w:rPr>
        <w:t>10.1007/BF00390542</w:t>
      </w:r>
      <w:r>
        <w:rPr>
          <w:noProof w:val="0"/>
          <w:lang w:val="en-AU"/>
        </w:rPr>
        <w:t xml:space="preserve">. </w:t>
      </w:r>
    </w:p>
    <w:p w14:paraId="6B6853A8" w14:textId="4293D13E" w:rsidR="00C80491" w:rsidRDefault="00C80491" w:rsidP="00C80491">
      <w:pPr>
        <w:pStyle w:val="EndNoteBibliography"/>
        <w:spacing w:after="240"/>
        <w:rPr>
          <w:rFonts w:cstheme="minorHAnsi"/>
        </w:rPr>
      </w:pPr>
      <w:r w:rsidRPr="00EC267D">
        <w:rPr>
          <w:rFonts w:cstheme="minorHAnsi"/>
        </w:rPr>
        <w:t>Brown, JA, Salehi</w:t>
      </w:r>
      <w:r w:rsidRPr="00581E99">
        <w:rPr>
          <w:rFonts w:cstheme="minorHAnsi"/>
        </w:rPr>
        <w:t>,</w:t>
      </w:r>
      <w:r w:rsidRPr="00EC267D">
        <w:rPr>
          <w:rFonts w:cstheme="minorHAnsi"/>
        </w:rPr>
        <w:t xml:space="preserve"> MM, Moradi, M, Panahbehagh, B &amp; Smith, DR 2013, </w:t>
      </w:r>
      <w:hyperlink r:id="rId338" w:history="1">
        <w:r w:rsidRPr="00C80491">
          <w:rPr>
            <w:rStyle w:val="Hyperlink"/>
            <w:rFonts w:cstheme="minorHAnsi"/>
          </w:rPr>
          <w:t>Adaptive survey designs for sampling rare and clustered populations</w:t>
        </w:r>
      </w:hyperlink>
      <w:r w:rsidRPr="00581E99">
        <w:rPr>
          <w:rFonts w:cstheme="minorHAnsi"/>
        </w:rPr>
        <w:t>,</w:t>
      </w:r>
      <w:r w:rsidRPr="00EC267D">
        <w:rPr>
          <w:rFonts w:cstheme="minorHAnsi"/>
        </w:rPr>
        <w:t xml:space="preserve"> </w:t>
      </w:r>
      <w:r w:rsidRPr="00581E99">
        <w:rPr>
          <w:rFonts w:cstheme="minorHAnsi"/>
          <w:i/>
          <w:iCs/>
        </w:rPr>
        <w:t>Mathematics and Computers in Simulation</w:t>
      </w:r>
      <w:r w:rsidRPr="00581E99">
        <w:rPr>
          <w:rFonts w:cstheme="minorHAnsi"/>
        </w:rPr>
        <w:t>,</w:t>
      </w:r>
      <w:r w:rsidRPr="00EC267D">
        <w:rPr>
          <w:rFonts w:cstheme="minorHAnsi"/>
        </w:rPr>
        <w:t xml:space="preserve"> vol. 93,</w:t>
      </w:r>
      <w:r w:rsidRPr="00581E99">
        <w:rPr>
          <w:rFonts w:cstheme="minorHAnsi"/>
        </w:rPr>
        <w:t xml:space="preserve"> </w:t>
      </w:r>
      <w:r w:rsidRPr="00EC267D">
        <w:rPr>
          <w:rFonts w:cstheme="minorHAnsi"/>
        </w:rPr>
        <w:t>pp. 108</w:t>
      </w:r>
      <w:r w:rsidRPr="00EC267D">
        <w:t>–</w:t>
      </w:r>
      <w:r w:rsidRPr="00EC267D">
        <w:rPr>
          <w:rFonts w:cstheme="minorHAnsi"/>
        </w:rPr>
        <w:t>16</w:t>
      </w:r>
      <w:r w:rsidRPr="00581E99">
        <w:rPr>
          <w:rFonts w:cstheme="minorHAnsi"/>
        </w:rPr>
        <w:t xml:space="preserve">, DOI: </w:t>
      </w:r>
      <w:r w:rsidRPr="00EC267D">
        <w:rPr>
          <w:rFonts w:cstheme="minorHAnsi"/>
        </w:rPr>
        <w:t>10.1016/j.matcom.2012.09.008.</w:t>
      </w:r>
    </w:p>
    <w:p w14:paraId="4DDB7F45" w14:textId="1232AF69" w:rsidR="00BE7E96" w:rsidRPr="00BE7E96" w:rsidRDefault="00BE7E96" w:rsidP="00C80491">
      <w:pPr>
        <w:pStyle w:val="EndNoteBibliography"/>
        <w:spacing w:after="240"/>
        <w:rPr>
          <w:rFonts w:cstheme="minorHAnsi"/>
        </w:rPr>
      </w:pPr>
      <w:bookmarkStart w:id="794" w:name="_Hlk188618314"/>
      <w:r>
        <w:rPr>
          <w:rFonts w:cstheme="minorHAnsi"/>
        </w:rPr>
        <w:t xml:space="preserve">Burian, A, Mauvisseau, Q, Bulling, M, Domisch, S, Qian, S &amp; Sweet, M 2021, </w:t>
      </w:r>
      <w:hyperlink r:id="rId339" w:history="1">
        <w:r w:rsidRPr="00BE7E96">
          <w:rPr>
            <w:rStyle w:val="Hyperlink"/>
            <w:rFonts w:cstheme="minorHAnsi"/>
          </w:rPr>
          <w:t>Improving the reliability of eDNA interpretation</w:t>
        </w:r>
      </w:hyperlink>
      <w:r>
        <w:rPr>
          <w:rFonts w:cstheme="minorHAnsi"/>
        </w:rPr>
        <w:t xml:space="preserve">, </w:t>
      </w:r>
      <w:r>
        <w:rPr>
          <w:rFonts w:cstheme="minorHAnsi"/>
          <w:i/>
          <w:iCs/>
        </w:rPr>
        <w:t xml:space="preserve">Molecular Ecology Resources, </w:t>
      </w:r>
      <w:r>
        <w:rPr>
          <w:rFonts w:cstheme="minorHAnsi"/>
        </w:rPr>
        <w:t xml:space="preserve">vol. 21, no. 5, pp. 1422-1433, DOI: </w:t>
      </w:r>
      <w:r w:rsidRPr="00BE7E96">
        <w:rPr>
          <w:rFonts w:cstheme="minorHAnsi"/>
        </w:rPr>
        <w:t>10.1111/1755-0998.13367</w:t>
      </w:r>
      <w:r>
        <w:rPr>
          <w:rFonts w:cstheme="minorHAnsi"/>
        </w:rPr>
        <w:t xml:space="preserve">. </w:t>
      </w:r>
    </w:p>
    <w:bookmarkEnd w:id="794"/>
    <w:p w14:paraId="7B081DEC" w14:textId="0E53CAE9" w:rsidR="006939E1" w:rsidRPr="00846769" w:rsidRDefault="00B5740F" w:rsidP="00C80491">
      <w:pPr>
        <w:pStyle w:val="EndNoteBibliography"/>
        <w:rPr>
          <w:noProof w:val="0"/>
          <w:lang w:val="en-AU"/>
        </w:rPr>
      </w:pPr>
      <w:r w:rsidRPr="00846769">
        <w:rPr>
          <w:noProof w:val="0"/>
          <w:lang w:val="en-AU"/>
        </w:rPr>
        <w:t xml:space="preserve">Burgman, MA, McCarthy, MA, Robinson, A, Hester, SM, McBride, MF, Elith, J &amp; Dane Panetta, F 2013, </w:t>
      </w:r>
      <w:hyperlink r:id="rId340" w:history="1">
        <w:r w:rsidRPr="00846769">
          <w:rPr>
            <w:rStyle w:val="Hyperlink"/>
            <w:noProof w:val="0"/>
            <w:lang w:val="en-AU"/>
          </w:rPr>
          <w:t>Improving decisions for invasive species management: reformulation and extensions of the Panetta–Lawes eradication graph</w:t>
        </w:r>
      </w:hyperlink>
      <w:r w:rsidRPr="00846769">
        <w:rPr>
          <w:noProof w:val="0"/>
          <w:lang w:val="en-AU"/>
        </w:rPr>
        <w:t xml:space="preserve">, </w:t>
      </w:r>
      <w:r w:rsidRPr="00846769">
        <w:rPr>
          <w:i/>
          <w:noProof w:val="0"/>
          <w:lang w:val="en-AU"/>
        </w:rPr>
        <w:t>Diversity and Distributions</w:t>
      </w:r>
      <w:r w:rsidRPr="00846769">
        <w:rPr>
          <w:noProof w:val="0"/>
          <w:lang w:val="en-AU"/>
        </w:rPr>
        <w:t>, vol. 19, no. 5-6, pp. 603-7</w:t>
      </w:r>
      <w:r w:rsidR="00FA1E54" w:rsidRPr="00846769">
        <w:rPr>
          <w:noProof w:val="0"/>
          <w:lang w:val="en-AU"/>
        </w:rPr>
        <w:t>, DOI: 10.1111/ddi.12055.</w:t>
      </w:r>
    </w:p>
    <w:p w14:paraId="6515F9E4" w14:textId="157FC972" w:rsidR="006939E1" w:rsidRPr="00846769" w:rsidRDefault="00B5740F" w:rsidP="00C80491">
      <w:pPr>
        <w:pStyle w:val="EndNoteBibliography"/>
        <w:rPr>
          <w:noProof w:val="0"/>
          <w:lang w:val="en-AU"/>
        </w:rPr>
      </w:pPr>
      <w:r w:rsidRPr="00846769">
        <w:rPr>
          <w:noProof w:val="0"/>
          <w:lang w:val="en-AU"/>
        </w:rPr>
        <w:t>Buss, JJ, Harris, JO, Tanner, J</w:t>
      </w:r>
      <w:r w:rsidR="00B0354A">
        <w:rPr>
          <w:noProof w:val="0"/>
          <w:lang w:val="en-AU"/>
        </w:rPr>
        <w:t>E</w:t>
      </w:r>
      <w:r w:rsidRPr="00846769">
        <w:rPr>
          <w:noProof w:val="0"/>
          <w:lang w:val="en-AU"/>
        </w:rPr>
        <w:t>, Wiltshire, K</w:t>
      </w:r>
      <w:r w:rsidR="00B0354A">
        <w:rPr>
          <w:noProof w:val="0"/>
          <w:lang w:val="en-AU"/>
        </w:rPr>
        <w:t>H</w:t>
      </w:r>
      <w:r w:rsidRPr="00846769">
        <w:rPr>
          <w:noProof w:val="0"/>
          <w:lang w:val="en-AU"/>
        </w:rPr>
        <w:t xml:space="preserve"> &amp; Deveney, MR 2020, </w:t>
      </w:r>
      <w:hyperlink r:id="rId341" w:history="1">
        <w:r w:rsidRPr="00846769">
          <w:rPr>
            <w:rStyle w:val="Hyperlink"/>
            <w:noProof w:val="0"/>
            <w:lang w:val="en-AU"/>
          </w:rPr>
          <w:t xml:space="preserve">Rapid transmission of </w:t>
        </w:r>
        <w:proofErr w:type="spellStart"/>
        <w:r w:rsidRPr="00846769">
          <w:rPr>
            <w:rStyle w:val="Hyperlink"/>
            <w:i/>
            <w:iCs/>
            <w:noProof w:val="0"/>
            <w:lang w:val="en-AU"/>
          </w:rPr>
          <w:t>Bonamia</w:t>
        </w:r>
        <w:proofErr w:type="spellEnd"/>
        <w:r w:rsidRPr="00846769">
          <w:rPr>
            <w:rStyle w:val="Hyperlink"/>
            <w:i/>
            <w:iCs/>
            <w:noProof w:val="0"/>
            <w:lang w:val="en-AU"/>
          </w:rPr>
          <w:t xml:space="preserve"> </w:t>
        </w:r>
        <w:proofErr w:type="spellStart"/>
        <w:r w:rsidRPr="00846769">
          <w:rPr>
            <w:rStyle w:val="Hyperlink"/>
            <w:i/>
            <w:iCs/>
            <w:noProof w:val="0"/>
            <w:lang w:val="en-AU"/>
          </w:rPr>
          <w:t>exitiosa</w:t>
        </w:r>
        <w:proofErr w:type="spellEnd"/>
        <w:r w:rsidRPr="00846769">
          <w:rPr>
            <w:rStyle w:val="Hyperlink"/>
            <w:noProof w:val="0"/>
            <w:lang w:val="en-AU"/>
          </w:rPr>
          <w:t xml:space="preserve"> by cohabitation causes mortality in </w:t>
        </w:r>
        <w:r w:rsidRPr="00846769">
          <w:rPr>
            <w:rStyle w:val="Hyperlink"/>
            <w:i/>
            <w:iCs/>
            <w:noProof w:val="0"/>
            <w:lang w:val="en-AU"/>
          </w:rPr>
          <w:t xml:space="preserve">Ostrea </w:t>
        </w:r>
        <w:proofErr w:type="spellStart"/>
        <w:r w:rsidRPr="00846769">
          <w:rPr>
            <w:rStyle w:val="Hyperlink"/>
            <w:i/>
            <w:iCs/>
            <w:noProof w:val="0"/>
            <w:lang w:val="en-AU"/>
          </w:rPr>
          <w:t>angasi</w:t>
        </w:r>
        <w:proofErr w:type="spellEnd"/>
      </w:hyperlink>
      <w:r w:rsidRPr="00846769">
        <w:rPr>
          <w:noProof w:val="0"/>
          <w:lang w:val="en-AU"/>
        </w:rPr>
        <w:t xml:space="preserve">, </w:t>
      </w:r>
      <w:r w:rsidRPr="00846769">
        <w:rPr>
          <w:i/>
          <w:noProof w:val="0"/>
          <w:lang w:val="en-AU"/>
        </w:rPr>
        <w:t>Journal of Fish Diseases</w:t>
      </w:r>
      <w:r w:rsidRPr="00846769">
        <w:rPr>
          <w:noProof w:val="0"/>
          <w:lang w:val="en-AU"/>
        </w:rPr>
        <w:t>, vol. 43, no. 2, pp. 227-37</w:t>
      </w:r>
      <w:r w:rsidR="00FA1E54" w:rsidRPr="00846769">
        <w:rPr>
          <w:noProof w:val="0"/>
          <w:lang w:val="en-AU"/>
        </w:rPr>
        <w:t xml:space="preserve">, DOI: 10.1111/jfd.13116. </w:t>
      </w:r>
    </w:p>
    <w:p w14:paraId="3B1CEA9D" w14:textId="16FE2473" w:rsidR="006939E1" w:rsidRPr="00846769" w:rsidRDefault="00B5740F" w:rsidP="00C80491">
      <w:pPr>
        <w:pStyle w:val="EndNoteBibliography"/>
        <w:spacing w:after="240"/>
        <w:rPr>
          <w:rFonts w:asciiTheme="minorHAnsi" w:hAnsiTheme="minorHAnsi" w:cstheme="minorHAnsi"/>
          <w:noProof w:val="0"/>
          <w:lang w:val="en-AU"/>
        </w:rPr>
      </w:pPr>
      <w:r w:rsidRPr="00846769">
        <w:rPr>
          <w:rFonts w:asciiTheme="minorHAnsi" w:hAnsiTheme="minorHAnsi" w:cstheme="minorHAnsi"/>
          <w:noProof w:val="0"/>
          <w:lang w:val="en-AU"/>
        </w:rPr>
        <w:t xml:space="preserve">Cahill, P, Hickey, C, Lewis, P, Tait, L &amp; </w:t>
      </w:r>
      <w:proofErr w:type="spellStart"/>
      <w:r w:rsidRPr="00846769">
        <w:rPr>
          <w:rFonts w:asciiTheme="minorHAnsi" w:hAnsiTheme="minorHAnsi" w:cstheme="minorHAnsi"/>
          <w:noProof w:val="0"/>
          <w:lang w:val="en-AU"/>
        </w:rPr>
        <w:t>Floerl</w:t>
      </w:r>
      <w:proofErr w:type="spellEnd"/>
      <w:r w:rsidRPr="00846769">
        <w:rPr>
          <w:rFonts w:asciiTheme="minorHAnsi" w:hAnsiTheme="minorHAnsi" w:cstheme="minorHAnsi"/>
          <w:noProof w:val="0"/>
          <w:lang w:val="en-AU"/>
        </w:rPr>
        <w:t>, O 2019</w:t>
      </w:r>
      <w:r w:rsidR="00FA1E54" w:rsidRPr="00846769">
        <w:rPr>
          <w:rFonts w:asciiTheme="minorHAnsi" w:hAnsiTheme="minorHAnsi" w:cstheme="minorHAnsi"/>
          <w:noProof w:val="0"/>
          <w:lang w:val="en-AU"/>
        </w:rPr>
        <w:t>a</w:t>
      </w:r>
      <w:r w:rsidRPr="00846769">
        <w:rPr>
          <w:rFonts w:asciiTheme="minorHAnsi" w:hAnsiTheme="minorHAnsi" w:cstheme="minorHAnsi"/>
          <w:noProof w:val="0"/>
          <w:lang w:val="en-AU"/>
        </w:rPr>
        <w:t xml:space="preserve">, </w:t>
      </w:r>
      <w:hyperlink r:id="rId342" w:history="1">
        <w:r w:rsidRPr="00846769">
          <w:rPr>
            <w:rStyle w:val="Hyperlink"/>
            <w:rFonts w:asciiTheme="minorHAnsi" w:hAnsiTheme="minorHAnsi" w:cstheme="minorHAnsi"/>
            <w:noProof w:val="0"/>
            <w:lang w:val="en-AU"/>
          </w:rPr>
          <w:t>Treatment agents for biofouling in internal pipework of recreational vessels</w:t>
        </w:r>
      </w:hyperlink>
      <w:r w:rsidRPr="00846769">
        <w:rPr>
          <w:rFonts w:asciiTheme="minorHAnsi" w:hAnsiTheme="minorHAnsi" w:cstheme="minorHAnsi"/>
          <w:noProof w:val="0"/>
          <w:lang w:val="en-AU"/>
        </w:rPr>
        <w:t>, MPI Technical Paper No: 2019/03, Wellington, New Zealand, p. 68.</w:t>
      </w:r>
    </w:p>
    <w:p w14:paraId="0972F3EB" w14:textId="193F2EDF" w:rsidR="002B001B" w:rsidRPr="00846769" w:rsidRDefault="00B5740F" w:rsidP="00C80491">
      <w:pPr>
        <w:pStyle w:val="EndNoteBibliography"/>
        <w:rPr>
          <w:noProof w:val="0"/>
          <w:lang w:val="en-AU"/>
        </w:rPr>
      </w:pPr>
      <w:r w:rsidRPr="00846769">
        <w:rPr>
          <w:noProof w:val="0"/>
          <w:lang w:val="en-AU"/>
        </w:rPr>
        <w:lastRenderedPageBreak/>
        <w:t xml:space="preserve">Cahill, P, Tait, L, </w:t>
      </w:r>
      <w:proofErr w:type="spellStart"/>
      <w:r w:rsidRPr="00846769">
        <w:rPr>
          <w:noProof w:val="0"/>
          <w:lang w:val="en-AU"/>
        </w:rPr>
        <w:t>Floerl</w:t>
      </w:r>
      <w:proofErr w:type="spellEnd"/>
      <w:r w:rsidRPr="00846769">
        <w:rPr>
          <w:noProof w:val="0"/>
          <w:lang w:val="en-AU"/>
        </w:rPr>
        <w:t xml:space="preserve">, O, Bates, T, Growcott, A &amp; Georgiades, E 2019b, </w:t>
      </w:r>
      <w:hyperlink r:id="rId343" w:history="1">
        <w:r w:rsidRPr="00846769">
          <w:rPr>
            <w:rStyle w:val="Hyperlink"/>
            <w:noProof w:val="0"/>
            <w:lang w:val="en-AU"/>
          </w:rPr>
          <w:t xml:space="preserve">A portable thermal system for reactive treatment of </w:t>
        </w:r>
        <w:proofErr w:type="spellStart"/>
        <w:r w:rsidRPr="00846769">
          <w:rPr>
            <w:rStyle w:val="Hyperlink"/>
            <w:noProof w:val="0"/>
            <w:lang w:val="en-AU"/>
          </w:rPr>
          <w:t>biofouled</w:t>
        </w:r>
        <w:proofErr w:type="spellEnd"/>
        <w:r w:rsidRPr="00846769">
          <w:rPr>
            <w:rStyle w:val="Hyperlink"/>
            <w:noProof w:val="0"/>
            <w:lang w:val="en-AU"/>
          </w:rPr>
          <w:t xml:space="preserve"> internal pipework on recreational vessels</w:t>
        </w:r>
      </w:hyperlink>
      <w:r w:rsidRPr="00846769">
        <w:rPr>
          <w:noProof w:val="0"/>
          <w:lang w:val="en-AU"/>
        </w:rPr>
        <w:t xml:space="preserve">, </w:t>
      </w:r>
      <w:r w:rsidRPr="00846769">
        <w:rPr>
          <w:i/>
          <w:noProof w:val="0"/>
          <w:lang w:val="en-AU"/>
        </w:rPr>
        <w:t>Marine Pollution Bulletin</w:t>
      </w:r>
      <w:r w:rsidRPr="00846769">
        <w:rPr>
          <w:noProof w:val="0"/>
          <w:lang w:val="en-AU"/>
        </w:rPr>
        <w:t>, vol. 139, pp. 65-73</w:t>
      </w:r>
      <w:r w:rsidR="00FA1E54" w:rsidRPr="00846769">
        <w:rPr>
          <w:noProof w:val="0"/>
          <w:lang w:val="en-AU"/>
        </w:rPr>
        <w:t>, DOI: 10.1016/j.marpolbul.2018.12.032.</w:t>
      </w:r>
    </w:p>
    <w:p w14:paraId="350CC934" w14:textId="102C7789" w:rsidR="006939E1" w:rsidRPr="00846769" w:rsidRDefault="00B5740F" w:rsidP="00C80491">
      <w:pPr>
        <w:pStyle w:val="EndNoteBibliography"/>
        <w:rPr>
          <w:noProof w:val="0"/>
          <w:lang w:val="en-AU"/>
        </w:rPr>
      </w:pPr>
      <w:r w:rsidRPr="00846769">
        <w:rPr>
          <w:noProof w:val="0"/>
          <w:lang w:val="en-AU"/>
        </w:rPr>
        <w:t xml:space="preserve">Cahill, P, Morrisey, D, South, P, Cunningham, S &amp; Davidson, I 2021, </w:t>
      </w:r>
      <w:hyperlink r:id="rId344" w:history="1">
        <w:r w:rsidRPr="00846769">
          <w:rPr>
            <w:rStyle w:val="Hyperlink"/>
            <w:noProof w:val="0"/>
            <w:lang w:val="en-AU"/>
          </w:rPr>
          <w:t>Treatments for marine pathways management and incursion response: current knowledge and research priorities</w:t>
        </w:r>
      </w:hyperlink>
      <w:r w:rsidRPr="00846769">
        <w:rPr>
          <w:noProof w:val="0"/>
          <w:lang w:val="en-AU"/>
        </w:rPr>
        <w:t>, MPI Technical Paper No: 2021/10, Wellington, New Zealand, p. 85.</w:t>
      </w:r>
    </w:p>
    <w:p w14:paraId="468FAD07" w14:textId="67E9096A" w:rsidR="006939E1" w:rsidRPr="00846769" w:rsidRDefault="00B5740F" w:rsidP="00C80491">
      <w:pPr>
        <w:pStyle w:val="EndNoteBibliography"/>
        <w:rPr>
          <w:noProof w:val="0"/>
          <w:lang w:val="en-AU"/>
        </w:rPr>
      </w:pPr>
      <w:r w:rsidRPr="00846769">
        <w:rPr>
          <w:noProof w:val="0"/>
          <w:lang w:val="en-AU"/>
        </w:rPr>
        <w:t xml:space="preserve">Cai, L-Z, Hwang, J-S, Dahms, H-U, Fu, S-J, Zhuo, Y &amp; Guo, T 2014, </w:t>
      </w:r>
      <w:hyperlink r:id="rId345" w:history="1">
        <w:r w:rsidRPr="00846769">
          <w:rPr>
            <w:rStyle w:val="Hyperlink"/>
            <w:noProof w:val="0"/>
            <w:lang w:val="en-AU"/>
          </w:rPr>
          <w:t xml:space="preserve">Effect of the invasive bivalve </w:t>
        </w:r>
        <w:r w:rsidRPr="00846769">
          <w:rPr>
            <w:rStyle w:val="Hyperlink"/>
            <w:i/>
            <w:noProof w:val="0"/>
            <w:lang w:val="en-AU"/>
          </w:rPr>
          <w:t xml:space="preserve">Mytilopsis sallei </w:t>
        </w:r>
        <w:r w:rsidRPr="00846769">
          <w:rPr>
            <w:rStyle w:val="Hyperlink"/>
            <w:noProof w:val="0"/>
            <w:lang w:val="en-AU"/>
          </w:rPr>
          <w:t xml:space="preserve">on the macrofaunal fouling community and the environment of </w:t>
        </w:r>
        <w:proofErr w:type="spellStart"/>
        <w:r w:rsidRPr="00846769">
          <w:rPr>
            <w:rStyle w:val="Hyperlink"/>
            <w:noProof w:val="0"/>
            <w:lang w:val="en-AU"/>
          </w:rPr>
          <w:t>Yundang</w:t>
        </w:r>
        <w:proofErr w:type="spellEnd"/>
        <w:r w:rsidRPr="00846769">
          <w:rPr>
            <w:rStyle w:val="Hyperlink"/>
            <w:noProof w:val="0"/>
            <w:lang w:val="en-AU"/>
          </w:rPr>
          <w:t xml:space="preserve"> Lagoon, Xiamen, China</w:t>
        </w:r>
      </w:hyperlink>
      <w:r w:rsidRPr="00846769">
        <w:rPr>
          <w:noProof w:val="0"/>
          <w:lang w:val="en-AU"/>
        </w:rPr>
        <w:t xml:space="preserve">, </w:t>
      </w:r>
      <w:proofErr w:type="spellStart"/>
      <w:r w:rsidRPr="00846769">
        <w:rPr>
          <w:i/>
          <w:noProof w:val="0"/>
          <w:lang w:val="en-AU"/>
        </w:rPr>
        <w:t>Hydrobiologia</w:t>
      </w:r>
      <w:proofErr w:type="spellEnd"/>
      <w:r w:rsidRPr="00846769">
        <w:rPr>
          <w:noProof w:val="0"/>
          <w:lang w:val="en-AU"/>
        </w:rPr>
        <w:t>, vol. 741, no. 1, pp. 101-11</w:t>
      </w:r>
      <w:r w:rsidR="00FA1E54" w:rsidRPr="00846769">
        <w:rPr>
          <w:noProof w:val="0"/>
          <w:lang w:val="en-AU"/>
        </w:rPr>
        <w:t>, DOI: 10.1007/s10750-014-2012-4.</w:t>
      </w:r>
    </w:p>
    <w:p w14:paraId="2DD46D2D" w14:textId="40C54A5C" w:rsidR="006939E1" w:rsidRPr="005704F6" w:rsidRDefault="00B5740F" w:rsidP="00C80491">
      <w:pPr>
        <w:pStyle w:val="EndNoteBibliography"/>
        <w:rPr>
          <w:noProof w:val="0"/>
          <w:lang w:val="en-AU"/>
        </w:rPr>
      </w:pPr>
      <w:r w:rsidRPr="005704F6">
        <w:rPr>
          <w:noProof w:val="0"/>
          <w:lang w:val="en-AU"/>
        </w:rPr>
        <w:t xml:space="preserve">Calazans C, SH, Walters, LJ, Fernandes, FC, Ferreira, CE &amp; Hoffman, EA 2017, </w:t>
      </w:r>
      <w:hyperlink r:id="rId346" w:history="1">
        <w:r w:rsidRPr="005704F6">
          <w:rPr>
            <w:rStyle w:val="Hyperlink"/>
            <w:noProof w:val="0"/>
            <w:lang w:val="en-AU"/>
          </w:rPr>
          <w:t xml:space="preserve">Genetic structure provides insights into the geographic origins and temporal change in the invasive </w:t>
        </w:r>
        <w:proofErr w:type="spellStart"/>
        <w:r w:rsidRPr="005704F6">
          <w:rPr>
            <w:rStyle w:val="Hyperlink"/>
            <w:noProof w:val="0"/>
            <w:lang w:val="en-AU"/>
          </w:rPr>
          <w:t>charru</w:t>
        </w:r>
        <w:proofErr w:type="spellEnd"/>
        <w:r w:rsidRPr="005704F6">
          <w:rPr>
            <w:rStyle w:val="Hyperlink"/>
            <w:noProof w:val="0"/>
            <w:lang w:val="en-AU"/>
          </w:rPr>
          <w:t xml:space="preserve"> mussel (</w:t>
        </w:r>
        <w:proofErr w:type="spellStart"/>
        <w:r w:rsidRPr="005704F6">
          <w:rPr>
            <w:rStyle w:val="Hyperlink"/>
            <w:noProof w:val="0"/>
            <w:lang w:val="en-AU"/>
          </w:rPr>
          <w:t>Sururu</w:t>
        </w:r>
        <w:proofErr w:type="spellEnd"/>
        <w:r w:rsidRPr="005704F6">
          <w:rPr>
            <w:rStyle w:val="Hyperlink"/>
            <w:noProof w:val="0"/>
            <w:lang w:val="en-AU"/>
          </w:rPr>
          <w:t>) in the southeastern United States</w:t>
        </w:r>
      </w:hyperlink>
      <w:r w:rsidRPr="005704F6">
        <w:rPr>
          <w:noProof w:val="0"/>
          <w:lang w:val="en-AU"/>
        </w:rPr>
        <w:t xml:space="preserve">, </w:t>
      </w:r>
      <w:proofErr w:type="spellStart"/>
      <w:r w:rsidRPr="005704F6">
        <w:rPr>
          <w:i/>
          <w:noProof w:val="0"/>
          <w:lang w:val="en-AU"/>
        </w:rPr>
        <w:t>Plos</w:t>
      </w:r>
      <w:proofErr w:type="spellEnd"/>
      <w:r w:rsidRPr="005704F6">
        <w:rPr>
          <w:i/>
          <w:noProof w:val="0"/>
          <w:lang w:val="en-AU"/>
        </w:rPr>
        <w:t xml:space="preserve"> One</w:t>
      </w:r>
      <w:r w:rsidRPr="005704F6">
        <w:rPr>
          <w:noProof w:val="0"/>
          <w:lang w:val="en-AU"/>
        </w:rPr>
        <w:t>, vol. 12, no. 7, p. e0180619</w:t>
      </w:r>
      <w:r w:rsidR="005704F6">
        <w:rPr>
          <w:noProof w:val="0"/>
          <w:lang w:val="en-AU"/>
        </w:rPr>
        <w:t xml:space="preserve">, DOI: </w:t>
      </w:r>
      <w:r w:rsidR="005704F6" w:rsidRPr="005704F6">
        <w:rPr>
          <w:noProof w:val="0"/>
          <w:lang w:val="en-AU"/>
        </w:rPr>
        <w:t>10.1371/journal.pone.0195159</w:t>
      </w:r>
      <w:r w:rsidR="005704F6">
        <w:rPr>
          <w:noProof w:val="0"/>
          <w:lang w:val="en-AU"/>
        </w:rPr>
        <w:t>.</w:t>
      </w:r>
    </w:p>
    <w:p w14:paraId="05AEBACB" w14:textId="72C64F1C" w:rsidR="006025C1" w:rsidRPr="006025C1" w:rsidRDefault="006025C1" w:rsidP="00C80491">
      <w:pPr>
        <w:pStyle w:val="EndNoteBibliography"/>
        <w:rPr>
          <w:noProof w:val="0"/>
          <w:lang w:val="en-AU"/>
        </w:rPr>
      </w:pPr>
      <w:r w:rsidRPr="006025C1">
        <w:rPr>
          <w:noProof w:val="0"/>
          <w:lang w:val="en-AU"/>
        </w:rPr>
        <w:t xml:space="preserve">Calvo, GW, Luckenbach, MW, Allen, SKJ &amp; Burreson, EM 2001, </w:t>
      </w:r>
      <w:hyperlink r:id="rId347" w:history="1">
        <w:r w:rsidRPr="006025C1">
          <w:rPr>
            <w:rStyle w:val="Hyperlink"/>
            <w:noProof w:val="0"/>
            <w:lang w:val="en-AU"/>
          </w:rPr>
          <w:t xml:space="preserve">A comparative field study of </w:t>
        </w:r>
        <w:r w:rsidRPr="006025C1">
          <w:rPr>
            <w:rStyle w:val="Hyperlink"/>
            <w:i/>
            <w:iCs/>
            <w:noProof w:val="0"/>
            <w:lang w:val="en-AU"/>
          </w:rPr>
          <w:t xml:space="preserve">Crassostrea ariakensis </w:t>
        </w:r>
        <w:r w:rsidRPr="006025C1">
          <w:rPr>
            <w:rStyle w:val="Hyperlink"/>
            <w:noProof w:val="0"/>
            <w:lang w:val="en-AU"/>
          </w:rPr>
          <w:t xml:space="preserve">(Fujita 1913) and </w:t>
        </w:r>
        <w:r w:rsidRPr="006025C1">
          <w:rPr>
            <w:rStyle w:val="Hyperlink"/>
            <w:i/>
            <w:iCs/>
            <w:noProof w:val="0"/>
            <w:lang w:val="en-AU"/>
          </w:rPr>
          <w:t xml:space="preserve">Crassostrea virginica </w:t>
        </w:r>
        <w:r w:rsidRPr="006025C1">
          <w:rPr>
            <w:rStyle w:val="Hyperlink"/>
            <w:noProof w:val="0"/>
            <w:lang w:val="en-AU"/>
          </w:rPr>
          <w:t>(</w:t>
        </w:r>
        <w:proofErr w:type="spellStart"/>
        <w:r w:rsidRPr="006025C1">
          <w:rPr>
            <w:rStyle w:val="Hyperlink"/>
            <w:noProof w:val="0"/>
            <w:lang w:val="en-AU"/>
          </w:rPr>
          <w:t>Gmelin</w:t>
        </w:r>
        <w:proofErr w:type="spellEnd"/>
        <w:r w:rsidRPr="006025C1">
          <w:rPr>
            <w:rStyle w:val="Hyperlink"/>
            <w:noProof w:val="0"/>
            <w:lang w:val="en-AU"/>
          </w:rPr>
          <w:t xml:space="preserve"> 1791) in relation to salinity in Virginia</w:t>
        </w:r>
      </w:hyperlink>
      <w:r w:rsidRPr="006025C1">
        <w:rPr>
          <w:noProof w:val="0"/>
          <w:lang w:val="en-AU"/>
        </w:rPr>
        <w:t xml:space="preserve">, </w:t>
      </w:r>
      <w:r w:rsidRPr="006025C1">
        <w:rPr>
          <w:i/>
          <w:iCs/>
          <w:noProof w:val="0"/>
          <w:lang w:val="en-AU"/>
        </w:rPr>
        <w:t xml:space="preserve">Journal of Shellfish Research, </w:t>
      </w:r>
      <w:r w:rsidRPr="006025C1">
        <w:rPr>
          <w:noProof w:val="0"/>
          <w:lang w:val="en-AU"/>
        </w:rPr>
        <w:t>vol. 20, no. 1, pp. 221-229</w:t>
      </w:r>
      <w:r>
        <w:rPr>
          <w:noProof w:val="0"/>
          <w:lang w:val="en-AU"/>
        </w:rPr>
        <w:t>.</w:t>
      </w:r>
    </w:p>
    <w:p w14:paraId="2297C39D" w14:textId="7C793054" w:rsidR="00F47511" w:rsidRPr="00F47511" w:rsidRDefault="00F47511" w:rsidP="00C80491">
      <w:pPr>
        <w:spacing w:line="240" w:lineRule="auto"/>
        <w:rPr>
          <w:lang w:eastAsia="ja-JP"/>
        </w:rPr>
      </w:pPr>
      <w:r w:rsidRPr="005F325E">
        <w:rPr>
          <w:lang w:eastAsia="ja-JP"/>
        </w:rPr>
        <w:t xml:space="preserve">Campbell, ML, Leonard, K, Primo, C &amp; Hewitt, CL 2018, </w:t>
      </w:r>
      <w:hyperlink r:id="rId348" w:history="1">
        <w:r w:rsidRPr="00F47511">
          <w:rPr>
            <w:rStyle w:val="Hyperlink"/>
            <w:lang w:eastAsia="ja-JP"/>
          </w:rPr>
          <w:t>Marine Biosecurity Crisis Decision-Making: Two Tools to Aid “Go”/“No Go” Decision-Making</w:t>
        </w:r>
      </w:hyperlink>
      <w:r w:rsidRPr="00581E99">
        <w:rPr>
          <w:lang w:eastAsia="ja-JP"/>
        </w:rPr>
        <w:t>,</w:t>
      </w:r>
      <w:r w:rsidRPr="005F325E">
        <w:rPr>
          <w:lang w:eastAsia="ja-JP"/>
        </w:rPr>
        <w:t xml:space="preserve"> </w:t>
      </w:r>
      <w:r w:rsidRPr="00581E99">
        <w:rPr>
          <w:i/>
          <w:iCs/>
          <w:lang w:eastAsia="ja-JP"/>
        </w:rPr>
        <w:t>Frontiers in Marine Science</w:t>
      </w:r>
      <w:r w:rsidRPr="00581E99">
        <w:rPr>
          <w:lang w:eastAsia="ja-JP"/>
        </w:rPr>
        <w:t xml:space="preserve">, vol. </w:t>
      </w:r>
      <w:r w:rsidRPr="005F325E">
        <w:rPr>
          <w:lang w:eastAsia="ja-JP"/>
        </w:rPr>
        <w:t>5</w:t>
      </w:r>
      <w:r w:rsidRPr="00581E99">
        <w:rPr>
          <w:lang w:eastAsia="ja-JP"/>
        </w:rPr>
        <w:t xml:space="preserve">, DOI: </w:t>
      </w:r>
      <w:r w:rsidRPr="005E4E9B">
        <w:rPr>
          <w:lang w:eastAsia="ja-JP"/>
        </w:rPr>
        <w:t>10.3389/fmars.2018.00331</w:t>
      </w:r>
      <w:r>
        <w:rPr>
          <w:lang w:eastAsia="ja-JP"/>
        </w:rPr>
        <w:t>.</w:t>
      </w:r>
    </w:p>
    <w:p w14:paraId="333D3244" w14:textId="77777777" w:rsidR="00FA1E54" w:rsidRPr="00846769" w:rsidRDefault="00FA1E54" w:rsidP="00C80491">
      <w:pPr>
        <w:pStyle w:val="EndNoteBibliography"/>
        <w:rPr>
          <w:noProof w:val="0"/>
          <w:lang w:val="en-AU"/>
        </w:rPr>
      </w:pPr>
      <w:r w:rsidRPr="00846769">
        <w:rPr>
          <w:noProof w:val="0"/>
          <w:lang w:val="en-AU"/>
        </w:rPr>
        <w:t xml:space="preserve">Carlton, JT 1979, </w:t>
      </w:r>
      <w:r w:rsidRPr="00846769">
        <w:rPr>
          <w:i/>
          <w:noProof w:val="0"/>
          <w:lang w:val="en-AU"/>
        </w:rPr>
        <w:t>History, biogeography, and ecology of the introduced marine and estuarine invertebrates of the Pacific coast of North America</w:t>
      </w:r>
      <w:r w:rsidRPr="00846769">
        <w:rPr>
          <w:noProof w:val="0"/>
          <w:lang w:val="en-AU"/>
        </w:rPr>
        <w:t>, University of California, Davis.</w:t>
      </w:r>
    </w:p>
    <w:p w14:paraId="35F5768B" w14:textId="497ADCE8" w:rsidR="00FA1E54" w:rsidRPr="00846769" w:rsidRDefault="00FA1E54" w:rsidP="00C80491">
      <w:pPr>
        <w:pStyle w:val="EndNoteBibliography"/>
        <w:rPr>
          <w:noProof w:val="0"/>
          <w:lang w:val="en-AU"/>
        </w:rPr>
      </w:pPr>
      <w:bookmarkStart w:id="795" w:name="_Hlk187312444"/>
      <w:r w:rsidRPr="00846769">
        <w:rPr>
          <w:noProof w:val="0"/>
          <w:lang w:val="en-AU"/>
        </w:rPr>
        <w:t xml:space="preserve">Carlton, JT 1985, </w:t>
      </w:r>
      <w:hyperlink r:id="rId349" w:history="1">
        <w:r w:rsidRPr="00846769">
          <w:rPr>
            <w:rStyle w:val="Hyperlink"/>
            <w:noProof w:val="0"/>
            <w:lang w:val="en-AU"/>
          </w:rPr>
          <w:t>Transoceanic and interoceanic dispersal of coastal marine organisms: the biology of ballast water</w:t>
        </w:r>
      </w:hyperlink>
      <w:r w:rsidRPr="00846769">
        <w:rPr>
          <w:noProof w:val="0"/>
          <w:lang w:val="en-AU"/>
        </w:rPr>
        <w:t xml:space="preserve">, </w:t>
      </w:r>
      <w:r w:rsidRPr="00846769">
        <w:rPr>
          <w:i/>
          <w:iCs/>
          <w:noProof w:val="0"/>
          <w:lang w:val="en-AU"/>
        </w:rPr>
        <w:t xml:space="preserve">Oceanography and Marine Biology: An Annual Review, </w:t>
      </w:r>
      <w:r w:rsidRPr="00846769">
        <w:rPr>
          <w:noProof w:val="0"/>
          <w:lang w:val="en-AU"/>
        </w:rPr>
        <w:t>vol. 23, pp. 313-71.</w:t>
      </w:r>
    </w:p>
    <w:bookmarkEnd w:id="795"/>
    <w:p w14:paraId="6A2BF404" w14:textId="6477705E" w:rsidR="00FA1E54" w:rsidRPr="00846769" w:rsidRDefault="00FA1E54" w:rsidP="00C80491">
      <w:pPr>
        <w:pStyle w:val="EndNoteBibliography"/>
        <w:rPr>
          <w:noProof w:val="0"/>
          <w:lang w:val="en-AU"/>
        </w:rPr>
      </w:pPr>
      <w:r w:rsidRPr="00846769">
        <w:rPr>
          <w:noProof w:val="0"/>
          <w:lang w:val="en-AU"/>
        </w:rPr>
        <w:t xml:space="preserve">Carlton, JT, Thompson, JK, Schemel, LE &amp; Nichols, FH 1990, </w:t>
      </w:r>
      <w:hyperlink r:id="rId350" w:history="1">
        <w:r w:rsidRPr="00846769">
          <w:rPr>
            <w:rStyle w:val="Hyperlink"/>
            <w:noProof w:val="0"/>
            <w:lang w:val="en-AU"/>
          </w:rPr>
          <w:t xml:space="preserve">Remarkable invasion of San Francisco Bay (California, USA) by the Asian clam </w:t>
        </w:r>
        <w:r w:rsidRPr="00846769">
          <w:rPr>
            <w:rStyle w:val="Hyperlink"/>
            <w:i/>
            <w:noProof w:val="0"/>
            <w:lang w:val="en-AU"/>
          </w:rPr>
          <w:t>Potamocorbula amurensis</w:t>
        </w:r>
        <w:r w:rsidRPr="00846769">
          <w:rPr>
            <w:rStyle w:val="Hyperlink"/>
            <w:noProof w:val="0"/>
            <w:lang w:val="en-AU"/>
          </w:rPr>
          <w:t>. I. Introduction and dispersal</w:t>
        </w:r>
      </w:hyperlink>
      <w:r w:rsidRPr="00846769">
        <w:rPr>
          <w:noProof w:val="0"/>
          <w:lang w:val="en-AU"/>
        </w:rPr>
        <w:t xml:space="preserve">, </w:t>
      </w:r>
      <w:r w:rsidRPr="00846769">
        <w:rPr>
          <w:i/>
          <w:noProof w:val="0"/>
          <w:lang w:val="en-AU"/>
        </w:rPr>
        <w:t>Marine Ecology Progress Series</w:t>
      </w:r>
      <w:r w:rsidRPr="00846769">
        <w:rPr>
          <w:noProof w:val="0"/>
          <w:lang w:val="en-AU"/>
        </w:rPr>
        <w:t>, vol. 66, pp. 81-94.</w:t>
      </w:r>
    </w:p>
    <w:p w14:paraId="7AAEEB02" w14:textId="16C04BE3" w:rsidR="006939E1" w:rsidRPr="00846769" w:rsidRDefault="00B5740F" w:rsidP="00C80491">
      <w:pPr>
        <w:pStyle w:val="EndNoteBibliography"/>
        <w:rPr>
          <w:noProof w:val="0"/>
          <w:lang w:val="en-AU"/>
        </w:rPr>
      </w:pPr>
      <w:bookmarkStart w:id="796" w:name="_Hlk187312138"/>
      <w:r w:rsidRPr="00846769">
        <w:rPr>
          <w:noProof w:val="0"/>
          <w:lang w:val="en-AU"/>
        </w:rPr>
        <w:t>Car</w:t>
      </w:r>
      <w:r w:rsidR="00FA1E54" w:rsidRPr="00846769">
        <w:rPr>
          <w:noProof w:val="0"/>
          <w:lang w:val="en-AU"/>
        </w:rPr>
        <w:t>l</w:t>
      </w:r>
      <w:r w:rsidRPr="00846769">
        <w:rPr>
          <w:noProof w:val="0"/>
          <w:lang w:val="en-AU"/>
        </w:rPr>
        <w:t xml:space="preserve">ton, JT &amp; Geller, JB 1993, </w:t>
      </w:r>
      <w:hyperlink r:id="rId351" w:history="1">
        <w:r w:rsidRPr="00846769">
          <w:rPr>
            <w:rStyle w:val="Hyperlink"/>
            <w:noProof w:val="0"/>
            <w:lang w:val="en-AU"/>
          </w:rPr>
          <w:t>Ecological roulette: the global transport of nonindigenous marine organisms</w:t>
        </w:r>
      </w:hyperlink>
      <w:r w:rsidRPr="00846769">
        <w:rPr>
          <w:noProof w:val="0"/>
          <w:lang w:val="en-AU"/>
        </w:rPr>
        <w:t xml:space="preserve">, </w:t>
      </w:r>
      <w:r w:rsidRPr="00846769">
        <w:rPr>
          <w:i/>
          <w:noProof w:val="0"/>
          <w:lang w:val="en-AU"/>
        </w:rPr>
        <w:t>Science</w:t>
      </w:r>
      <w:r w:rsidRPr="00846769">
        <w:rPr>
          <w:noProof w:val="0"/>
          <w:lang w:val="en-AU"/>
        </w:rPr>
        <w:t>, vol. 261, no. 5117, pp. 78-82</w:t>
      </w:r>
      <w:r w:rsidR="00FA1E54" w:rsidRPr="00846769">
        <w:rPr>
          <w:noProof w:val="0"/>
          <w:lang w:val="en-AU"/>
        </w:rPr>
        <w:t>, DOI: 10.1126/science.261.5117.78.</w:t>
      </w:r>
    </w:p>
    <w:bookmarkEnd w:id="796"/>
    <w:p w14:paraId="4161CBCB" w14:textId="02A7E8BA" w:rsidR="006939E1" w:rsidRPr="00846769" w:rsidRDefault="00B5740F" w:rsidP="00C80491">
      <w:pPr>
        <w:pStyle w:val="EndNoteBibliography"/>
        <w:rPr>
          <w:noProof w:val="0"/>
          <w:lang w:val="en-AU"/>
        </w:rPr>
      </w:pPr>
      <w:r w:rsidRPr="00846769">
        <w:rPr>
          <w:noProof w:val="0"/>
          <w:lang w:val="en-AU"/>
        </w:rPr>
        <w:t xml:space="preserve">Carnegie, RB, Hill, KM, Stokes, NA &amp; Burreson EM 2014, </w:t>
      </w:r>
      <w:hyperlink r:id="rId352" w:history="1">
        <w:r w:rsidRPr="00846769">
          <w:rPr>
            <w:rStyle w:val="Hyperlink"/>
            <w:noProof w:val="0"/>
            <w:lang w:val="en-AU"/>
          </w:rPr>
          <w:t xml:space="preserve">The </w:t>
        </w:r>
        <w:proofErr w:type="spellStart"/>
        <w:r w:rsidRPr="00846769">
          <w:rPr>
            <w:rStyle w:val="Hyperlink"/>
            <w:noProof w:val="0"/>
            <w:lang w:val="en-AU"/>
          </w:rPr>
          <w:t>haplosporidian</w:t>
        </w:r>
        <w:proofErr w:type="spellEnd"/>
        <w:r w:rsidRPr="00846769">
          <w:rPr>
            <w:rStyle w:val="Hyperlink"/>
            <w:noProof w:val="0"/>
            <w:lang w:val="en-AU"/>
          </w:rPr>
          <w:t xml:space="preserve"> </w:t>
        </w:r>
        <w:proofErr w:type="spellStart"/>
        <w:r w:rsidRPr="00846769">
          <w:rPr>
            <w:rStyle w:val="Hyperlink"/>
            <w:i/>
            <w:iCs/>
            <w:noProof w:val="0"/>
            <w:lang w:val="en-AU"/>
          </w:rPr>
          <w:t>Bonamia</w:t>
        </w:r>
        <w:proofErr w:type="spellEnd"/>
        <w:r w:rsidRPr="00846769">
          <w:rPr>
            <w:rStyle w:val="Hyperlink"/>
            <w:i/>
            <w:iCs/>
            <w:noProof w:val="0"/>
            <w:lang w:val="en-AU"/>
          </w:rPr>
          <w:t xml:space="preserve"> </w:t>
        </w:r>
        <w:proofErr w:type="spellStart"/>
        <w:r w:rsidRPr="00846769">
          <w:rPr>
            <w:rStyle w:val="Hyperlink"/>
            <w:i/>
            <w:iCs/>
            <w:noProof w:val="0"/>
            <w:lang w:val="en-AU"/>
          </w:rPr>
          <w:t>exitiosa</w:t>
        </w:r>
        <w:proofErr w:type="spellEnd"/>
        <w:r w:rsidRPr="00846769">
          <w:rPr>
            <w:rStyle w:val="Hyperlink"/>
            <w:i/>
            <w:iCs/>
            <w:noProof w:val="0"/>
            <w:lang w:val="en-AU"/>
          </w:rPr>
          <w:t xml:space="preserve"> </w:t>
        </w:r>
        <w:r w:rsidRPr="00846769">
          <w:rPr>
            <w:rStyle w:val="Hyperlink"/>
            <w:noProof w:val="0"/>
            <w:lang w:val="en-AU"/>
          </w:rPr>
          <w:t xml:space="preserve">is present in Australia, but the identity of the parasite described as </w:t>
        </w:r>
        <w:proofErr w:type="spellStart"/>
        <w:r w:rsidRPr="00846769">
          <w:rPr>
            <w:rStyle w:val="Hyperlink"/>
            <w:i/>
            <w:iCs/>
            <w:noProof w:val="0"/>
            <w:lang w:val="en-AU"/>
          </w:rPr>
          <w:t>Bonamia</w:t>
        </w:r>
        <w:proofErr w:type="spellEnd"/>
        <w:r w:rsidRPr="00846769">
          <w:rPr>
            <w:rStyle w:val="Hyperlink"/>
            <w:i/>
            <w:iCs/>
            <w:noProof w:val="0"/>
            <w:lang w:val="en-AU"/>
          </w:rPr>
          <w:t xml:space="preserve"> </w:t>
        </w:r>
        <w:r w:rsidRPr="00846769">
          <w:rPr>
            <w:rStyle w:val="Hyperlink"/>
            <w:noProof w:val="0"/>
            <w:lang w:val="en-AU"/>
          </w:rPr>
          <w:t xml:space="preserve">(formerly </w:t>
        </w:r>
        <w:proofErr w:type="spellStart"/>
        <w:r w:rsidRPr="00846769">
          <w:rPr>
            <w:rStyle w:val="Hyperlink"/>
            <w:i/>
            <w:iCs/>
            <w:noProof w:val="0"/>
            <w:lang w:val="en-AU"/>
          </w:rPr>
          <w:t>Mikrocytos</w:t>
        </w:r>
        <w:proofErr w:type="spellEnd"/>
        <w:r w:rsidRPr="00846769">
          <w:rPr>
            <w:rStyle w:val="Hyperlink"/>
            <w:noProof w:val="0"/>
            <w:lang w:val="en-AU"/>
          </w:rPr>
          <w:t xml:space="preserve">) </w:t>
        </w:r>
        <w:proofErr w:type="spellStart"/>
        <w:r w:rsidRPr="00846769">
          <w:rPr>
            <w:rStyle w:val="Hyperlink"/>
            <w:i/>
            <w:iCs/>
            <w:noProof w:val="0"/>
            <w:lang w:val="en-AU"/>
          </w:rPr>
          <w:t>roughleyi</w:t>
        </w:r>
        <w:proofErr w:type="spellEnd"/>
        <w:r w:rsidRPr="00846769">
          <w:rPr>
            <w:rStyle w:val="Hyperlink"/>
            <w:i/>
            <w:iCs/>
            <w:noProof w:val="0"/>
            <w:lang w:val="en-AU"/>
          </w:rPr>
          <w:t xml:space="preserve"> </w:t>
        </w:r>
        <w:r w:rsidRPr="00846769">
          <w:rPr>
            <w:rStyle w:val="Hyperlink"/>
            <w:noProof w:val="0"/>
            <w:lang w:val="en-AU"/>
          </w:rPr>
          <w:t>is uncertain</w:t>
        </w:r>
      </w:hyperlink>
      <w:r w:rsidRPr="00846769">
        <w:rPr>
          <w:noProof w:val="0"/>
          <w:lang w:val="en-AU"/>
        </w:rPr>
        <w:t xml:space="preserve">, </w:t>
      </w:r>
      <w:r w:rsidRPr="00846769">
        <w:rPr>
          <w:i/>
          <w:iCs/>
          <w:noProof w:val="0"/>
          <w:lang w:val="en-AU"/>
        </w:rPr>
        <w:t>Journal of Invertebrate Pathology</w:t>
      </w:r>
      <w:r w:rsidRPr="00846769">
        <w:rPr>
          <w:noProof w:val="0"/>
          <w:lang w:val="en-AU"/>
        </w:rPr>
        <w:t>, vol. 115, pp. 33-40</w:t>
      </w:r>
      <w:r w:rsidR="00FA1E54" w:rsidRPr="00846769">
        <w:rPr>
          <w:noProof w:val="0"/>
          <w:lang w:val="en-AU"/>
        </w:rPr>
        <w:t>, DOI: 10.1016/j.jip.2013.10.017.</w:t>
      </w:r>
    </w:p>
    <w:p w14:paraId="63F75DB4" w14:textId="510534AD" w:rsidR="006939E1" w:rsidRPr="00C80491" w:rsidRDefault="00B5740F" w:rsidP="00C80491">
      <w:pPr>
        <w:spacing w:line="240" w:lineRule="auto"/>
        <w:rPr>
          <w:rFonts w:ascii="Calibri" w:hAnsi="Calibri" w:cs="Calibri"/>
        </w:rPr>
      </w:pPr>
      <w:r w:rsidRPr="00846769">
        <w:t xml:space="preserve">Carranza, A, </w:t>
      </w:r>
      <w:proofErr w:type="spellStart"/>
      <w:r w:rsidRPr="00846769">
        <w:t>Defeo</w:t>
      </w:r>
      <w:proofErr w:type="spellEnd"/>
      <w:r w:rsidRPr="00846769">
        <w:t xml:space="preserve">, O, Beck, M &amp; Castilla, JC 2009, </w:t>
      </w:r>
      <w:hyperlink r:id="rId353" w:history="1">
        <w:r w:rsidRPr="00846769">
          <w:rPr>
            <w:rStyle w:val="Hyperlink"/>
          </w:rPr>
          <w:t>Linking fisheries management and conservation in bioengineering species: the case of South American mussels (Mytilidae)</w:t>
        </w:r>
      </w:hyperlink>
      <w:r w:rsidRPr="00846769">
        <w:t xml:space="preserve">, </w:t>
      </w:r>
      <w:r w:rsidRPr="00846769">
        <w:rPr>
          <w:i/>
        </w:rPr>
        <w:t>Reviews in Fish Biology and Fisheries</w:t>
      </w:r>
      <w:r w:rsidRPr="00846769">
        <w:t>, vol. 19, no. 3, p. 349</w:t>
      </w:r>
      <w:r w:rsidR="00FA1E54" w:rsidRPr="00846769">
        <w:t xml:space="preserve">, DOI: </w:t>
      </w:r>
      <w:r w:rsidR="00FA1E54" w:rsidRPr="00846769">
        <w:rPr>
          <w:rFonts w:ascii="Calibri" w:hAnsi="Calibri" w:cs="Calibri"/>
        </w:rPr>
        <w:t>10.1007/s11160-009-9108-3.</w:t>
      </w:r>
    </w:p>
    <w:p w14:paraId="4461A408" w14:textId="216E7B03" w:rsidR="00CC2DEE" w:rsidRPr="00846769" w:rsidRDefault="00CC2DEE" w:rsidP="00C80491">
      <w:pPr>
        <w:spacing w:line="240" w:lineRule="auto"/>
        <w:rPr>
          <w:lang w:eastAsia="ja-JP"/>
        </w:rPr>
      </w:pPr>
      <w:r w:rsidRPr="00846769">
        <w:rPr>
          <w:lang w:eastAsia="ja-JP"/>
        </w:rPr>
        <w:t xml:space="preserve">Castelar, B, de Siqueira, MF, Sánchez-Tapia, A &amp; Reis, RP 2015, </w:t>
      </w:r>
      <w:hyperlink r:id="rId354" w:history="1">
        <w:r w:rsidRPr="00846769">
          <w:rPr>
            <w:rStyle w:val="Hyperlink"/>
            <w:lang w:eastAsia="ja-JP"/>
          </w:rPr>
          <w:t xml:space="preserve">Risk analysis using species distribution </w:t>
        </w:r>
        <w:proofErr w:type="spellStart"/>
        <w:r w:rsidRPr="00846769">
          <w:rPr>
            <w:rStyle w:val="Hyperlink"/>
            <w:lang w:eastAsia="ja-JP"/>
          </w:rPr>
          <w:t>modeling</w:t>
        </w:r>
        <w:proofErr w:type="spellEnd"/>
        <w:r w:rsidRPr="00846769">
          <w:rPr>
            <w:rStyle w:val="Hyperlink"/>
            <w:lang w:eastAsia="ja-JP"/>
          </w:rPr>
          <w:t xml:space="preserve"> to support public policies for the alien alga </w:t>
        </w:r>
        <w:proofErr w:type="spellStart"/>
        <w:r w:rsidRPr="00846769">
          <w:rPr>
            <w:rStyle w:val="Hyperlink"/>
            <w:i/>
            <w:iCs/>
          </w:rPr>
          <w:t>Kappaphycus</w:t>
        </w:r>
        <w:proofErr w:type="spellEnd"/>
        <w:r w:rsidRPr="00846769">
          <w:rPr>
            <w:rStyle w:val="Hyperlink"/>
            <w:i/>
            <w:iCs/>
          </w:rPr>
          <w:t xml:space="preserve"> </w:t>
        </w:r>
        <w:proofErr w:type="spellStart"/>
        <w:r w:rsidRPr="00846769">
          <w:rPr>
            <w:rStyle w:val="Hyperlink"/>
            <w:i/>
            <w:iCs/>
          </w:rPr>
          <w:t>alvarezii</w:t>
        </w:r>
        <w:proofErr w:type="spellEnd"/>
        <w:r w:rsidRPr="00846769">
          <w:rPr>
            <w:rStyle w:val="Hyperlink"/>
            <w:lang w:eastAsia="ja-JP"/>
          </w:rPr>
          <w:t xml:space="preserve"> aquaculture in Brazil</w:t>
        </w:r>
      </w:hyperlink>
      <w:r w:rsidRPr="00846769">
        <w:rPr>
          <w:lang w:eastAsia="ja-JP"/>
        </w:rPr>
        <w:t xml:space="preserve">, </w:t>
      </w:r>
      <w:r w:rsidRPr="00846769">
        <w:rPr>
          <w:i/>
          <w:iCs/>
          <w:lang w:eastAsia="ja-JP"/>
        </w:rPr>
        <w:t>Aquaculture</w:t>
      </w:r>
      <w:r w:rsidRPr="00846769">
        <w:rPr>
          <w:lang w:eastAsia="ja-JP"/>
        </w:rPr>
        <w:t>, vol. 446, pp. 217-226, DOI:</w:t>
      </w:r>
      <w:r w:rsidRPr="00846769">
        <w:t xml:space="preserve"> </w:t>
      </w:r>
      <w:r w:rsidRPr="00846769">
        <w:rPr>
          <w:lang w:eastAsia="ja-JP"/>
        </w:rPr>
        <w:t>10.1016/j.aquaculture.2015.05.012</w:t>
      </w:r>
      <w:r w:rsidR="00FA1E54" w:rsidRPr="00846769">
        <w:rPr>
          <w:lang w:eastAsia="ja-JP"/>
        </w:rPr>
        <w:t>.</w:t>
      </w:r>
    </w:p>
    <w:p w14:paraId="01CA950E" w14:textId="6F6F8CFB" w:rsidR="008532A5" w:rsidRPr="00846769" w:rsidRDefault="00B5740F" w:rsidP="00C80491">
      <w:pPr>
        <w:spacing w:line="240" w:lineRule="auto"/>
        <w:rPr>
          <w:rFonts w:ascii="Calibri" w:hAnsi="Calibri" w:cs="Calibri"/>
        </w:rPr>
      </w:pPr>
      <w:r w:rsidRPr="00846769">
        <w:t xml:space="preserve">Castilla, JC, Uribe, M, Bahamonde, N, Clarke, M, </w:t>
      </w:r>
      <w:proofErr w:type="spellStart"/>
      <w:r w:rsidRPr="00846769">
        <w:t>Desqueyroux</w:t>
      </w:r>
      <w:proofErr w:type="spellEnd"/>
      <w:r w:rsidRPr="00846769">
        <w:t xml:space="preserve">-Faundez, R, Kong, I, Moyano, H, </w:t>
      </w:r>
      <w:proofErr w:type="spellStart"/>
      <w:r w:rsidRPr="00846769">
        <w:t>Rozbaczylo</w:t>
      </w:r>
      <w:proofErr w:type="spellEnd"/>
      <w:r w:rsidRPr="00846769">
        <w:t xml:space="preserve">, N, Santelices, B &amp; Valdovinos, C 2005, </w:t>
      </w:r>
      <w:hyperlink r:id="rId355" w:history="1">
        <w:r w:rsidRPr="00846769">
          <w:rPr>
            <w:rStyle w:val="Hyperlink"/>
          </w:rPr>
          <w:t>Down under the southeastern Pacific: marine non-indigenous species in Chile</w:t>
        </w:r>
      </w:hyperlink>
      <w:r w:rsidRPr="00846769">
        <w:t xml:space="preserve">, </w:t>
      </w:r>
      <w:r w:rsidRPr="00846769">
        <w:rPr>
          <w:i/>
        </w:rPr>
        <w:t>Biological Invasions</w:t>
      </w:r>
      <w:r w:rsidRPr="00846769">
        <w:t>, vol. 7, no. 2, pp. 213-32</w:t>
      </w:r>
      <w:r w:rsidR="00FA1E54" w:rsidRPr="00846769">
        <w:t xml:space="preserve">, DOI: </w:t>
      </w:r>
      <w:r w:rsidR="00FA1E54" w:rsidRPr="00846769">
        <w:rPr>
          <w:rFonts w:ascii="Calibri" w:hAnsi="Calibri" w:cs="Calibri"/>
        </w:rPr>
        <w:t>10.1007/s10530-004-0198-5.</w:t>
      </w:r>
    </w:p>
    <w:p w14:paraId="686E031D" w14:textId="06AF2524" w:rsidR="003438F4" w:rsidRDefault="00B5740F" w:rsidP="00C80491">
      <w:pPr>
        <w:pStyle w:val="EndNoteBibliography"/>
        <w:rPr>
          <w:noProof w:val="0"/>
          <w:lang w:val="en-AU"/>
        </w:rPr>
      </w:pPr>
      <w:proofErr w:type="spellStart"/>
      <w:r w:rsidRPr="00846769">
        <w:rPr>
          <w:noProof w:val="0"/>
          <w:lang w:val="en-AU"/>
        </w:rPr>
        <w:lastRenderedPageBreak/>
        <w:t>Castinel</w:t>
      </w:r>
      <w:proofErr w:type="spellEnd"/>
      <w:r w:rsidRPr="00846769">
        <w:rPr>
          <w:noProof w:val="0"/>
          <w:lang w:val="en-AU"/>
        </w:rPr>
        <w:t>, A, Webb, SC, Jones, JB, Peeler, EJ</w:t>
      </w:r>
      <w:r w:rsidR="008532A5" w:rsidRPr="00846769">
        <w:rPr>
          <w:noProof w:val="0"/>
          <w:lang w:val="en-AU"/>
        </w:rPr>
        <w:t xml:space="preserve"> &amp;</w:t>
      </w:r>
      <w:r w:rsidRPr="00846769">
        <w:rPr>
          <w:noProof w:val="0"/>
          <w:lang w:val="en-AU"/>
        </w:rPr>
        <w:t xml:space="preserve"> Forrest, BM 2019, </w:t>
      </w:r>
      <w:hyperlink r:id="rId356" w:history="1">
        <w:r w:rsidRPr="00846769">
          <w:rPr>
            <w:rStyle w:val="Hyperlink"/>
            <w:noProof w:val="0"/>
            <w:lang w:val="en-AU"/>
          </w:rPr>
          <w:t xml:space="preserve">Disease threats to farmed green-lipped mussels </w:t>
        </w:r>
        <w:r w:rsidRPr="00846769">
          <w:rPr>
            <w:rStyle w:val="Hyperlink"/>
            <w:i/>
            <w:iCs/>
            <w:noProof w:val="0"/>
            <w:lang w:val="en-AU"/>
          </w:rPr>
          <w:t xml:space="preserve">Perna canaliculus </w:t>
        </w:r>
        <w:r w:rsidRPr="00846769">
          <w:rPr>
            <w:rStyle w:val="Hyperlink"/>
            <w:noProof w:val="0"/>
            <w:lang w:val="en-AU"/>
          </w:rPr>
          <w:t>in New Zealand: review of challenges in risk assessment and pathway analysis</w:t>
        </w:r>
      </w:hyperlink>
      <w:r w:rsidRPr="00846769">
        <w:rPr>
          <w:noProof w:val="0"/>
          <w:lang w:val="en-AU"/>
        </w:rPr>
        <w:t xml:space="preserve">, </w:t>
      </w:r>
      <w:r w:rsidRPr="00846769">
        <w:rPr>
          <w:i/>
          <w:iCs/>
          <w:noProof w:val="0"/>
          <w:lang w:val="en-AU"/>
        </w:rPr>
        <w:t>Aquaculture Environment Interactions</w:t>
      </w:r>
      <w:r w:rsidRPr="00846769">
        <w:rPr>
          <w:noProof w:val="0"/>
          <w:lang w:val="en-AU"/>
        </w:rPr>
        <w:t>, vol. 11, pp. 291-304.</w:t>
      </w:r>
    </w:p>
    <w:p w14:paraId="62E69966" w14:textId="5547C864" w:rsidR="007F3FF4" w:rsidRPr="007F3FF4" w:rsidRDefault="007F3FF4" w:rsidP="00C80491">
      <w:pPr>
        <w:pStyle w:val="EndNoteBibliography"/>
        <w:rPr>
          <w:noProof w:val="0"/>
          <w:lang w:val="en-AU"/>
        </w:rPr>
      </w:pPr>
      <w:proofErr w:type="spellStart"/>
      <w:r>
        <w:rPr>
          <w:noProof w:val="0"/>
          <w:lang w:val="en-AU"/>
        </w:rPr>
        <w:t>Castorani</w:t>
      </w:r>
      <w:proofErr w:type="spellEnd"/>
      <w:r>
        <w:rPr>
          <w:noProof w:val="0"/>
          <w:lang w:val="en-AU"/>
        </w:rPr>
        <w:t xml:space="preserve">, MCN &amp; Hovel, KA 2016, </w:t>
      </w:r>
      <w:hyperlink r:id="rId357" w:anchor="citeas" w:history="1">
        <w:r w:rsidRPr="007F3FF4">
          <w:rPr>
            <w:rStyle w:val="Hyperlink"/>
            <w:noProof w:val="0"/>
            <w:lang w:val="en-AU"/>
          </w:rPr>
          <w:t xml:space="preserve">Native predator chemical cues induce anti-predation </w:t>
        </w:r>
        <w:proofErr w:type="spellStart"/>
        <w:r w:rsidRPr="007F3FF4">
          <w:rPr>
            <w:rStyle w:val="Hyperlink"/>
            <w:noProof w:val="0"/>
            <w:lang w:val="en-AU"/>
          </w:rPr>
          <w:t>behaviors</w:t>
        </w:r>
        <w:proofErr w:type="spellEnd"/>
        <w:r w:rsidRPr="007F3FF4">
          <w:rPr>
            <w:rStyle w:val="Hyperlink"/>
            <w:noProof w:val="0"/>
            <w:lang w:val="en-AU"/>
          </w:rPr>
          <w:t xml:space="preserve"> in an invasive marine bivalve</w:t>
        </w:r>
      </w:hyperlink>
      <w:r>
        <w:rPr>
          <w:noProof w:val="0"/>
          <w:lang w:val="en-AU"/>
        </w:rPr>
        <w:t xml:space="preserve">, </w:t>
      </w:r>
      <w:r>
        <w:rPr>
          <w:i/>
          <w:iCs/>
          <w:noProof w:val="0"/>
          <w:lang w:val="en-AU"/>
        </w:rPr>
        <w:t xml:space="preserve">Biological Invasions, </w:t>
      </w:r>
      <w:r>
        <w:rPr>
          <w:noProof w:val="0"/>
          <w:lang w:val="en-AU"/>
        </w:rPr>
        <w:t xml:space="preserve">vol. 18, pp. 169-81, DOI: </w:t>
      </w:r>
      <w:r w:rsidRPr="007F3FF4">
        <w:rPr>
          <w:noProof w:val="0"/>
          <w:lang w:val="en-AU"/>
        </w:rPr>
        <w:t>10.1007/s10530-015-1000-6</w:t>
      </w:r>
      <w:r>
        <w:rPr>
          <w:noProof w:val="0"/>
          <w:lang w:val="en-AU"/>
        </w:rPr>
        <w:t xml:space="preserve">. </w:t>
      </w:r>
    </w:p>
    <w:p w14:paraId="67327661" w14:textId="0B022939" w:rsidR="006939E1" w:rsidRPr="00846769" w:rsidRDefault="00E10E9C" w:rsidP="00C80491">
      <w:pPr>
        <w:pStyle w:val="EndNoteBibliography"/>
        <w:rPr>
          <w:noProof w:val="0"/>
          <w:lang w:val="en-AU"/>
        </w:rPr>
      </w:pPr>
      <w:r w:rsidRPr="00846769">
        <w:rPr>
          <w:noProof w:val="0"/>
          <w:lang w:val="en-AU"/>
        </w:rPr>
        <w:t xml:space="preserve">Cavanagh, M 2014, </w:t>
      </w:r>
      <w:bookmarkStart w:id="797" w:name="_Hlk117176665"/>
      <w:r w:rsidR="00C23E04" w:rsidRPr="00846769">
        <w:rPr>
          <w:noProof w:val="0"/>
          <w:lang w:val="en-AU"/>
        </w:rPr>
        <w:fldChar w:fldCharType="begin"/>
      </w:r>
      <w:r w:rsidR="00C23E04" w:rsidRPr="00846769">
        <w:rPr>
          <w:noProof w:val="0"/>
          <w:lang w:val="en-AU"/>
        </w:rPr>
        <w:instrText xml:space="preserve"> HYPERLINK "https://www.abc.net.au/news/rural/2014-12-16/culling-pacific-oysters/5970374?utm_campaign=abc_news_web&amp;utm_content=link&amp;utm_medium=content_shared&amp;utm_source=abc_news_web" </w:instrText>
      </w:r>
      <w:r w:rsidR="00C23E04" w:rsidRPr="00846769">
        <w:rPr>
          <w:noProof w:val="0"/>
          <w:lang w:val="en-AU"/>
        </w:rPr>
      </w:r>
      <w:r w:rsidR="00C23E04" w:rsidRPr="00846769">
        <w:rPr>
          <w:noProof w:val="0"/>
          <w:lang w:val="en-AU"/>
        </w:rPr>
        <w:fldChar w:fldCharType="separate"/>
      </w:r>
      <w:r w:rsidRPr="00846769">
        <w:rPr>
          <w:rStyle w:val="Hyperlink"/>
          <w:noProof w:val="0"/>
          <w:lang w:val="en-AU"/>
        </w:rPr>
        <w:t>Taking a hammer to Pacific oysters on the NSW far south coast</w:t>
      </w:r>
      <w:r w:rsidR="00C23E04" w:rsidRPr="00846769">
        <w:rPr>
          <w:noProof w:val="0"/>
          <w:lang w:val="en-AU"/>
        </w:rPr>
        <w:fldChar w:fldCharType="end"/>
      </w:r>
      <w:r w:rsidRPr="00846769">
        <w:rPr>
          <w:noProof w:val="0"/>
          <w:lang w:val="en-AU"/>
        </w:rPr>
        <w:t>, A</w:t>
      </w:r>
      <w:r w:rsidR="00C23E04" w:rsidRPr="00846769">
        <w:rPr>
          <w:noProof w:val="0"/>
          <w:lang w:val="en-AU"/>
        </w:rPr>
        <w:t xml:space="preserve">ustralian Broadcasting </w:t>
      </w:r>
      <w:proofErr w:type="spellStart"/>
      <w:r w:rsidR="00C23E04" w:rsidRPr="00846769">
        <w:rPr>
          <w:noProof w:val="0"/>
          <w:lang w:val="en-AU"/>
        </w:rPr>
        <w:t>Coporation</w:t>
      </w:r>
      <w:proofErr w:type="spellEnd"/>
      <w:r w:rsidR="00C23E04" w:rsidRPr="00846769">
        <w:rPr>
          <w:noProof w:val="0"/>
          <w:lang w:val="en-AU"/>
        </w:rPr>
        <w:t>, Melbourne,</w:t>
      </w:r>
      <w:r w:rsidRPr="00846769">
        <w:rPr>
          <w:noProof w:val="0"/>
          <w:lang w:val="en-AU"/>
        </w:rPr>
        <w:t xml:space="preserve"> Accessed 3 October 2022.</w:t>
      </w:r>
      <w:bookmarkEnd w:id="797"/>
    </w:p>
    <w:p w14:paraId="06E8AD41" w14:textId="62340059" w:rsidR="006939E1" w:rsidRDefault="00B5740F" w:rsidP="00C80491">
      <w:pPr>
        <w:pStyle w:val="EndNoteBibliography"/>
        <w:rPr>
          <w:noProof w:val="0"/>
          <w:lang w:val="en-AU"/>
        </w:rPr>
      </w:pPr>
      <w:r w:rsidRPr="00846769">
        <w:rPr>
          <w:noProof w:val="0"/>
          <w:lang w:val="en-AU"/>
        </w:rPr>
        <w:t xml:space="preserve">Ceuta, L &amp; Boehs, G 2012, </w:t>
      </w:r>
      <w:hyperlink r:id="rId358" w:history="1">
        <w:r w:rsidRPr="00846769">
          <w:rPr>
            <w:rStyle w:val="Hyperlink"/>
            <w:noProof w:val="0"/>
            <w:lang w:val="en-AU"/>
          </w:rPr>
          <w:t xml:space="preserve">Parasites of the mangrove mussel </w:t>
        </w:r>
        <w:r w:rsidRPr="00846769">
          <w:rPr>
            <w:rStyle w:val="Hyperlink"/>
            <w:i/>
            <w:iCs/>
            <w:noProof w:val="0"/>
            <w:lang w:val="en-AU"/>
          </w:rPr>
          <w:t xml:space="preserve">Mytella </w:t>
        </w:r>
        <w:proofErr w:type="spellStart"/>
        <w:r w:rsidRPr="00846769">
          <w:rPr>
            <w:rStyle w:val="Hyperlink"/>
            <w:i/>
            <w:iCs/>
            <w:noProof w:val="0"/>
            <w:lang w:val="en-AU"/>
          </w:rPr>
          <w:t>guyanensis</w:t>
        </w:r>
        <w:proofErr w:type="spellEnd"/>
        <w:r w:rsidRPr="00846769">
          <w:rPr>
            <w:rStyle w:val="Hyperlink"/>
            <w:noProof w:val="0"/>
            <w:lang w:val="en-AU"/>
          </w:rPr>
          <w:t xml:space="preserve"> (Bivalvia: Mytilidae) in </w:t>
        </w:r>
        <w:proofErr w:type="spellStart"/>
        <w:r w:rsidRPr="00846769">
          <w:rPr>
            <w:rStyle w:val="Hyperlink"/>
            <w:noProof w:val="0"/>
            <w:lang w:val="en-AU"/>
          </w:rPr>
          <w:t>Camamu</w:t>
        </w:r>
        <w:proofErr w:type="spellEnd"/>
        <w:r w:rsidRPr="00846769">
          <w:rPr>
            <w:rStyle w:val="Hyperlink"/>
            <w:noProof w:val="0"/>
            <w:lang w:val="en-AU"/>
          </w:rPr>
          <w:t xml:space="preserve"> Bay, Bahia, Brazil</w:t>
        </w:r>
      </w:hyperlink>
      <w:r w:rsidRPr="00846769">
        <w:rPr>
          <w:noProof w:val="0"/>
          <w:lang w:val="en-AU"/>
        </w:rPr>
        <w:t xml:space="preserve">, </w:t>
      </w:r>
      <w:r w:rsidRPr="00846769">
        <w:rPr>
          <w:i/>
          <w:noProof w:val="0"/>
          <w:lang w:val="en-AU"/>
        </w:rPr>
        <w:t>Brazilian Journal of Biology</w:t>
      </w:r>
      <w:r w:rsidRPr="00846769">
        <w:rPr>
          <w:noProof w:val="0"/>
          <w:lang w:val="en-AU"/>
        </w:rPr>
        <w:t>, vol. 72, no. 3, pp. 421-7</w:t>
      </w:r>
      <w:r w:rsidR="00FA1E54" w:rsidRPr="00846769">
        <w:rPr>
          <w:noProof w:val="0"/>
          <w:lang w:val="en-AU"/>
        </w:rPr>
        <w:t>, DOI: 10.1590/S1519-69842012000300002.</w:t>
      </w:r>
    </w:p>
    <w:p w14:paraId="18B9AA30" w14:textId="37B50477" w:rsidR="004E1C0D" w:rsidRPr="004E1C0D" w:rsidRDefault="004E1C0D" w:rsidP="00C80491">
      <w:pPr>
        <w:pStyle w:val="EndNoteBibliography"/>
        <w:rPr>
          <w:noProof w:val="0"/>
          <w:lang w:val="en-AU"/>
        </w:rPr>
      </w:pPr>
      <w:r>
        <w:rPr>
          <w:noProof w:val="0"/>
          <w:lang w:val="en-AU"/>
        </w:rPr>
        <w:t xml:space="preserve">Chanley, P &amp; Dinamani, P 1980, </w:t>
      </w:r>
      <w:hyperlink r:id="rId359" w:history="1">
        <w:r w:rsidRPr="004E1C0D">
          <w:rPr>
            <w:rStyle w:val="Hyperlink"/>
            <w:noProof w:val="0"/>
            <w:lang w:val="en-AU"/>
          </w:rPr>
          <w:t xml:space="preserve">Comparative descriptions of some oyster larvae from New Zealand and Chile, and a description of a new genus of oyster, </w:t>
        </w:r>
        <w:proofErr w:type="spellStart"/>
        <w:r w:rsidRPr="004E1C0D">
          <w:rPr>
            <w:rStyle w:val="Hyperlink"/>
            <w:i/>
            <w:iCs/>
            <w:noProof w:val="0"/>
            <w:lang w:val="en-AU"/>
          </w:rPr>
          <w:t>Tiostrea</w:t>
        </w:r>
        <w:proofErr w:type="spellEnd"/>
      </w:hyperlink>
      <w:r>
        <w:rPr>
          <w:i/>
          <w:iCs/>
          <w:noProof w:val="0"/>
          <w:lang w:val="en-AU"/>
        </w:rPr>
        <w:t xml:space="preserve">, New Zealand Journal of Marine and Freshwater Research, </w:t>
      </w:r>
      <w:r>
        <w:rPr>
          <w:noProof w:val="0"/>
          <w:lang w:val="en-AU"/>
        </w:rPr>
        <w:t xml:space="preserve">vol. 14, no. 2, pp. 103-120, DOI: </w:t>
      </w:r>
      <w:r w:rsidRPr="004E1C0D">
        <w:rPr>
          <w:noProof w:val="0"/>
          <w:lang w:val="en-AU"/>
        </w:rPr>
        <w:t>10.1080/00288330.1980.9515851</w:t>
      </w:r>
      <w:r>
        <w:rPr>
          <w:noProof w:val="0"/>
          <w:lang w:val="en-AU"/>
        </w:rPr>
        <w:t>.</w:t>
      </w:r>
    </w:p>
    <w:p w14:paraId="7A02DB11" w14:textId="1F0C8097" w:rsidR="00246AE3" w:rsidRPr="00246AE3" w:rsidRDefault="00246AE3" w:rsidP="00C80491">
      <w:pPr>
        <w:pStyle w:val="EndNoteBibliography"/>
        <w:rPr>
          <w:noProof w:val="0"/>
          <w:lang w:val="en-AU"/>
        </w:rPr>
      </w:pPr>
      <w:r>
        <w:rPr>
          <w:noProof w:val="0"/>
          <w:lang w:val="en-AU"/>
        </w:rPr>
        <w:t xml:space="preserve">Chao, M, Shi, Y, Quan, W, Shen, X, An, C, Yuan, Q &amp; Huang, H 2012, </w:t>
      </w:r>
      <w:hyperlink r:id="rId360" w:history="1">
        <w:r w:rsidRPr="00246AE3">
          <w:rPr>
            <w:rStyle w:val="Hyperlink"/>
            <w:noProof w:val="0"/>
            <w:lang w:val="en-AU"/>
          </w:rPr>
          <w:t>Distribution of benthic macroinvertebrates in relation to environmental variables across the Yangtze River Estuary, China</w:t>
        </w:r>
      </w:hyperlink>
      <w:r>
        <w:rPr>
          <w:noProof w:val="0"/>
          <w:lang w:val="en-AU"/>
        </w:rPr>
        <w:t xml:space="preserve">, </w:t>
      </w:r>
      <w:r>
        <w:rPr>
          <w:i/>
          <w:iCs/>
          <w:noProof w:val="0"/>
          <w:lang w:val="en-AU"/>
        </w:rPr>
        <w:t xml:space="preserve">Journal of Coastal Research, </w:t>
      </w:r>
      <w:r>
        <w:rPr>
          <w:noProof w:val="0"/>
          <w:lang w:val="en-AU"/>
        </w:rPr>
        <w:t xml:space="preserve">vol. 28, no. 5, pp. 1008-1019, DOI: </w:t>
      </w:r>
      <w:r w:rsidRPr="00246AE3">
        <w:rPr>
          <w:noProof w:val="0"/>
          <w:lang w:val="en-AU"/>
        </w:rPr>
        <w:t>10.2112/JCOASTRES-D-11-00194.1</w:t>
      </w:r>
      <w:r>
        <w:rPr>
          <w:noProof w:val="0"/>
          <w:lang w:val="en-AU"/>
        </w:rPr>
        <w:t>.</w:t>
      </w:r>
    </w:p>
    <w:p w14:paraId="7F2DF576" w14:textId="565FFB1B" w:rsidR="00F47511" w:rsidRPr="00F47511" w:rsidRDefault="00F47511" w:rsidP="00C80491">
      <w:pPr>
        <w:spacing w:line="240" w:lineRule="auto"/>
        <w:rPr>
          <w:rFonts w:ascii="Calibri" w:hAnsi="Calibri" w:cs="Calibri"/>
        </w:rPr>
      </w:pPr>
      <w:r w:rsidRPr="00F47511">
        <w:rPr>
          <w:rFonts w:ascii="Calibri" w:hAnsi="Calibri" w:cs="Calibri"/>
        </w:rPr>
        <w:t xml:space="preserve">Chaput, R, Quigley, CN, </w:t>
      </w:r>
      <w:proofErr w:type="spellStart"/>
      <w:r w:rsidRPr="00F47511">
        <w:rPr>
          <w:rFonts w:ascii="Calibri" w:hAnsi="Calibri" w:cs="Calibri"/>
        </w:rPr>
        <w:t>Weppe</w:t>
      </w:r>
      <w:proofErr w:type="spellEnd"/>
      <w:r w:rsidRPr="00F47511">
        <w:rPr>
          <w:rFonts w:ascii="Calibri" w:hAnsi="Calibri" w:cs="Calibri"/>
        </w:rPr>
        <w:t>, SB</w:t>
      </w:r>
      <w:r>
        <w:rPr>
          <w:rFonts w:ascii="Calibri" w:hAnsi="Calibri" w:cs="Calibri"/>
        </w:rPr>
        <w:t xml:space="preserve">, Jeffs, AG, de Souza, JMAC &amp; Gardner, JPA 2023, </w:t>
      </w:r>
      <w:hyperlink r:id="rId361" w:anchor="citeas" w:history="1">
        <w:r w:rsidRPr="00F47511">
          <w:rPr>
            <w:rStyle w:val="Hyperlink"/>
            <w:rFonts w:ascii="Calibri" w:hAnsi="Calibri" w:cs="Calibri"/>
          </w:rPr>
          <w:t>Identifying the source populations supplying a vital economic marine species for the New Zealand aquaculture industry</w:t>
        </w:r>
      </w:hyperlink>
      <w:r>
        <w:rPr>
          <w:rFonts w:ascii="Calibri" w:hAnsi="Calibri" w:cs="Calibri"/>
        </w:rPr>
        <w:t xml:space="preserve">, </w:t>
      </w:r>
      <w:r>
        <w:rPr>
          <w:rFonts w:ascii="Calibri" w:hAnsi="Calibri" w:cs="Calibri"/>
          <w:i/>
          <w:iCs/>
        </w:rPr>
        <w:t xml:space="preserve">Scientific Reports, </w:t>
      </w:r>
      <w:r>
        <w:rPr>
          <w:rFonts w:ascii="Calibri" w:hAnsi="Calibri" w:cs="Calibri"/>
        </w:rPr>
        <w:t xml:space="preserve">vol. </w:t>
      </w:r>
      <w:r w:rsidRPr="00F47511">
        <w:rPr>
          <w:rFonts w:ascii="Calibri" w:hAnsi="Calibri" w:cs="Calibri"/>
        </w:rPr>
        <w:t xml:space="preserve">13, </w:t>
      </w:r>
      <w:r>
        <w:rPr>
          <w:rFonts w:ascii="Calibri" w:hAnsi="Calibri" w:cs="Calibri"/>
        </w:rPr>
        <w:t xml:space="preserve">pp. </w:t>
      </w:r>
      <w:r w:rsidRPr="00F47511">
        <w:rPr>
          <w:rFonts w:ascii="Calibri" w:hAnsi="Calibri" w:cs="Calibri"/>
        </w:rPr>
        <w:t>9344</w:t>
      </w:r>
      <w:r>
        <w:rPr>
          <w:rFonts w:ascii="Calibri" w:hAnsi="Calibri" w:cs="Calibri"/>
        </w:rPr>
        <w:t xml:space="preserve">, DOI: </w:t>
      </w:r>
      <w:r w:rsidRPr="00F47511">
        <w:rPr>
          <w:rFonts w:ascii="Calibri" w:hAnsi="Calibri" w:cs="Calibri"/>
        </w:rPr>
        <w:t>10.1038/s41598-023-36224-y</w:t>
      </w:r>
      <w:r>
        <w:rPr>
          <w:rFonts w:ascii="Calibri" w:hAnsi="Calibri" w:cs="Calibri"/>
        </w:rPr>
        <w:t>.</w:t>
      </w:r>
    </w:p>
    <w:p w14:paraId="35DA3196" w14:textId="558EECB9" w:rsidR="000F0136" w:rsidRPr="00846769" w:rsidRDefault="00B5740F" w:rsidP="00C80491">
      <w:pPr>
        <w:pStyle w:val="EndNoteBibliography"/>
        <w:rPr>
          <w:noProof w:val="0"/>
          <w:lang w:val="en-AU"/>
        </w:rPr>
      </w:pPr>
      <w:r w:rsidRPr="00846769">
        <w:rPr>
          <w:noProof w:val="0"/>
          <w:lang w:val="en-AU"/>
        </w:rPr>
        <w:t xml:space="preserve">Chu, F-LC, </w:t>
      </w:r>
      <w:proofErr w:type="spellStart"/>
      <w:r w:rsidRPr="00846769">
        <w:rPr>
          <w:noProof w:val="0"/>
          <w:lang w:val="en-AU"/>
        </w:rPr>
        <w:t>Volety</w:t>
      </w:r>
      <w:proofErr w:type="spellEnd"/>
      <w:r w:rsidRPr="00846769">
        <w:rPr>
          <w:noProof w:val="0"/>
          <w:lang w:val="en-AU"/>
        </w:rPr>
        <w:t xml:space="preserve">, A &amp; Constantin, G 1996, </w:t>
      </w:r>
      <w:hyperlink r:id="rId362" w:history="1">
        <w:r w:rsidRPr="00846769">
          <w:rPr>
            <w:rStyle w:val="Hyperlink"/>
            <w:noProof w:val="0"/>
            <w:lang w:val="en-AU"/>
          </w:rPr>
          <w:t xml:space="preserve">A comparison of </w:t>
        </w:r>
        <w:r w:rsidRPr="00846769">
          <w:rPr>
            <w:rStyle w:val="Hyperlink"/>
            <w:i/>
            <w:iCs/>
            <w:noProof w:val="0"/>
            <w:lang w:val="en-AU"/>
          </w:rPr>
          <w:t>Crassostrea gigas</w:t>
        </w:r>
        <w:r w:rsidRPr="00846769">
          <w:rPr>
            <w:rStyle w:val="Hyperlink"/>
            <w:noProof w:val="0"/>
            <w:lang w:val="en-AU"/>
          </w:rPr>
          <w:t xml:space="preserve"> and </w:t>
        </w:r>
        <w:r w:rsidRPr="00846769">
          <w:rPr>
            <w:rStyle w:val="Hyperlink"/>
            <w:i/>
            <w:iCs/>
            <w:noProof w:val="0"/>
            <w:lang w:val="en-AU"/>
          </w:rPr>
          <w:t>Crassostrea virginica</w:t>
        </w:r>
        <w:r w:rsidRPr="00846769">
          <w:rPr>
            <w:rStyle w:val="Hyperlink"/>
            <w:noProof w:val="0"/>
            <w:lang w:val="en-AU"/>
          </w:rPr>
          <w:t xml:space="preserve">: Effects of temperature and salinity on susceptibility to the protozoan parasite, </w:t>
        </w:r>
        <w:proofErr w:type="spellStart"/>
        <w:r w:rsidRPr="00846769">
          <w:rPr>
            <w:rStyle w:val="Hyperlink"/>
            <w:i/>
            <w:iCs/>
            <w:noProof w:val="0"/>
            <w:lang w:val="en-AU"/>
          </w:rPr>
          <w:t>Perkinsus</w:t>
        </w:r>
        <w:proofErr w:type="spellEnd"/>
        <w:r w:rsidRPr="00846769">
          <w:rPr>
            <w:rStyle w:val="Hyperlink"/>
            <w:i/>
            <w:iCs/>
            <w:noProof w:val="0"/>
            <w:lang w:val="en-AU"/>
          </w:rPr>
          <w:t xml:space="preserve"> marinus</w:t>
        </w:r>
      </w:hyperlink>
      <w:r w:rsidRPr="00846769">
        <w:rPr>
          <w:noProof w:val="0"/>
          <w:lang w:val="en-AU"/>
        </w:rPr>
        <w:t xml:space="preserve">, </w:t>
      </w:r>
      <w:r w:rsidRPr="00846769">
        <w:rPr>
          <w:i/>
          <w:noProof w:val="0"/>
          <w:lang w:val="en-AU"/>
        </w:rPr>
        <w:t>Journal of Shellfish Research</w:t>
      </w:r>
      <w:r w:rsidRPr="00846769">
        <w:rPr>
          <w:noProof w:val="0"/>
          <w:lang w:val="en-AU"/>
        </w:rPr>
        <w:t>, vol. 15, no. 2, p. 375.</w:t>
      </w:r>
    </w:p>
    <w:p w14:paraId="0D9FCEF4" w14:textId="66C44CA5" w:rsidR="006939E1" w:rsidRDefault="00B5740F" w:rsidP="00C80491">
      <w:pPr>
        <w:pStyle w:val="EndNoteBibliography"/>
        <w:rPr>
          <w:noProof w:val="0"/>
          <w:color w:val="000000"/>
          <w:lang w:val="en-AU"/>
        </w:rPr>
      </w:pPr>
      <w:r w:rsidRPr="00846769">
        <w:rPr>
          <w:noProof w:val="0"/>
          <w:color w:val="000000"/>
          <w:lang w:val="en-AU"/>
        </w:rPr>
        <w:t xml:space="preserve">Coan, EV &amp; </w:t>
      </w:r>
      <w:proofErr w:type="spellStart"/>
      <w:r w:rsidRPr="00846769">
        <w:rPr>
          <w:noProof w:val="0"/>
          <w:color w:val="000000"/>
          <w:lang w:val="en-AU"/>
        </w:rPr>
        <w:t>Valentisch</w:t>
      </w:r>
      <w:proofErr w:type="spellEnd"/>
      <w:r w:rsidRPr="00846769">
        <w:rPr>
          <w:noProof w:val="0"/>
          <w:color w:val="000000"/>
          <w:lang w:val="en-AU"/>
        </w:rPr>
        <w:t xml:space="preserve">-Scott, P 2012, </w:t>
      </w:r>
      <w:hyperlink r:id="rId363" w:history="1">
        <w:r w:rsidRPr="00846769">
          <w:rPr>
            <w:rStyle w:val="Hyperlink"/>
            <w:rFonts w:asciiTheme="minorHAnsi" w:hAnsiTheme="minorHAnsi"/>
            <w:noProof w:val="0"/>
            <w:lang w:val="en-AU"/>
          </w:rPr>
          <w:t xml:space="preserve">Bivalve Seashells of Tropical West America: Marine Bivalve </w:t>
        </w:r>
        <w:proofErr w:type="spellStart"/>
        <w:r w:rsidRPr="00846769">
          <w:rPr>
            <w:rStyle w:val="Hyperlink"/>
            <w:rFonts w:asciiTheme="minorHAnsi" w:hAnsiTheme="minorHAnsi"/>
            <w:noProof w:val="0"/>
            <w:lang w:val="en-AU"/>
          </w:rPr>
          <w:t>Molluscks</w:t>
        </w:r>
        <w:proofErr w:type="spellEnd"/>
        <w:r w:rsidRPr="00846769">
          <w:rPr>
            <w:rStyle w:val="Hyperlink"/>
            <w:rFonts w:asciiTheme="minorHAnsi" w:hAnsiTheme="minorHAnsi"/>
            <w:noProof w:val="0"/>
            <w:lang w:val="en-AU"/>
          </w:rPr>
          <w:t xml:space="preserve"> from Baja California to Northern Peru</w:t>
        </w:r>
      </w:hyperlink>
      <w:r w:rsidRPr="00846769">
        <w:rPr>
          <w:noProof w:val="0"/>
          <w:color w:val="000000"/>
          <w:lang w:val="en-AU"/>
        </w:rPr>
        <w:t>, Santa Barbara Museum of Natural History, California, United States.</w:t>
      </w:r>
    </w:p>
    <w:p w14:paraId="71216FD5" w14:textId="24F5BCD4" w:rsidR="006025C1" w:rsidRPr="006025C1" w:rsidRDefault="006025C1" w:rsidP="00C80491">
      <w:pPr>
        <w:pStyle w:val="EndNoteBibliography"/>
        <w:rPr>
          <w:noProof w:val="0"/>
          <w:color w:val="000000"/>
          <w:lang w:val="en-AU"/>
        </w:rPr>
      </w:pPr>
      <w:proofErr w:type="spellStart"/>
      <w:r>
        <w:rPr>
          <w:noProof w:val="0"/>
          <w:color w:val="000000"/>
          <w:lang w:val="en-AU"/>
        </w:rPr>
        <w:t>Cochennec</w:t>
      </w:r>
      <w:proofErr w:type="spellEnd"/>
      <w:r>
        <w:rPr>
          <w:noProof w:val="0"/>
          <w:color w:val="000000"/>
          <w:lang w:val="en-AU"/>
        </w:rPr>
        <w:t xml:space="preserve">, N, Renault, T, </w:t>
      </w:r>
      <w:proofErr w:type="spellStart"/>
      <w:r>
        <w:rPr>
          <w:noProof w:val="0"/>
          <w:color w:val="000000"/>
          <w:lang w:val="en-AU"/>
        </w:rPr>
        <w:t>Boudry</w:t>
      </w:r>
      <w:proofErr w:type="spellEnd"/>
      <w:r>
        <w:rPr>
          <w:noProof w:val="0"/>
          <w:color w:val="000000"/>
          <w:lang w:val="en-AU"/>
        </w:rPr>
        <w:t xml:space="preserve">, P, Chollet, B &amp; Gerard, A 1998, </w:t>
      </w:r>
      <w:hyperlink r:id="rId364" w:history="1">
        <w:proofErr w:type="spellStart"/>
        <w:r w:rsidRPr="00865A52">
          <w:rPr>
            <w:rStyle w:val="Hyperlink"/>
            <w:i/>
            <w:iCs/>
            <w:noProof w:val="0"/>
            <w:lang w:val="en-AU"/>
          </w:rPr>
          <w:t>Bonamia</w:t>
        </w:r>
        <w:proofErr w:type="spellEnd"/>
        <w:r w:rsidRPr="00865A52">
          <w:rPr>
            <w:rStyle w:val="Hyperlink"/>
            <w:noProof w:val="0"/>
            <w:lang w:val="en-AU"/>
          </w:rPr>
          <w:t xml:space="preserve">-like parasite found in the Suminoe oyster </w:t>
        </w:r>
        <w:r w:rsidRPr="00865A52">
          <w:rPr>
            <w:rStyle w:val="Hyperlink"/>
            <w:i/>
            <w:iCs/>
            <w:noProof w:val="0"/>
            <w:lang w:val="en-AU"/>
          </w:rPr>
          <w:t>Crassostrea rivularis</w:t>
        </w:r>
        <w:r w:rsidRPr="00865A52">
          <w:rPr>
            <w:rStyle w:val="Hyperlink"/>
            <w:noProof w:val="0"/>
            <w:lang w:val="en-AU"/>
          </w:rPr>
          <w:t xml:space="preserve"> reared in France</w:t>
        </w:r>
      </w:hyperlink>
      <w:r>
        <w:rPr>
          <w:noProof w:val="0"/>
          <w:color w:val="000000"/>
          <w:lang w:val="en-AU"/>
        </w:rPr>
        <w:t xml:space="preserve">, </w:t>
      </w:r>
      <w:r>
        <w:rPr>
          <w:i/>
          <w:iCs/>
          <w:noProof w:val="0"/>
          <w:color w:val="000000"/>
          <w:lang w:val="en-AU"/>
        </w:rPr>
        <w:t xml:space="preserve">Diseases of Aquatic Organisms, </w:t>
      </w:r>
      <w:r w:rsidR="00865A52">
        <w:rPr>
          <w:noProof w:val="0"/>
          <w:color w:val="000000"/>
          <w:lang w:val="en-AU"/>
        </w:rPr>
        <w:t xml:space="preserve">vol. 34, pp. 193-197, DOI: </w:t>
      </w:r>
      <w:r w:rsidR="00865A52" w:rsidRPr="00865A52">
        <w:rPr>
          <w:noProof w:val="0"/>
          <w:color w:val="000000"/>
          <w:lang w:val="en-AU"/>
        </w:rPr>
        <w:t>10.3354/dao034193</w:t>
      </w:r>
      <w:r w:rsidR="00865A52">
        <w:rPr>
          <w:noProof w:val="0"/>
          <w:color w:val="000000"/>
          <w:lang w:val="en-AU"/>
        </w:rPr>
        <w:t xml:space="preserve">. </w:t>
      </w:r>
    </w:p>
    <w:p w14:paraId="47AC9F44" w14:textId="6B8BD4EA" w:rsidR="00246AE3" w:rsidRDefault="00B5740F" w:rsidP="00C80491">
      <w:pPr>
        <w:pStyle w:val="EndNoteBibliography"/>
        <w:rPr>
          <w:iCs/>
          <w:noProof w:val="0"/>
          <w:lang w:val="en-AU"/>
        </w:rPr>
      </w:pPr>
      <w:r w:rsidRPr="00846769">
        <w:rPr>
          <w:noProof w:val="0"/>
          <w:lang w:val="en-AU"/>
        </w:rPr>
        <w:t xml:space="preserve">Cohen, AN 2011, </w:t>
      </w:r>
      <w:hyperlink r:id="rId365" w:history="1">
        <w:r w:rsidRPr="00846769">
          <w:rPr>
            <w:rStyle w:val="Hyperlink"/>
            <w:noProof w:val="0"/>
            <w:lang w:val="en-AU"/>
          </w:rPr>
          <w:t>The exotics guide: non-native marine species of the North American Pacific Coast</w:t>
        </w:r>
      </w:hyperlink>
      <w:r w:rsidRPr="00846769">
        <w:rPr>
          <w:noProof w:val="0"/>
          <w:lang w:val="en-AU"/>
        </w:rPr>
        <w:t xml:space="preserve">, </w:t>
      </w:r>
      <w:proofErr w:type="spellStart"/>
      <w:r w:rsidRPr="00846769">
        <w:rPr>
          <w:iCs/>
          <w:noProof w:val="0"/>
          <w:lang w:val="en-AU"/>
        </w:rPr>
        <w:t>Center</w:t>
      </w:r>
      <w:proofErr w:type="spellEnd"/>
      <w:r w:rsidRPr="00846769">
        <w:rPr>
          <w:iCs/>
          <w:noProof w:val="0"/>
          <w:lang w:val="en-AU"/>
        </w:rPr>
        <w:t xml:space="preserve"> for Research on Aquatic </w:t>
      </w:r>
      <w:proofErr w:type="spellStart"/>
      <w:r w:rsidRPr="00846769">
        <w:rPr>
          <w:iCs/>
          <w:noProof w:val="0"/>
          <w:lang w:val="en-AU"/>
        </w:rPr>
        <w:t>Bioinvasions</w:t>
      </w:r>
      <w:proofErr w:type="spellEnd"/>
      <w:r w:rsidRPr="00846769">
        <w:rPr>
          <w:iCs/>
          <w:noProof w:val="0"/>
          <w:lang w:val="en-AU"/>
        </w:rPr>
        <w:t>, Richmond, CA, and San Francisco Estuary Institute, Oakland, CA. Revised September.</w:t>
      </w:r>
    </w:p>
    <w:p w14:paraId="43C852E1" w14:textId="2B107E33" w:rsidR="00726611" w:rsidRPr="00726611" w:rsidRDefault="00726611" w:rsidP="00726611">
      <w:pPr>
        <w:pStyle w:val="EndNoteBibliography"/>
        <w:rPr>
          <w:iCs/>
          <w:noProof w:val="0"/>
          <w:lang w:val="en-AU"/>
        </w:rPr>
      </w:pPr>
      <w:r>
        <w:rPr>
          <w:iCs/>
          <w:noProof w:val="0"/>
          <w:lang w:val="en-AU"/>
        </w:rPr>
        <w:t xml:space="preserve">Conry, TM, Tibbs, JE, Baird, MS, Van Zee, BE, McLane, HR, Mobley, BW, Southard, GM, McGarrity, ME 2024, </w:t>
      </w:r>
      <w:hyperlink r:id="rId366" w:history="1">
        <w:r w:rsidRPr="00726611">
          <w:rPr>
            <w:rStyle w:val="Hyperlink"/>
            <w:iCs/>
            <w:noProof w:val="0"/>
            <w:lang w:val="en-AU"/>
          </w:rPr>
          <w:t>Rapid response and eradication of zebra mussels (</w:t>
        </w:r>
        <w:r w:rsidRPr="00A04E26">
          <w:rPr>
            <w:rStyle w:val="Hyperlink"/>
            <w:i/>
          </w:rPr>
          <w:t>Dreissena polymorpha</w:t>
        </w:r>
        <w:r w:rsidRPr="00726611">
          <w:rPr>
            <w:rStyle w:val="Hyperlink"/>
            <w:iCs/>
            <w:noProof w:val="0"/>
            <w:lang w:val="en-AU"/>
          </w:rPr>
          <w:t>) from Lake Waco, Texas, USA, using a gas impermeable benthic barrier approach,</w:t>
        </w:r>
      </w:hyperlink>
      <w:r>
        <w:rPr>
          <w:iCs/>
          <w:noProof w:val="0"/>
          <w:lang w:val="en-AU"/>
        </w:rPr>
        <w:t xml:space="preserve"> </w:t>
      </w:r>
      <w:r>
        <w:rPr>
          <w:i/>
          <w:noProof w:val="0"/>
          <w:lang w:val="en-AU"/>
        </w:rPr>
        <w:t xml:space="preserve">Management of Biological Invasions, </w:t>
      </w:r>
      <w:r>
        <w:rPr>
          <w:iCs/>
          <w:noProof w:val="0"/>
          <w:lang w:val="en-AU"/>
        </w:rPr>
        <w:t xml:space="preserve">vol. 15, no. 2, pp. 239-250, DOI: </w:t>
      </w:r>
      <w:r w:rsidRPr="00726611">
        <w:rPr>
          <w:iCs/>
          <w:noProof w:val="0"/>
          <w:lang w:val="en-AU"/>
        </w:rPr>
        <w:t>10.3391/mbi.2024.15.2.05</w:t>
      </w:r>
      <w:r>
        <w:rPr>
          <w:iCs/>
          <w:noProof w:val="0"/>
          <w:lang w:val="en-AU"/>
        </w:rPr>
        <w:t>.</w:t>
      </w:r>
    </w:p>
    <w:p w14:paraId="378A67C1" w14:textId="5B0DC3E1" w:rsidR="006939E1" w:rsidRDefault="00B5740F" w:rsidP="00C80491">
      <w:pPr>
        <w:pStyle w:val="EndNoteBibliography"/>
        <w:rPr>
          <w:noProof w:val="0"/>
          <w:lang w:val="en-AU"/>
        </w:rPr>
      </w:pPr>
      <w:r w:rsidRPr="00B95B90">
        <w:rPr>
          <w:noProof w:val="0"/>
          <w:lang w:val="en-AU"/>
        </w:rPr>
        <w:t xml:space="preserve">Costello, KE, Lynch, SA, O’Riordan, RM, McAllen, R &amp; </w:t>
      </w:r>
      <w:proofErr w:type="spellStart"/>
      <w:r w:rsidRPr="00B95B90">
        <w:rPr>
          <w:noProof w:val="0"/>
          <w:lang w:val="en-AU"/>
        </w:rPr>
        <w:t>Culloty</w:t>
      </w:r>
      <w:proofErr w:type="spellEnd"/>
      <w:r w:rsidRPr="00B95B90">
        <w:rPr>
          <w:noProof w:val="0"/>
          <w:lang w:val="en-AU"/>
        </w:rPr>
        <w:t xml:space="preserve">, SC 2021, </w:t>
      </w:r>
      <w:hyperlink r:id="rId367" w:history="1">
        <w:r w:rsidRPr="00B95B90">
          <w:rPr>
            <w:rStyle w:val="Hyperlink"/>
            <w:noProof w:val="0"/>
            <w:lang w:val="en-AU"/>
          </w:rPr>
          <w:t>The Importance of Marine Bivalves in Invasive Host–Parasite Introductions</w:t>
        </w:r>
      </w:hyperlink>
      <w:r w:rsidRPr="00B95B90">
        <w:rPr>
          <w:noProof w:val="0"/>
          <w:lang w:val="en-AU"/>
        </w:rPr>
        <w:t xml:space="preserve">, </w:t>
      </w:r>
      <w:r w:rsidRPr="00B95B90">
        <w:rPr>
          <w:i/>
          <w:noProof w:val="0"/>
          <w:lang w:val="en-AU"/>
        </w:rPr>
        <w:t>Frontiers in Marine Science</w:t>
      </w:r>
      <w:r w:rsidRPr="00B95B90">
        <w:rPr>
          <w:noProof w:val="0"/>
          <w:lang w:val="en-AU"/>
        </w:rPr>
        <w:t>, vol. 8</w:t>
      </w:r>
      <w:bookmarkStart w:id="798" w:name="_Hlk117176681"/>
      <w:r w:rsidR="00C011B7" w:rsidRPr="00B95B90">
        <w:rPr>
          <w:noProof w:val="0"/>
          <w:lang w:val="en-AU"/>
        </w:rPr>
        <w:t>, p. 609248</w:t>
      </w:r>
      <w:bookmarkEnd w:id="798"/>
      <w:r w:rsidR="00B95B90" w:rsidRPr="00B95B90">
        <w:rPr>
          <w:noProof w:val="0"/>
          <w:lang w:val="en-AU"/>
        </w:rPr>
        <w:t>, DOI: 10.3389/fmars.2021.609248.</w:t>
      </w:r>
    </w:p>
    <w:p w14:paraId="723BEDE0" w14:textId="418C16C8" w:rsidR="00C80491" w:rsidRDefault="00C80491" w:rsidP="00C80491">
      <w:pPr>
        <w:spacing w:line="240" w:lineRule="auto"/>
      </w:pPr>
      <w:r w:rsidRPr="00CA30EC">
        <w:t xml:space="preserve">Coughlan, N 2019, </w:t>
      </w:r>
      <w:hyperlink r:id="rId368" w:history="1">
        <w:r w:rsidRPr="00581E99">
          <w:rPr>
            <w:rStyle w:val="Hyperlink"/>
          </w:rPr>
          <w:t xml:space="preserve">Beds Are Burning: eradication and control of invasive Asian clam, </w:t>
        </w:r>
        <w:r w:rsidRPr="00581E99">
          <w:rPr>
            <w:rStyle w:val="Hyperlink"/>
            <w:i/>
            <w:iCs/>
          </w:rPr>
          <w:t>Corbicula fluminea,</w:t>
        </w:r>
        <w:r w:rsidRPr="00581E99">
          <w:rPr>
            <w:rStyle w:val="Hyperlink"/>
          </w:rPr>
          <w:t xml:space="preserve"> with rapid open-flame burn treatments</w:t>
        </w:r>
      </w:hyperlink>
      <w:r w:rsidRPr="00581E99">
        <w:t>,</w:t>
      </w:r>
      <w:r w:rsidRPr="00CA30EC">
        <w:t xml:space="preserve"> </w:t>
      </w:r>
      <w:r w:rsidRPr="00581E99">
        <w:rPr>
          <w:i/>
          <w:iCs/>
        </w:rPr>
        <w:t>Management of Biological Invasions</w:t>
      </w:r>
      <w:r w:rsidR="00726611">
        <w:rPr>
          <w:i/>
          <w:iCs/>
        </w:rPr>
        <w:t>,</w:t>
      </w:r>
      <w:r w:rsidRPr="00CA30EC">
        <w:t xml:space="preserve"> vol. 10,</w:t>
      </w:r>
      <w:r w:rsidRPr="00581E99">
        <w:t xml:space="preserve"> no. 3,</w:t>
      </w:r>
      <w:r w:rsidRPr="00CA30EC">
        <w:t xml:space="preserve"> pp. 486–99</w:t>
      </w:r>
      <w:r w:rsidRPr="00581E99">
        <w:t xml:space="preserve">, DOI: </w:t>
      </w:r>
      <w:r w:rsidRPr="00CA30EC">
        <w:t>10.3391/mbi.2019.10.3.06.</w:t>
      </w:r>
    </w:p>
    <w:p w14:paraId="70B55B38" w14:textId="271E550F" w:rsidR="00B95B90" w:rsidRPr="00B95B90" w:rsidRDefault="00B95B90" w:rsidP="00C80491">
      <w:pPr>
        <w:pStyle w:val="EndNoteBibliography"/>
        <w:rPr>
          <w:noProof w:val="0"/>
          <w:lang w:val="en-AU"/>
        </w:rPr>
      </w:pPr>
      <w:bookmarkStart w:id="799" w:name="_Hlk189213456"/>
      <w:r>
        <w:rPr>
          <w:noProof w:val="0"/>
          <w:lang w:val="en-AU"/>
        </w:rPr>
        <w:lastRenderedPageBreak/>
        <w:t xml:space="preserve">Coutts, ADM 2002, </w:t>
      </w:r>
      <w:hyperlink r:id="rId369" w:history="1">
        <w:r w:rsidRPr="00B95B90">
          <w:rPr>
            <w:rStyle w:val="Hyperlink"/>
            <w:noProof w:val="0"/>
            <w:lang w:val="en-AU"/>
          </w:rPr>
          <w:t>The development of incursion response tools – underwater vacuum and filter system trials</w:t>
        </w:r>
      </w:hyperlink>
      <w:r>
        <w:rPr>
          <w:noProof w:val="0"/>
          <w:lang w:val="en-AU"/>
        </w:rPr>
        <w:t xml:space="preserve">, Cawthron Report No. 755. Cawthron Institute, Nelson, New Zealand. August 2002, 27 pp.  </w:t>
      </w:r>
    </w:p>
    <w:p w14:paraId="01643648" w14:textId="203E2969" w:rsidR="00B95B90" w:rsidRPr="00B95B90" w:rsidRDefault="00B95B90" w:rsidP="00C80491">
      <w:pPr>
        <w:pStyle w:val="EndNoteBibliography"/>
        <w:rPr>
          <w:noProof w:val="0"/>
          <w:lang w:val="en-AU"/>
        </w:rPr>
      </w:pPr>
      <w:bookmarkStart w:id="800" w:name="_Hlk189667542"/>
      <w:bookmarkEnd w:id="799"/>
      <w:r w:rsidRPr="00B95B90">
        <w:rPr>
          <w:noProof w:val="0"/>
          <w:lang w:val="en-AU"/>
        </w:rPr>
        <w:t>Coutts, AD</w:t>
      </w:r>
      <w:r>
        <w:rPr>
          <w:noProof w:val="0"/>
          <w:lang w:val="en-AU"/>
        </w:rPr>
        <w:t>M</w:t>
      </w:r>
      <w:r w:rsidRPr="00B95B90">
        <w:rPr>
          <w:noProof w:val="0"/>
          <w:lang w:val="en-AU"/>
        </w:rPr>
        <w:t xml:space="preserve">, Moore, KM &amp; Hewitt, CL 2003, </w:t>
      </w:r>
      <w:hyperlink r:id="rId370" w:history="1">
        <w:r w:rsidRPr="00B95B90">
          <w:rPr>
            <w:rStyle w:val="Hyperlink"/>
            <w:noProof w:val="0"/>
            <w:lang w:val="en-AU"/>
          </w:rPr>
          <w:t>Ships’ sea-chests: an overlooked transfer mechanism for non-indigenous marine species?</w:t>
        </w:r>
      </w:hyperlink>
      <w:r w:rsidRPr="00B95B90">
        <w:rPr>
          <w:noProof w:val="0"/>
          <w:lang w:val="en-AU"/>
        </w:rPr>
        <w:t xml:space="preserve">, </w:t>
      </w:r>
      <w:r w:rsidRPr="00B95B90">
        <w:rPr>
          <w:i/>
          <w:noProof w:val="0"/>
          <w:lang w:val="en-AU"/>
        </w:rPr>
        <w:t>Marine Pollution Bulletin</w:t>
      </w:r>
      <w:r w:rsidRPr="00B95B90">
        <w:rPr>
          <w:noProof w:val="0"/>
          <w:lang w:val="en-AU"/>
        </w:rPr>
        <w:t>, vol. 46, no. 11, pp. 1510-3</w:t>
      </w:r>
      <w:r>
        <w:rPr>
          <w:noProof w:val="0"/>
          <w:lang w:val="en-AU"/>
        </w:rPr>
        <w:t xml:space="preserve">, DOI: </w:t>
      </w:r>
      <w:r w:rsidRPr="00B95B90">
        <w:rPr>
          <w:noProof w:val="0"/>
          <w:lang w:val="en-AU"/>
        </w:rPr>
        <w:t>10.1016/S0025-326X(03)00292-3</w:t>
      </w:r>
      <w:r>
        <w:rPr>
          <w:noProof w:val="0"/>
          <w:lang w:val="en-AU"/>
        </w:rPr>
        <w:t>.</w:t>
      </w:r>
    </w:p>
    <w:bookmarkEnd w:id="800"/>
    <w:p w14:paraId="4E40BE99" w14:textId="1363F1E9" w:rsidR="006939E1" w:rsidRDefault="00B5740F" w:rsidP="00C80491">
      <w:pPr>
        <w:pStyle w:val="EndNoteBibliography"/>
        <w:rPr>
          <w:noProof w:val="0"/>
          <w:lang w:val="en-AU"/>
        </w:rPr>
      </w:pPr>
      <w:r w:rsidRPr="00B95B90">
        <w:rPr>
          <w:noProof w:val="0"/>
          <w:lang w:val="en-AU"/>
        </w:rPr>
        <w:t>Coutts, A</w:t>
      </w:r>
      <w:r w:rsidR="00B95B90">
        <w:rPr>
          <w:noProof w:val="0"/>
          <w:lang w:val="en-AU"/>
        </w:rPr>
        <w:t xml:space="preserve">DM </w:t>
      </w:r>
      <w:r w:rsidRPr="00B95B90">
        <w:rPr>
          <w:noProof w:val="0"/>
          <w:lang w:val="en-AU"/>
        </w:rPr>
        <w:t>&amp; Forrest, B</w:t>
      </w:r>
      <w:r w:rsidR="00B95B90">
        <w:rPr>
          <w:noProof w:val="0"/>
          <w:lang w:val="en-AU"/>
        </w:rPr>
        <w:t>M</w:t>
      </w:r>
      <w:r w:rsidRPr="00B95B90">
        <w:rPr>
          <w:noProof w:val="0"/>
          <w:lang w:val="en-AU"/>
        </w:rPr>
        <w:t xml:space="preserve"> 2005, </w:t>
      </w:r>
      <w:r w:rsidRPr="00B95B90">
        <w:rPr>
          <w:i/>
          <w:iCs/>
          <w:noProof w:val="0"/>
          <w:lang w:val="en-AU"/>
        </w:rPr>
        <w:t xml:space="preserve">Evaluation of eradication tools for the clubbed tunicate </w:t>
      </w:r>
      <w:proofErr w:type="spellStart"/>
      <w:r w:rsidRPr="00B95B90">
        <w:rPr>
          <w:i/>
          <w:iCs/>
          <w:noProof w:val="0"/>
          <w:lang w:val="en-AU"/>
        </w:rPr>
        <w:t>Styela</w:t>
      </w:r>
      <w:proofErr w:type="spellEnd"/>
      <w:r w:rsidRPr="00B95B90">
        <w:rPr>
          <w:i/>
          <w:iCs/>
          <w:noProof w:val="0"/>
          <w:lang w:val="en-AU"/>
        </w:rPr>
        <w:t xml:space="preserve"> </w:t>
      </w:r>
      <w:proofErr w:type="spellStart"/>
      <w:r w:rsidRPr="00B95B90">
        <w:rPr>
          <w:i/>
          <w:iCs/>
          <w:noProof w:val="0"/>
          <w:lang w:val="en-AU"/>
        </w:rPr>
        <w:t>clava</w:t>
      </w:r>
      <w:proofErr w:type="spellEnd"/>
      <w:r w:rsidRPr="00B95B90">
        <w:rPr>
          <w:noProof w:val="0"/>
          <w:lang w:val="en-AU"/>
        </w:rPr>
        <w:t xml:space="preserve">, </w:t>
      </w:r>
      <w:r w:rsidRPr="00B95B90">
        <w:rPr>
          <w:iCs/>
          <w:noProof w:val="0"/>
          <w:lang w:val="en-AU"/>
        </w:rPr>
        <w:t>Cawthron Report, vol. 1110</w:t>
      </w:r>
      <w:r w:rsidR="00B95B90" w:rsidRPr="00B95B90">
        <w:rPr>
          <w:iCs/>
          <w:noProof w:val="0"/>
          <w:lang w:val="en-AU"/>
        </w:rPr>
        <w:t xml:space="preserve">. Cawthron Institute, Nelson, New Zealand, </w:t>
      </w:r>
      <w:r w:rsidRPr="00B95B90">
        <w:rPr>
          <w:iCs/>
          <w:noProof w:val="0"/>
          <w:lang w:val="en-AU"/>
        </w:rPr>
        <w:t>p. 48.</w:t>
      </w:r>
    </w:p>
    <w:p w14:paraId="1230FBD6" w14:textId="120BDBB7" w:rsidR="00B95B90" w:rsidRDefault="00B95B90" w:rsidP="00C80491">
      <w:pPr>
        <w:pStyle w:val="EndNoteBibliography"/>
      </w:pPr>
      <w:bookmarkStart w:id="801" w:name="_Hlk189667576"/>
      <w:r>
        <w:rPr>
          <w:noProof w:val="0"/>
          <w:lang w:val="en-AU"/>
        </w:rPr>
        <w:t>C</w:t>
      </w:r>
      <w:r w:rsidRPr="00B95B90">
        <w:rPr>
          <w:noProof w:val="0"/>
          <w:lang w:val="en-AU"/>
        </w:rPr>
        <w:t>outts, A</w:t>
      </w:r>
      <w:r>
        <w:rPr>
          <w:noProof w:val="0"/>
          <w:lang w:val="en-AU"/>
        </w:rPr>
        <w:t>DM</w:t>
      </w:r>
      <w:r w:rsidRPr="00B95B90">
        <w:rPr>
          <w:noProof w:val="0"/>
          <w:lang w:val="en-AU"/>
        </w:rPr>
        <w:t xml:space="preserve"> 2006</w:t>
      </w:r>
      <w:r>
        <w:rPr>
          <w:noProof w:val="0"/>
          <w:lang w:val="en-AU"/>
        </w:rPr>
        <w:t>,</w:t>
      </w:r>
      <w:r w:rsidRPr="00B95B90">
        <w:rPr>
          <w:noProof w:val="0"/>
          <w:lang w:val="en-AU"/>
        </w:rPr>
        <w:t xml:space="preserve"> </w:t>
      </w:r>
      <w:r w:rsidRPr="00B95B90">
        <w:rPr>
          <w:i/>
          <w:iCs/>
          <w:noProof w:val="0"/>
          <w:lang w:val="en-AU"/>
        </w:rPr>
        <w:t>An evaluation of incursion response tools for invasive species: a case study of Didemnum vexillum in the Marlborough Sounds</w:t>
      </w:r>
      <w:r>
        <w:rPr>
          <w:noProof w:val="0"/>
          <w:lang w:val="en-AU"/>
        </w:rPr>
        <w:t>,</w:t>
      </w:r>
      <w:r w:rsidRPr="00B95B90">
        <w:rPr>
          <w:noProof w:val="0"/>
          <w:lang w:val="en-AU"/>
        </w:rPr>
        <w:t xml:space="preserve"> Cawthron Report, vol. 1093. Cawthron Institute, Nelson, New Zealand. February 2006, 81 pp.</w:t>
      </w:r>
    </w:p>
    <w:bookmarkEnd w:id="801"/>
    <w:p w14:paraId="5CD9BFDA" w14:textId="479A1091" w:rsidR="00B95B90" w:rsidRPr="00B95B90" w:rsidRDefault="00B95B90" w:rsidP="00C80491">
      <w:pPr>
        <w:pStyle w:val="EndNoteBibliography"/>
        <w:rPr>
          <w:noProof w:val="0"/>
          <w:lang w:val="en-AU"/>
        </w:rPr>
      </w:pPr>
      <w:r>
        <w:rPr>
          <w:noProof w:val="0"/>
          <w:lang w:val="en-AU"/>
        </w:rPr>
        <w:t xml:space="preserve">Coutts, ADM &amp; Forrest, BM 2007, </w:t>
      </w:r>
      <w:hyperlink r:id="rId371" w:history="1">
        <w:r w:rsidRPr="00B95B90">
          <w:rPr>
            <w:rStyle w:val="Hyperlink"/>
            <w:noProof w:val="0"/>
            <w:lang w:val="en-AU"/>
          </w:rPr>
          <w:t xml:space="preserve">Development and application of tools for incursion response: Lessons learned from the management of the fouling pest </w:t>
        </w:r>
        <w:r w:rsidRPr="00B95B90">
          <w:rPr>
            <w:rStyle w:val="Hyperlink"/>
            <w:i/>
            <w:iCs/>
            <w:noProof w:val="0"/>
            <w:lang w:val="en-AU"/>
          </w:rPr>
          <w:t>Didemnum vexillum</w:t>
        </w:r>
      </w:hyperlink>
      <w:r>
        <w:rPr>
          <w:noProof w:val="0"/>
          <w:lang w:val="en-AU"/>
        </w:rPr>
        <w:t xml:space="preserve">, </w:t>
      </w:r>
      <w:r>
        <w:rPr>
          <w:i/>
          <w:iCs/>
          <w:noProof w:val="0"/>
          <w:lang w:val="en-AU"/>
        </w:rPr>
        <w:t>Journal of Experimental Marine Biology and Ecology</w:t>
      </w:r>
      <w:r>
        <w:rPr>
          <w:noProof w:val="0"/>
          <w:lang w:val="en-AU"/>
        </w:rPr>
        <w:t xml:space="preserve">, vol. 342, no. 1, pp. 154-62, DOI: </w:t>
      </w:r>
      <w:r w:rsidRPr="00B95B90">
        <w:rPr>
          <w:noProof w:val="0"/>
          <w:lang w:val="en-AU"/>
        </w:rPr>
        <w:t>10.1016/j.jembe.2006.10.042</w:t>
      </w:r>
      <w:r>
        <w:rPr>
          <w:noProof w:val="0"/>
          <w:lang w:val="en-AU"/>
        </w:rPr>
        <w:t>.</w:t>
      </w:r>
    </w:p>
    <w:p w14:paraId="3580A2C9" w14:textId="30607D91" w:rsidR="006939E1" w:rsidRDefault="00B5740F" w:rsidP="00C80491">
      <w:pPr>
        <w:pStyle w:val="EndNoteBibliography"/>
        <w:rPr>
          <w:noProof w:val="0"/>
          <w:lang w:val="en-AU"/>
        </w:rPr>
      </w:pPr>
      <w:r w:rsidRPr="00B95B90">
        <w:rPr>
          <w:noProof w:val="0"/>
          <w:lang w:val="en-AU"/>
        </w:rPr>
        <w:t xml:space="preserve">Cox, B, Kosmeyer, P, O’Connor, W, Dove, M &amp; Johnstone, K 2012, </w:t>
      </w:r>
      <w:hyperlink r:id="rId372" w:history="1">
        <w:r w:rsidRPr="00B95B90">
          <w:rPr>
            <w:rStyle w:val="Hyperlink"/>
            <w:noProof w:val="0"/>
            <w:lang w:val="en-AU"/>
          </w:rPr>
          <w:t>Oyster over-catch: Cold shock treatment</w:t>
        </w:r>
      </w:hyperlink>
      <w:r w:rsidRPr="00B95B90">
        <w:rPr>
          <w:noProof w:val="0"/>
          <w:lang w:val="en-AU"/>
        </w:rPr>
        <w:t xml:space="preserve">, </w:t>
      </w:r>
      <w:r w:rsidRPr="00B95B90">
        <w:rPr>
          <w:iCs/>
          <w:noProof w:val="0"/>
          <w:lang w:val="en-AU"/>
        </w:rPr>
        <w:t>The Seafood CRC Company Ltd, the Fisheries Research and Development Corporation, Port Stephens Fisheries Institute, Industry &amp; Investment NSW and Tasmanian Oyster Research Council Ltd. Project, no</w:t>
      </w:r>
      <w:r w:rsidRPr="00B95B90">
        <w:rPr>
          <w:noProof w:val="0"/>
          <w:lang w:val="en-AU"/>
        </w:rPr>
        <w:t>. 2010, p. 734.</w:t>
      </w:r>
    </w:p>
    <w:p w14:paraId="7B3F3FB6" w14:textId="0CF45183" w:rsidR="002E3A5E" w:rsidRPr="002E3A5E" w:rsidRDefault="002E3A5E" w:rsidP="00C80491">
      <w:pPr>
        <w:pStyle w:val="EndNoteBibliography"/>
        <w:rPr>
          <w:noProof w:val="0"/>
          <w:lang w:val="en-AU"/>
        </w:rPr>
      </w:pPr>
      <w:r>
        <w:rPr>
          <w:noProof w:val="0"/>
          <w:lang w:val="en-AU"/>
        </w:rPr>
        <w:t xml:space="preserve">Coyle, NM, O’Toole, C, Thomas, JCL, Ruder, D, Feil, EJ, Geary, M, Bean, TP, Joseph, AW, Waine, A, </w:t>
      </w:r>
      <w:proofErr w:type="spellStart"/>
      <w:r>
        <w:rPr>
          <w:noProof w:val="0"/>
          <w:lang w:val="en-AU"/>
        </w:rPr>
        <w:t>Cheslett</w:t>
      </w:r>
      <w:proofErr w:type="spellEnd"/>
      <w:r>
        <w:rPr>
          <w:noProof w:val="0"/>
          <w:lang w:val="en-AU"/>
        </w:rPr>
        <w:t xml:space="preserve">, D &amp; Verner-Jeffreys DW 2023, </w:t>
      </w:r>
      <w:hyperlink r:id="rId373" w:history="1">
        <w:r w:rsidRPr="002E3A5E">
          <w:rPr>
            <w:rStyle w:val="Hyperlink"/>
            <w:i/>
            <w:iCs/>
            <w:noProof w:val="0"/>
            <w:lang w:val="en-AU"/>
          </w:rPr>
          <w:t xml:space="preserve">Vibrio </w:t>
        </w:r>
        <w:proofErr w:type="spellStart"/>
        <w:r w:rsidRPr="002E3A5E">
          <w:rPr>
            <w:rStyle w:val="Hyperlink"/>
            <w:i/>
            <w:iCs/>
            <w:noProof w:val="0"/>
            <w:lang w:val="en-AU"/>
          </w:rPr>
          <w:t>aestuarianus</w:t>
        </w:r>
        <w:proofErr w:type="spellEnd"/>
        <w:r w:rsidRPr="002E3A5E">
          <w:rPr>
            <w:rStyle w:val="Hyperlink"/>
            <w:noProof w:val="0"/>
            <w:lang w:val="en-AU"/>
          </w:rPr>
          <w:t xml:space="preserve"> clade A and clade B isolates are associated with Pacific oyster (</w:t>
        </w:r>
        <w:r w:rsidRPr="002E3A5E">
          <w:rPr>
            <w:rStyle w:val="Hyperlink"/>
            <w:i/>
            <w:iCs/>
            <w:noProof w:val="0"/>
            <w:lang w:val="en-AU"/>
          </w:rPr>
          <w:t>Magallana gigas</w:t>
        </w:r>
        <w:r w:rsidRPr="002E3A5E">
          <w:rPr>
            <w:rStyle w:val="Hyperlink"/>
            <w:noProof w:val="0"/>
            <w:lang w:val="en-AU"/>
          </w:rPr>
          <w:t>) disease outbreaks across Ireland</w:t>
        </w:r>
      </w:hyperlink>
      <w:r>
        <w:rPr>
          <w:noProof w:val="0"/>
          <w:lang w:val="en-AU"/>
        </w:rPr>
        <w:t xml:space="preserve">, </w:t>
      </w:r>
      <w:r>
        <w:rPr>
          <w:i/>
          <w:iCs/>
          <w:noProof w:val="0"/>
          <w:lang w:val="en-AU"/>
        </w:rPr>
        <w:t xml:space="preserve">Microbial Genomics, </w:t>
      </w:r>
      <w:r>
        <w:rPr>
          <w:noProof w:val="0"/>
          <w:lang w:val="en-AU"/>
        </w:rPr>
        <w:t xml:space="preserve">vol. 9, no. 8, pp. 001078, DOI: </w:t>
      </w:r>
      <w:r w:rsidRPr="002E3A5E">
        <w:rPr>
          <w:noProof w:val="0"/>
          <w:lang w:val="en-AU"/>
        </w:rPr>
        <w:t>10.1099/mgen.0.001078</w:t>
      </w:r>
      <w:r>
        <w:rPr>
          <w:noProof w:val="0"/>
          <w:lang w:val="en-AU"/>
        </w:rPr>
        <w:t>.</w:t>
      </w:r>
    </w:p>
    <w:p w14:paraId="609513FB" w14:textId="5ECCFAB0" w:rsidR="007F3FF4" w:rsidRDefault="007F3FF4" w:rsidP="00C80491">
      <w:pPr>
        <w:pStyle w:val="EndNoteBibliography"/>
        <w:rPr>
          <w:noProof w:val="0"/>
          <w:lang w:val="en-AU"/>
        </w:rPr>
      </w:pPr>
      <w:r w:rsidRPr="007F3FF4">
        <w:rPr>
          <w:noProof w:val="0"/>
          <w:lang w:val="en-AU"/>
        </w:rPr>
        <w:t>Creese, R, Hooker, S, de Luca, S, &amp; Wharton, Y</w:t>
      </w:r>
      <w:r>
        <w:rPr>
          <w:noProof w:val="0"/>
          <w:lang w:val="en-AU"/>
        </w:rPr>
        <w:t xml:space="preserve"> </w:t>
      </w:r>
      <w:r w:rsidRPr="007F3FF4">
        <w:rPr>
          <w:noProof w:val="0"/>
          <w:lang w:val="en-AU"/>
        </w:rPr>
        <w:t>1997</w:t>
      </w:r>
      <w:r>
        <w:rPr>
          <w:noProof w:val="0"/>
          <w:lang w:val="en-AU"/>
        </w:rPr>
        <w:t xml:space="preserve">, </w:t>
      </w:r>
      <w:hyperlink r:id="rId374" w:history="1">
        <w:r w:rsidRPr="007F3FF4">
          <w:rPr>
            <w:rStyle w:val="Hyperlink"/>
            <w:noProof w:val="0"/>
            <w:lang w:val="en-AU"/>
          </w:rPr>
          <w:t xml:space="preserve">Ecology and environmental impact of </w:t>
        </w:r>
        <w:proofErr w:type="spellStart"/>
        <w:r w:rsidRPr="007F3FF4">
          <w:rPr>
            <w:rStyle w:val="Hyperlink"/>
            <w:i/>
            <w:iCs/>
            <w:noProof w:val="0"/>
            <w:lang w:val="en-AU"/>
          </w:rPr>
          <w:t>Musculista</w:t>
        </w:r>
        <w:proofErr w:type="spellEnd"/>
        <w:r w:rsidRPr="007F3FF4">
          <w:rPr>
            <w:rStyle w:val="Hyperlink"/>
            <w:i/>
            <w:iCs/>
            <w:noProof w:val="0"/>
            <w:lang w:val="en-AU"/>
          </w:rPr>
          <w:t xml:space="preserve"> senhousia</w:t>
        </w:r>
        <w:r w:rsidRPr="007F3FF4">
          <w:rPr>
            <w:rStyle w:val="Hyperlink"/>
            <w:noProof w:val="0"/>
            <w:lang w:val="en-AU"/>
          </w:rPr>
          <w:t xml:space="preserve"> (</w:t>
        </w:r>
        <w:proofErr w:type="spellStart"/>
        <w:r w:rsidRPr="007F3FF4">
          <w:rPr>
            <w:rStyle w:val="Hyperlink"/>
            <w:noProof w:val="0"/>
            <w:lang w:val="en-AU"/>
          </w:rPr>
          <w:t>Moilusca</w:t>
        </w:r>
        <w:proofErr w:type="spellEnd"/>
        <w:r w:rsidRPr="007F3FF4">
          <w:rPr>
            <w:rStyle w:val="Hyperlink"/>
            <w:noProof w:val="0"/>
            <w:lang w:val="en-AU"/>
          </w:rPr>
          <w:t>: Bivalvia: Mytilidae) in Tamaki Estuary, Auckland, New Zealand</w:t>
        </w:r>
      </w:hyperlink>
      <w:r>
        <w:rPr>
          <w:noProof w:val="0"/>
          <w:lang w:val="en-AU"/>
        </w:rPr>
        <w:t xml:space="preserve">, </w:t>
      </w:r>
      <w:r w:rsidRPr="007F3FF4">
        <w:rPr>
          <w:i/>
          <w:iCs/>
          <w:noProof w:val="0"/>
          <w:lang w:val="en-AU"/>
        </w:rPr>
        <w:t>New Zealand Journal of Marine and Freshwater Research</w:t>
      </w:r>
      <w:r w:rsidRPr="007F3FF4">
        <w:rPr>
          <w:noProof w:val="0"/>
          <w:lang w:val="en-AU"/>
        </w:rPr>
        <w:t xml:space="preserve">, </w:t>
      </w:r>
      <w:r>
        <w:rPr>
          <w:noProof w:val="0"/>
          <w:lang w:val="en-AU"/>
        </w:rPr>
        <w:t xml:space="preserve">vol. </w:t>
      </w:r>
      <w:r w:rsidRPr="007F3FF4">
        <w:rPr>
          <w:noProof w:val="0"/>
          <w:lang w:val="en-AU"/>
        </w:rPr>
        <w:t>31</w:t>
      </w:r>
      <w:r>
        <w:rPr>
          <w:noProof w:val="0"/>
          <w:lang w:val="en-AU"/>
        </w:rPr>
        <w:t xml:space="preserve">, no. </w:t>
      </w:r>
      <w:r w:rsidRPr="007F3FF4">
        <w:rPr>
          <w:noProof w:val="0"/>
          <w:lang w:val="en-AU"/>
        </w:rPr>
        <w:t>2</w:t>
      </w:r>
      <w:r>
        <w:rPr>
          <w:noProof w:val="0"/>
          <w:lang w:val="en-AU"/>
        </w:rPr>
        <w:t xml:space="preserve">, pp. </w:t>
      </w:r>
      <w:r w:rsidRPr="007F3FF4">
        <w:rPr>
          <w:noProof w:val="0"/>
          <w:lang w:val="en-AU"/>
        </w:rPr>
        <w:t>225–236</w:t>
      </w:r>
      <w:r>
        <w:rPr>
          <w:noProof w:val="0"/>
          <w:lang w:val="en-AU"/>
        </w:rPr>
        <w:t xml:space="preserve">, DOI: </w:t>
      </w:r>
      <w:r w:rsidRPr="007F3FF4">
        <w:rPr>
          <w:noProof w:val="0"/>
          <w:lang w:val="en-AU"/>
        </w:rPr>
        <w:t>10.1080/00288330.1997.9516760</w:t>
      </w:r>
      <w:r>
        <w:rPr>
          <w:noProof w:val="0"/>
          <w:lang w:val="en-AU"/>
        </w:rPr>
        <w:t>.</w:t>
      </w:r>
    </w:p>
    <w:p w14:paraId="75C6B457" w14:textId="3AD6E17C" w:rsidR="00C80491" w:rsidRDefault="00C80491" w:rsidP="00C80491">
      <w:pPr>
        <w:pStyle w:val="EndNoteBibliography"/>
        <w:rPr>
          <w:noProof w:val="0"/>
          <w:lang w:val="en-AU"/>
        </w:rPr>
      </w:pPr>
      <w:r>
        <w:rPr>
          <w:noProof w:val="0"/>
          <w:lang w:val="en-AU"/>
        </w:rPr>
        <w:t xml:space="preserve">Creese, RG, Davis, AR &amp; Glasby, TM 2004, </w:t>
      </w:r>
      <w:hyperlink r:id="rId375" w:history="1">
        <w:r w:rsidRPr="00C80491">
          <w:rPr>
            <w:rStyle w:val="Hyperlink"/>
            <w:noProof w:val="0"/>
            <w:lang w:val="en-AU"/>
          </w:rPr>
          <w:t xml:space="preserve">Eradicating and preventing spread of </w:t>
        </w:r>
        <w:r w:rsidRPr="00C80491">
          <w:rPr>
            <w:rStyle w:val="Hyperlink"/>
            <w:i/>
            <w:iCs/>
            <w:noProof w:val="0"/>
            <w:lang w:val="en-AU"/>
          </w:rPr>
          <w:t xml:space="preserve">Caulerpa taxifolia </w:t>
        </w:r>
        <w:r w:rsidRPr="00C80491">
          <w:rPr>
            <w:rStyle w:val="Hyperlink"/>
            <w:noProof w:val="0"/>
            <w:lang w:val="en-AU"/>
          </w:rPr>
          <w:t>in NSW</w:t>
        </w:r>
      </w:hyperlink>
      <w:r>
        <w:rPr>
          <w:noProof w:val="0"/>
          <w:lang w:val="en-AU"/>
        </w:rPr>
        <w:t xml:space="preserve">, Project No. 35595, NSW Fisheries, Cronulla, NSW, pp. 125, accessed on 23 July 2024.  </w:t>
      </w:r>
    </w:p>
    <w:p w14:paraId="55FD7E64" w14:textId="44A7DDE1" w:rsidR="00125EBD" w:rsidRPr="00C80491" w:rsidRDefault="00125EBD" w:rsidP="00C80491">
      <w:pPr>
        <w:pStyle w:val="EndNoteBibliography"/>
        <w:rPr>
          <w:noProof w:val="0"/>
          <w:lang w:val="en-AU"/>
        </w:rPr>
      </w:pPr>
      <w:r w:rsidRPr="00125EBD">
        <w:rPr>
          <w:noProof w:val="0"/>
          <w:lang w:val="en-AU"/>
        </w:rPr>
        <w:t>Cribb, H</w:t>
      </w:r>
      <w:r>
        <w:rPr>
          <w:noProof w:val="0"/>
          <w:lang w:val="en-AU"/>
        </w:rPr>
        <w:t xml:space="preserve">, </w:t>
      </w:r>
      <w:r w:rsidRPr="00125EBD">
        <w:rPr>
          <w:noProof w:val="0"/>
          <w:lang w:val="en-AU"/>
        </w:rPr>
        <w:t>Maher, J</w:t>
      </w:r>
      <w:r>
        <w:rPr>
          <w:noProof w:val="0"/>
          <w:lang w:val="en-AU"/>
        </w:rPr>
        <w:t xml:space="preserve"> &amp;</w:t>
      </w:r>
      <w:r w:rsidRPr="00125EBD">
        <w:rPr>
          <w:noProof w:val="0"/>
          <w:lang w:val="en-AU"/>
        </w:rPr>
        <w:t xml:space="preserve"> Beatty, A 2010</w:t>
      </w:r>
      <w:r>
        <w:rPr>
          <w:noProof w:val="0"/>
          <w:lang w:val="en-AU"/>
        </w:rPr>
        <w:t xml:space="preserve">, </w:t>
      </w:r>
      <w:r w:rsidRPr="00125EBD">
        <w:rPr>
          <w:i/>
          <w:iCs/>
          <w:noProof w:val="0"/>
          <w:lang w:val="en-AU"/>
        </w:rPr>
        <w:t>Monitoring for Marine Pests, Darwin Harbour, 2008-09 report</w:t>
      </w:r>
      <w:r>
        <w:rPr>
          <w:noProof w:val="0"/>
          <w:lang w:val="en-AU"/>
        </w:rPr>
        <w:t xml:space="preserve">, </w:t>
      </w:r>
      <w:r w:rsidRPr="00125EBD">
        <w:rPr>
          <w:noProof w:val="0"/>
          <w:lang w:val="en-AU"/>
        </w:rPr>
        <w:t>Northern Territory Government, Department of Resources, pp. 25.</w:t>
      </w:r>
    </w:p>
    <w:p w14:paraId="2F9551BA" w14:textId="2AC1507D" w:rsidR="006939E1" w:rsidRDefault="00B5740F" w:rsidP="00C80491">
      <w:pPr>
        <w:pStyle w:val="EndNoteBibliography"/>
        <w:rPr>
          <w:noProof w:val="0"/>
          <w:lang w:val="en-AU"/>
        </w:rPr>
      </w:pPr>
      <w:r w:rsidRPr="00B95B90">
        <w:rPr>
          <w:noProof w:val="0"/>
          <w:lang w:val="en-AU"/>
        </w:rPr>
        <w:t xml:space="preserve">Crocetta, F &amp; </w:t>
      </w:r>
      <w:proofErr w:type="spellStart"/>
      <w:r w:rsidRPr="00B95B90">
        <w:rPr>
          <w:noProof w:val="0"/>
          <w:lang w:val="en-AU"/>
        </w:rPr>
        <w:t>Turolla</w:t>
      </w:r>
      <w:proofErr w:type="spellEnd"/>
      <w:r w:rsidRPr="00B95B90">
        <w:rPr>
          <w:noProof w:val="0"/>
          <w:lang w:val="en-AU"/>
        </w:rPr>
        <w:t xml:space="preserve">, E 2011, </w:t>
      </w:r>
      <w:hyperlink r:id="rId376" w:history="1">
        <w:r w:rsidRPr="00B95B90">
          <w:rPr>
            <w:rStyle w:val="Hyperlink"/>
            <w:i/>
            <w:iCs/>
            <w:noProof w:val="0"/>
            <w:lang w:val="en-AU"/>
          </w:rPr>
          <w:t>Mya arenaria</w:t>
        </w:r>
        <w:r w:rsidRPr="00B95B90">
          <w:rPr>
            <w:rStyle w:val="Hyperlink"/>
            <w:noProof w:val="0"/>
            <w:lang w:val="en-AU"/>
          </w:rPr>
          <w:t xml:space="preserve"> Linné, 1758 (Mollusca: Bivalvia) in the Mediterranean Sea: its distribution revisited</w:t>
        </w:r>
      </w:hyperlink>
      <w:r w:rsidRPr="00B95B90">
        <w:rPr>
          <w:noProof w:val="0"/>
          <w:lang w:val="en-AU"/>
        </w:rPr>
        <w:t xml:space="preserve">, </w:t>
      </w:r>
      <w:r w:rsidRPr="00B95B90">
        <w:rPr>
          <w:i/>
          <w:noProof w:val="0"/>
          <w:lang w:val="en-AU"/>
        </w:rPr>
        <w:t>Journal of Biological Research</w:t>
      </w:r>
      <w:r w:rsidRPr="00B95B90">
        <w:rPr>
          <w:noProof w:val="0"/>
          <w:lang w:val="en-AU"/>
        </w:rPr>
        <w:t>, vol. 16</w:t>
      </w:r>
      <w:r w:rsidR="00B95B90">
        <w:rPr>
          <w:noProof w:val="0"/>
          <w:lang w:val="en-AU"/>
        </w:rPr>
        <w:t xml:space="preserve">, pp. 188-93. </w:t>
      </w:r>
    </w:p>
    <w:p w14:paraId="1FDCDECD" w14:textId="2FD1DDC9" w:rsidR="00C80491" w:rsidRDefault="00C80491" w:rsidP="00C80491">
      <w:pPr>
        <w:spacing w:line="240" w:lineRule="auto"/>
        <w:rPr>
          <w:lang w:eastAsia="ja-JP"/>
        </w:rPr>
      </w:pPr>
      <w:r w:rsidRPr="0046566F">
        <w:rPr>
          <w:lang w:eastAsia="ja-JP"/>
        </w:rPr>
        <w:t xml:space="preserve">Crombie, J, Knight, E &amp; Barry, S 2007, </w:t>
      </w:r>
      <w:hyperlink r:id="rId377" w:history="1">
        <w:r w:rsidRPr="00581E99">
          <w:rPr>
            <w:rStyle w:val="Hyperlink"/>
          </w:rPr>
          <w:t>Marine pest incursions: a tool to predict the cost of eradication based on expert assessments</w:t>
        </w:r>
      </w:hyperlink>
      <w:r w:rsidRPr="0046566F">
        <w:rPr>
          <w:lang w:eastAsia="ja-JP"/>
        </w:rPr>
        <w:t>, Australian Bureau of Rural Sciences, Canberra</w:t>
      </w:r>
      <w:r w:rsidRPr="00581E99">
        <w:rPr>
          <w:lang w:eastAsia="ja-JP"/>
        </w:rPr>
        <w:t>, accessed 20 March 2023.</w:t>
      </w:r>
    </w:p>
    <w:p w14:paraId="08C45F6A" w14:textId="6FA1F009" w:rsidR="007F3FF4" w:rsidRDefault="007F3FF4" w:rsidP="00C80491">
      <w:pPr>
        <w:spacing w:line="240" w:lineRule="auto"/>
        <w:rPr>
          <w:lang w:eastAsia="ja-JP"/>
        </w:rPr>
      </w:pPr>
      <w:r>
        <w:rPr>
          <w:lang w:eastAsia="ja-JP"/>
        </w:rPr>
        <w:t xml:space="preserve">Crooks, JA 1996, </w:t>
      </w:r>
      <w:hyperlink r:id="rId378" w:history="1">
        <w:r w:rsidRPr="007F3FF4">
          <w:rPr>
            <w:rStyle w:val="Hyperlink"/>
            <w:lang w:eastAsia="ja-JP"/>
          </w:rPr>
          <w:t xml:space="preserve">The population ecology of an exotic mussel, </w:t>
        </w:r>
        <w:proofErr w:type="spellStart"/>
        <w:r w:rsidRPr="007F3FF4">
          <w:rPr>
            <w:rStyle w:val="Hyperlink"/>
            <w:i/>
            <w:iCs/>
            <w:lang w:eastAsia="ja-JP"/>
          </w:rPr>
          <w:t>Musculista</w:t>
        </w:r>
        <w:proofErr w:type="spellEnd"/>
        <w:r w:rsidRPr="007F3FF4">
          <w:rPr>
            <w:rStyle w:val="Hyperlink"/>
            <w:i/>
            <w:iCs/>
            <w:lang w:eastAsia="ja-JP"/>
          </w:rPr>
          <w:t xml:space="preserve"> senhousia</w:t>
        </w:r>
        <w:r w:rsidRPr="007F3FF4">
          <w:rPr>
            <w:rStyle w:val="Hyperlink"/>
            <w:lang w:eastAsia="ja-JP"/>
          </w:rPr>
          <w:t>, in a southern California Bay</w:t>
        </w:r>
      </w:hyperlink>
      <w:r>
        <w:rPr>
          <w:lang w:eastAsia="ja-JP"/>
        </w:rPr>
        <w:t xml:space="preserve">, </w:t>
      </w:r>
      <w:r>
        <w:rPr>
          <w:i/>
          <w:iCs/>
          <w:lang w:eastAsia="ja-JP"/>
        </w:rPr>
        <w:t xml:space="preserve">Estuaries, </w:t>
      </w:r>
      <w:r>
        <w:rPr>
          <w:lang w:eastAsia="ja-JP"/>
        </w:rPr>
        <w:t xml:space="preserve">vol. 19, no. 1m pp. 42-50, DOI: </w:t>
      </w:r>
      <w:r w:rsidRPr="007F3FF4">
        <w:rPr>
          <w:lang w:eastAsia="ja-JP"/>
        </w:rPr>
        <w:t>10.2307/1352650</w:t>
      </w:r>
      <w:r>
        <w:rPr>
          <w:lang w:eastAsia="ja-JP"/>
        </w:rPr>
        <w:t xml:space="preserve">. </w:t>
      </w:r>
    </w:p>
    <w:p w14:paraId="0DBBF0FD" w14:textId="6152178A" w:rsidR="00286468" w:rsidRPr="00286468" w:rsidRDefault="00286468" w:rsidP="00C80491">
      <w:pPr>
        <w:spacing w:line="240" w:lineRule="auto"/>
        <w:rPr>
          <w:lang w:eastAsia="ja-JP"/>
        </w:rPr>
      </w:pPr>
      <w:r>
        <w:rPr>
          <w:lang w:eastAsia="ja-JP"/>
        </w:rPr>
        <w:t xml:space="preserve">Crooks, JA 1998, </w:t>
      </w:r>
      <w:hyperlink r:id="rId379" w:history="1">
        <w:r w:rsidRPr="00286468">
          <w:rPr>
            <w:rStyle w:val="Hyperlink"/>
            <w:lang w:eastAsia="ja-JP"/>
          </w:rPr>
          <w:t xml:space="preserve">Habitat alteration and community-level effects of an exotic mussel, </w:t>
        </w:r>
        <w:proofErr w:type="spellStart"/>
        <w:r w:rsidRPr="00286468">
          <w:rPr>
            <w:rStyle w:val="Hyperlink"/>
            <w:i/>
            <w:iCs/>
            <w:lang w:eastAsia="ja-JP"/>
          </w:rPr>
          <w:t>Musculista</w:t>
        </w:r>
        <w:proofErr w:type="spellEnd"/>
        <w:r w:rsidRPr="00286468">
          <w:rPr>
            <w:rStyle w:val="Hyperlink"/>
            <w:i/>
            <w:iCs/>
            <w:lang w:eastAsia="ja-JP"/>
          </w:rPr>
          <w:t xml:space="preserve"> senhousia,</w:t>
        </w:r>
      </w:hyperlink>
      <w:r>
        <w:rPr>
          <w:i/>
          <w:iCs/>
          <w:lang w:eastAsia="ja-JP"/>
        </w:rPr>
        <w:t xml:space="preserve"> Marine Ecology Progress Series, </w:t>
      </w:r>
      <w:r>
        <w:rPr>
          <w:lang w:eastAsia="ja-JP"/>
        </w:rPr>
        <w:t xml:space="preserve">vol. 162, pp. 137-152, DOI: </w:t>
      </w:r>
      <w:r w:rsidRPr="00286468">
        <w:rPr>
          <w:lang w:eastAsia="ja-JP"/>
        </w:rPr>
        <w:t>10.3354/meps162137</w:t>
      </w:r>
      <w:r>
        <w:rPr>
          <w:lang w:eastAsia="ja-JP"/>
        </w:rPr>
        <w:t xml:space="preserve">. </w:t>
      </w:r>
    </w:p>
    <w:p w14:paraId="02D0E9AD" w14:textId="38E6C156" w:rsidR="00C80491" w:rsidRPr="00B95B90" w:rsidRDefault="00C80491" w:rsidP="00C80491">
      <w:pPr>
        <w:spacing w:line="240" w:lineRule="auto"/>
        <w:rPr>
          <w:lang w:eastAsia="ja-JP"/>
        </w:rPr>
      </w:pPr>
      <w:bookmarkStart w:id="802" w:name="_Hlk189214574"/>
      <w:r w:rsidRPr="00F037EC">
        <w:rPr>
          <w:lang w:eastAsia="ja-JP"/>
        </w:rPr>
        <w:lastRenderedPageBreak/>
        <w:t>Cvetkovic</w:t>
      </w:r>
      <w:r>
        <w:rPr>
          <w:lang w:eastAsia="ja-JP"/>
        </w:rPr>
        <w:t>,</w:t>
      </w:r>
      <w:r w:rsidRPr="00F037EC">
        <w:rPr>
          <w:lang w:eastAsia="ja-JP"/>
        </w:rPr>
        <w:t xml:space="preserve"> M, Kompare</w:t>
      </w:r>
      <w:r>
        <w:rPr>
          <w:lang w:eastAsia="ja-JP"/>
        </w:rPr>
        <w:t>,</w:t>
      </w:r>
      <w:r w:rsidRPr="00F037EC">
        <w:rPr>
          <w:lang w:eastAsia="ja-JP"/>
        </w:rPr>
        <w:t xml:space="preserve"> B</w:t>
      </w:r>
      <w:r>
        <w:rPr>
          <w:lang w:eastAsia="ja-JP"/>
        </w:rPr>
        <w:t xml:space="preserve"> &amp;</w:t>
      </w:r>
      <w:r w:rsidRPr="00F037EC">
        <w:rPr>
          <w:lang w:eastAsia="ja-JP"/>
        </w:rPr>
        <w:t xml:space="preserve"> Klemencic</w:t>
      </w:r>
      <w:r>
        <w:rPr>
          <w:lang w:eastAsia="ja-JP"/>
        </w:rPr>
        <w:t>,</w:t>
      </w:r>
      <w:r w:rsidRPr="00F037EC">
        <w:rPr>
          <w:lang w:eastAsia="ja-JP"/>
        </w:rPr>
        <w:t xml:space="preserve"> AK 2015</w:t>
      </w:r>
      <w:r>
        <w:rPr>
          <w:lang w:eastAsia="ja-JP"/>
        </w:rPr>
        <w:t>,</w:t>
      </w:r>
      <w:r w:rsidRPr="00F037EC">
        <w:rPr>
          <w:lang w:eastAsia="ja-JP"/>
        </w:rPr>
        <w:t xml:space="preserve"> </w:t>
      </w:r>
      <w:hyperlink r:id="rId380" w:history="1">
        <w:r w:rsidRPr="00F037EC">
          <w:rPr>
            <w:rStyle w:val="Hyperlink"/>
            <w:lang w:eastAsia="ja-JP"/>
          </w:rPr>
          <w:t>Application of hydrodynamic cavitation in ballast water treatment</w:t>
        </w:r>
      </w:hyperlink>
      <w:r>
        <w:rPr>
          <w:lang w:eastAsia="ja-JP"/>
        </w:rPr>
        <w:t>,</w:t>
      </w:r>
      <w:r w:rsidRPr="00F037EC">
        <w:rPr>
          <w:lang w:eastAsia="ja-JP"/>
        </w:rPr>
        <w:t xml:space="preserve"> </w:t>
      </w:r>
      <w:r w:rsidRPr="00C80491">
        <w:rPr>
          <w:i/>
          <w:iCs/>
          <w:lang w:eastAsia="ja-JP"/>
        </w:rPr>
        <w:t>Environmental Science and Pollution Research</w:t>
      </w:r>
      <w:r>
        <w:rPr>
          <w:lang w:eastAsia="ja-JP"/>
        </w:rPr>
        <w:t>, vol.</w:t>
      </w:r>
      <w:r w:rsidRPr="00F037EC">
        <w:rPr>
          <w:lang w:eastAsia="ja-JP"/>
        </w:rPr>
        <w:t xml:space="preserve"> 22, </w:t>
      </w:r>
      <w:r>
        <w:rPr>
          <w:lang w:eastAsia="ja-JP"/>
        </w:rPr>
        <w:t xml:space="preserve">pp. </w:t>
      </w:r>
      <w:r w:rsidRPr="00F037EC">
        <w:rPr>
          <w:lang w:eastAsia="ja-JP"/>
        </w:rPr>
        <w:t>7422</w:t>
      </w:r>
      <w:r>
        <w:t>-74</w:t>
      </w:r>
      <w:r w:rsidRPr="00F037EC">
        <w:rPr>
          <w:lang w:eastAsia="ja-JP"/>
        </w:rPr>
        <w:t>38</w:t>
      </w:r>
      <w:r>
        <w:rPr>
          <w:lang w:eastAsia="ja-JP"/>
        </w:rPr>
        <w:t xml:space="preserve">, </w:t>
      </w:r>
      <w:r w:rsidRPr="00F037EC">
        <w:rPr>
          <w:lang w:eastAsia="ja-JP"/>
        </w:rPr>
        <w:t>DOI:</w:t>
      </w:r>
      <w:r>
        <w:t xml:space="preserve"> </w:t>
      </w:r>
      <w:r w:rsidRPr="00F037EC">
        <w:rPr>
          <w:lang w:eastAsia="ja-JP"/>
        </w:rPr>
        <w:t>10.1007/s11356-015-4360-7</w:t>
      </w:r>
      <w:r>
        <w:rPr>
          <w:lang w:eastAsia="ja-JP"/>
        </w:rPr>
        <w:t>.</w:t>
      </w:r>
    </w:p>
    <w:bookmarkEnd w:id="802"/>
    <w:p w14:paraId="0B155DE7" w14:textId="4FEB9883" w:rsidR="00933093" w:rsidRDefault="00933093" w:rsidP="00C80491">
      <w:pPr>
        <w:spacing w:line="240" w:lineRule="auto"/>
      </w:pPr>
      <w:r>
        <w:t xml:space="preserve">DAFF 2009, </w:t>
      </w:r>
      <w:hyperlink r:id="rId381" w:history="1">
        <w:r w:rsidRPr="00933093">
          <w:rPr>
            <w:rStyle w:val="Hyperlink"/>
          </w:rPr>
          <w:t>Australian aquatic veterinary emergency plan (AQUAVETPLAN) for destruction (version 2.0)</w:t>
        </w:r>
      </w:hyperlink>
      <w:r>
        <w:t>, Department of Agriculture, Fisheries and Forestry, Canberra, accessed 22 July 2024.</w:t>
      </w:r>
    </w:p>
    <w:p w14:paraId="3F6C9071" w14:textId="470D3FD1" w:rsidR="00933093" w:rsidRPr="00933093" w:rsidRDefault="00933093" w:rsidP="00C80491">
      <w:pPr>
        <w:pStyle w:val="EndNoteBibliography"/>
        <w:rPr>
          <w:noProof w:val="0"/>
          <w:lang w:val="en-AU"/>
        </w:rPr>
      </w:pPr>
      <w:r w:rsidRPr="00933093">
        <w:rPr>
          <w:noProof w:val="0"/>
          <w:lang w:val="en-AU"/>
        </w:rPr>
        <w:t xml:space="preserve">DAFF 2015, </w:t>
      </w:r>
      <w:hyperlink r:id="rId382" w:history="1">
        <w:r w:rsidRPr="00933093">
          <w:rPr>
            <w:rStyle w:val="Hyperlink"/>
            <w:noProof w:val="0"/>
            <w:lang w:val="en-AU"/>
          </w:rPr>
          <w:t xml:space="preserve">AQUAVETPLAN Disease Strategy: Infection with </w:t>
        </w:r>
        <w:proofErr w:type="spellStart"/>
        <w:r w:rsidRPr="00933093">
          <w:rPr>
            <w:rStyle w:val="Hyperlink"/>
            <w:noProof w:val="0"/>
            <w:lang w:val="en-AU"/>
          </w:rPr>
          <w:t>ostreid</w:t>
        </w:r>
        <w:proofErr w:type="spellEnd"/>
        <w:r w:rsidRPr="00933093">
          <w:rPr>
            <w:rStyle w:val="Hyperlink"/>
            <w:noProof w:val="0"/>
            <w:lang w:val="en-AU"/>
          </w:rPr>
          <w:t xml:space="preserve"> herpes virus-1 microvariant, version 1</w:t>
        </w:r>
      </w:hyperlink>
      <w:r w:rsidRPr="00933093">
        <w:rPr>
          <w:noProof w:val="0"/>
          <w:lang w:val="en-AU"/>
        </w:rPr>
        <w:t>, Department of Agriculture, Fisheries and Forestry, Canberra, accessed 22 July 2024.</w:t>
      </w:r>
    </w:p>
    <w:p w14:paraId="217949B5" w14:textId="00B8B2D1" w:rsidR="00631A7E" w:rsidRDefault="00631A7E" w:rsidP="00C80491">
      <w:pPr>
        <w:spacing w:line="240" w:lineRule="auto"/>
      </w:pPr>
      <w:r w:rsidRPr="00B95B90">
        <w:t>DAFF 20</w:t>
      </w:r>
      <w:r w:rsidR="00B95B90" w:rsidRPr="00B95B90">
        <w:t>20</w:t>
      </w:r>
      <w:r w:rsidR="00933093">
        <w:t>a</w:t>
      </w:r>
      <w:r w:rsidRPr="00B95B90">
        <w:t xml:space="preserve">, </w:t>
      </w:r>
      <w:hyperlink r:id="rId383" w:history="1">
        <w:r w:rsidRPr="00B95B90">
          <w:rPr>
            <w:rStyle w:val="Hyperlink"/>
          </w:rPr>
          <w:t>National policy guidelines for the translocation of live aquatic animals</w:t>
        </w:r>
      </w:hyperlink>
      <w:r w:rsidRPr="00B95B90">
        <w:t>, Department of Agriculture, Fisheries and Forestry, Canberra, March 2020, accessed 9 March 2023.</w:t>
      </w:r>
    </w:p>
    <w:p w14:paraId="3E6B06E6" w14:textId="42C32073" w:rsidR="00933093" w:rsidRDefault="00933093" w:rsidP="00C80491">
      <w:pPr>
        <w:spacing w:line="240" w:lineRule="auto"/>
      </w:pPr>
      <w:r>
        <w:t xml:space="preserve">DAFF 2020b, </w:t>
      </w:r>
      <w:hyperlink r:id="rId384" w:history="1">
        <w:r w:rsidRPr="00933093">
          <w:rPr>
            <w:rStyle w:val="Hyperlink"/>
          </w:rPr>
          <w:t>Aquatic animal diseases significant to Australia: Identification field guide, 5</w:t>
        </w:r>
        <w:r w:rsidRPr="00933093">
          <w:rPr>
            <w:rStyle w:val="Hyperlink"/>
            <w:vertAlign w:val="superscript"/>
          </w:rPr>
          <w:t>th</w:t>
        </w:r>
        <w:r w:rsidRPr="00933093">
          <w:rPr>
            <w:rStyle w:val="Hyperlink"/>
          </w:rPr>
          <w:t xml:space="preserve"> Edition</w:t>
        </w:r>
      </w:hyperlink>
      <w:r>
        <w:t xml:space="preserve">, </w:t>
      </w:r>
      <w:r w:rsidRPr="00B95B90">
        <w:t>Department of Agriculture, Fisheries and Forestry</w:t>
      </w:r>
      <w:r>
        <w:t xml:space="preserve">, access 22 July 2024. </w:t>
      </w:r>
    </w:p>
    <w:p w14:paraId="4CAE9F41" w14:textId="17465E6E" w:rsidR="00F5347D" w:rsidRDefault="00F5347D" w:rsidP="00C80491">
      <w:pPr>
        <w:spacing w:line="240" w:lineRule="auto"/>
      </w:pPr>
      <w:r w:rsidRPr="00B95B90">
        <w:t>DAFF 202</w:t>
      </w:r>
      <w:r>
        <w:t>0c</w:t>
      </w:r>
      <w:r w:rsidRPr="00B95B90">
        <w:t xml:space="preserve">, </w:t>
      </w:r>
      <w:hyperlink r:id="rId385" w:anchor="daff-page-main" w:history="1">
        <w:r w:rsidRPr="00B95B90">
          <w:rPr>
            <w:rStyle w:val="Hyperlink"/>
          </w:rPr>
          <w:t>Australian ballast water management requirements version 8</w:t>
        </w:r>
      </w:hyperlink>
      <w:r w:rsidRPr="00B95B90">
        <w:t>, Department of Agriculture, Fisheries and Forestry, Canberra, accessed 9 March 2023.</w:t>
      </w:r>
      <w:r w:rsidRPr="00B95B90" w:rsidDel="007F5827">
        <w:t xml:space="preserve"> </w:t>
      </w:r>
    </w:p>
    <w:p w14:paraId="4C925E45" w14:textId="3649DA38" w:rsidR="00933093" w:rsidRPr="00933093" w:rsidRDefault="00933093" w:rsidP="00C80491">
      <w:pPr>
        <w:spacing w:line="240" w:lineRule="auto"/>
      </w:pPr>
      <w:r w:rsidRPr="00933093">
        <w:t xml:space="preserve">DAFF 2021, </w:t>
      </w:r>
      <w:hyperlink r:id="rId386" w:history="1">
        <w:r w:rsidRPr="00933093">
          <w:rPr>
            <w:rStyle w:val="Hyperlink"/>
          </w:rPr>
          <w:t>National Environmental Biosecurity Response Agreement - 2021</w:t>
        </w:r>
      </w:hyperlink>
      <w:r w:rsidRPr="00933093">
        <w:t>, Department of Agriculture, Fisheries and Forestry, Canberra, accessed 1 February 2024.</w:t>
      </w:r>
    </w:p>
    <w:p w14:paraId="7430A8BD" w14:textId="6DD59BB9" w:rsidR="00933093" w:rsidRDefault="00933093" w:rsidP="00C80491">
      <w:pPr>
        <w:spacing w:line="240" w:lineRule="auto"/>
      </w:pPr>
      <w:r>
        <w:t xml:space="preserve">DAFF 2022a, </w:t>
      </w:r>
      <w:hyperlink r:id="rId387" w:history="1">
        <w:r w:rsidRPr="00933093">
          <w:rPr>
            <w:rStyle w:val="Hyperlink"/>
          </w:rPr>
          <w:t>Australian aquatic veterinary emergency plan (AQUAVETPLAN) for decontamination (version 2.0)</w:t>
        </w:r>
      </w:hyperlink>
      <w:r>
        <w:t>, Department of Agriculture, Fisheries and Forestry, Canberra, accessed 22 July 2024.</w:t>
      </w:r>
    </w:p>
    <w:p w14:paraId="59D416E2" w14:textId="189AA072" w:rsidR="00933093" w:rsidRPr="00B95B90" w:rsidRDefault="00933093" w:rsidP="00C80491">
      <w:pPr>
        <w:spacing w:line="240" w:lineRule="auto"/>
      </w:pPr>
      <w:r>
        <w:t xml:space="preserve">DAFF 2022b, </w:t>
      </w:r>
      <w:hyperlink r:id="rId388" w:history="1">
        <w:r w:rsidRPr="00933093">
          <w:rPr>
            <w:rStyle w:val="Hyperlink"/>
          </w:rPr>
          <w:t>Australian aquatic veterinary emergency plan (AQUAVETPLAN) for disposal (version 3.0)</w:t>
        </w:r>
      </w:hyperlink>
      <w:r>
        <w:t>, Department of Agriculture, Fisheries and Forestry, Canberra, accessed 22 July 2024.</w:t>
      </w:r>
    </w:p>
    <w:p w14:paraId="0C813AA8" w14:textId="230FA0D5" w:rsidR="006939E1" w:rsidRPr="00933093" w:rsidRDefault="00B5740F" w:rsidP="00C80491">
      <w:pPr>
        <w:pStyle w:val="EndNoteBibliography"/>
        <w:rPr>
          <w:noProof w:val="0"/>
          <w:lang w:val="en-AU"/>
        </w:rPr>
      </w:pPr>
      <w:r w:rsidRPr="00933093">
        <w:rPr>
          <w:noProof w:val="0"/>
          <w:lang w:val="en-AU"/>
        </w:rPr>
        <w:t xml:space="preserve">da Silva, </w:t>
      </w:r>
      <w:proofErr w:type="spellStart"/>
      <w:r w:rsidRPr="00933093">
        <w:rPr>
          <w:noProof w:val="0"/>
          <w:lang w:val="en-AU"/>
        </w:rPr>
        <w:t>PcM</w:t>
      </w:r>
      <w:proofErr w:type="spellEnd"/>
      <w:r w:rsidRPr="00933093">
        <w:rPr>
          <w:noProof w:val="0"/>
          <w:lang w:val="en-AU"/>
        </w:rPr>
        <w:t xml:space="preserve">, Magalhães, ARM &amp; Barracco, MA 2002, </w:t>
      </w:r>
      <w:hyperlink r:id="rId389" w:history="1">
        <w:r w:rsidRPr="00933093">
          <w:rPr>
            <w:rStyle w:val="Hyperlink"/>
            <w:noProof w:val="0"/>
            <w:lang w:val="en-AU"/>
          </w:rPr>
          <w:t xml:space="preserve">Effects of </w:t>
        </w:r>
        <w:r w:rsidRPr="00933093">
          <w:rPr>
            <w:rStyle w:val="Hyperlink"/>
            <w:i/>
            <w:iCs/>
            <w:noProof w:val="0"/>
            <w:lang w:val="en-AU"/>
          </w:rPr>
          <w:t>Bucephalus</w:t>
        </w:r>
        <w:r w:rsidRPr="00933093">
          <w:rPr>
            <w:rStyle w:val="Hyperlink"/>
            <w:noProof w:val="0"/>
            <w:lang w:val="en-AU"/>
          </w:rPr>
          <w:t xml:space="preserve"> sp. (Trematoda: </w:t>
        </w:r>
        <w:proofErr w:type="spellStart"/>
        <w:r w:rsidRPr="00933093">
          <w:rPr>
            <w:rStyle w:val="Hyperlink"/>
            <w:noProof w:val="0"/>
            <w:lang w:val="en-AU"/>
          </w:rPr>
          <w:t>Bucephalidae</w:t>
        </w:r>
        <w:proofErr w:type="spellEnd"/>
        <w:r w:rsidRPr="00933093">
          <w:rPr>
            <w:rStyle w:val="Hyperlink"/>
            <w:noProof w:val="0"/>
            <w:lang w:val="en-AU"/>
          </w:rPr>
          <w:t xml:space="preserve">) on </w:t>
        </w:r>
        <w:r w:rsidRPr="00933093">
          <w:rPr>
            <w:rStyle w:val="Hyperlink"/>
            <w:i/>
            <w:iCs/>
            <w:noProof w:val="0"/>
            <w:lang w:val="en-AU"/>
          </w:rPr>
          <w:t xml:space="preserve">Perna </w:t>
        </w:r>
        <w:proofErr w:type="spellStart"/>
        <w:r w:rsidRPr="00933093">
          <w:rPr>
            <w:rStyle w:val="Hyperlink"/>
            <w:i/>
            <w:iCs/>
            <w:noProof w:val="0"/>
            <w:lang w:val="en-AU"/>
          </w:rPr>
          <w:t>perna</w:t>
        </w:r>
        <w:proofErr w:type="spellEnd"/>
        <w:r w:rsidRPr="00933093">
          <w:rPr>
            <w:rStyle w:val="Hyperlink"/>
            <w:noProof w:val="0"/>
            <w:lang w:val="en-AU"/>
          </w:rPr>
          <w:t xml:space="preserve"> mussels from a culture station in </w:t>
        </w:r>
        <w:proofErr w:type="spellStart"/>
        <w:r w:rsidRPr="00933093">
          <w:rPr>
            <w:rStyle w:val="Hyperlink"/>
            <w:noProof w:val="0"/>
            <w:lang w:val="en-AU"/>
          </w:rPr>
          <w:t>Ratones</w:t>
        </w:r>
        <w:proofErr w:type="spellEnd"/>
        <w:r w:rsidRPr="00933093">
          <w:rPr>
            <w:rStyle w:val="Hyperlink"/>
            <w:noProof w:val="0"/>
            <w:lang w:val="en-AU"/>
          </w:rPr>
          <w:t xml:space="preserve"> Grande Island, Brazil</w:t>
        </w:r>
      </w:hyperlink>
      <w:r w:rsidRPr="00933093">
        <w:rPr>
          <w:noProof w:val="0"/>
          <w:lang w:val="en-AU"/>
        </w:rPr>
        <w:t xml:space="preserve">, </w:t>
      </w:r>
      <w:r w:rsidRPr="00933093">
        <w:rPr>
          <w:i/>
          <w:noProof w:val="0"/>
          <w:lang w:val="en-AU"/>
        </w:rPr>
        <w:t>Journal of Invertebrate Pathology</w:t>
      </w:r>
      <w:r w:rsidRPr="00933093">
        <w:rPr>
          <w:noProof w:val="0"/>
          <w:lang w:val="en-AU"/>
        </w:rPr>
        <w:t>, vol. 79, no. 3, pp. 154-62</w:t>
      </w:r>
      <w:r w:rsidR="00933093" w:rsidRPr="00933093">
        <w:rPr>
          <w:noProof w:val="0"/>
          <w:lang w:val="en-AU"/>
        </w:rPr>
        <w:t>, DOI: 10.1016/S0022-2011(02)00026-5.</w:t>
      </w:r>
    </w:p>
    <w:p w14:paraId="168AD57B" w14:textId="6E094D06" w:rsidR="006939E1" w:rsidRPr="00933093" w:rsidRDefault="00B5740F" w:rsidP="00C80491">
      <w:pPr>
        <w:pStyle w:val="EndNoteBibliography"/>
        <w:rPr>
          <w:noProof w:val="0"/>
          <w:lang w:val="en-AU"/>
        </w:rPr>
      </w:pPr>
      <w:r w:rsidRPr="00933093">
        <w:rPr>
          <w:noProof w:val="0"/>
          <w:lang w:val="en-AU"/>
        </w:rPr>
        <w:t xml:space="preserve">Dann, AL, Ellard, K, Grove, SJ &amp; Willan, RC 2020, </w:t>
      </w:r>
      <w:hyperlink r:id="rId390" w:history="1">
        <w:r w:rsidRPr="00933093">
          <w:rPr>
            <w:rStyle w:val="Hyperlink"/>
            <w:noProof w:val="0"/>
            <w:lang w:val="en-AU"/>
          </w:rPr>
          <w:t xml:space="preserve">Genetic confirmation of </w:t>
        </w:r>
        <w:r w:rsidRPr="00933093">
          <w:rPr>
            <w:rStyle w:val="Hyperlink"/>
            <w:i/>
            <w:noProof w:val="0"/>
            <w:lang w:val="en-AU"/>
          </w:rPr>
          <w:t xml:space="preserve">Mya japonica </w:t>
        </w:r>
        <w:r w:rsidRPr="00933093">
          <w:rPr>
            <w:rStyle w:val="Hyperlink"/>
            <w:noProof w:val="0"/>
            <w:lang w:val="en-AU"/>
          </w:rPr>
          <w:t xml:space="preserve">Jay, 1857 (Bivalvia: </w:t>
        </w:r>
        <w:proofErr w:type="spellStart"/>
        <w:r w:rsidRPr="00933093">
          <w:rPr>
            <w:rStyle w:val="Hyperlink"/>
            <w:noProof w:val="0"/>
            <w:lang w:val="en-AU"/>
          </w:rPr>
          <w:t>Myidae</w:t>
        </w:r>
        <w:proofErr w:type="spellEnd"/>
        <w:r w:rsidRPr="00933093">
          <w:rPr>
            <w:rStyle w:val="Hyperlink"/>
            <w:noProof w:val="0"/>
            <w:lang w:val="en-AU"/>
          </w:rPr>
          <w:t xml:space="preserve">) in Tasmania, Australia: first record of any species of </w:t>
        </w:r>
        <w:r w:rsidRPr="00933093">
          <w:rPr>
            <w:rStyle w:val="Hyperlink"/>
            <w:i/>
            <w:noProof w:val="0"/>
            <w:lang w:val="en-AU"/>
          </w:rPr>
          <w:t>Mya</w:t>
        </w:r>
        <w:r w:rsidRPr="00933093">
          <w:rPr>
            <w:rStyle w:val="Hyperlink"/>
            <w:noProof w:val="0"/>
            <w:lang w:val="en-AU"/>
          </w:rPr>
          <w:t xml:space="preserve"> in the southern hemisphere</w:t>
        </w:r>
      </w:hyperlink>
      <w:r w:rsidRPr="00933093">
        <w:rPr>
          <w:noProof w:val="0"/>
          <w:lang w:val="en-AU"/>
        </w:rPr>
        <w:t xml:space="preserve">, </w:t>
      </w:r>
      <w:proofErr w:type="spellStart"/>
      <w:r w:rsidRPr="00933093">
        <w:rPr>
          <w:i/>
          <w:noProof w:val="0"/>
          <w:lang w:val="en-AU"/>
        </w:rPr>
        <w:t>BioInvasions</w:t>
      </w:r>
      <w:proofErr w:type="spellEnd"/>
      <w:r w:rsidRPr="00933093">
        <w:rPr>
          <w:i/>
          <w:noProof w:val="0"/>
          <w:lang w:val="en-AU"/>
        </w:rPr>
        <w:t xml:space="preserve"> Records</w:t>
      </w:r>
      <w:r w:rsidRPr="00933093">
        <w:rPr>
          <w:noProof w:val="0"/>
          <w:lang w:val="en-AU"/>
        </w:rPr>
        <w:t>, vol. 9, no. 1, pp. 102-8</w:t>
      </w:r>
      <w:r w:rsidR="00933093">
        <w:rPr>
          <w:noProof w:val="0"/>
          <w:lang w:val="en-AU"/>
        </w:rPr>
        <w:t xml:space="preserve">, DOI: </w:t>
      </w:r>
      <w:r w:rsidR="00933093" w:rsidRPr="00933093">
        <w:rPr>
          <w:noProof w:val="0"/>
          <w:lang w:val="en-AU"/>
        </w:rPr>
        <w:t>10.3391/bir.2020.9.1.14</w:t>
      </w:r>
      <w:r w:rsidR="00933093">
        <w:rPr>
          <w:noProof w:val="0"/>
          <w:lang w:val="en-AU"/>
        </w:rPr>
        <w:t>.</w:t>
      </w:r>
    </w:p>
    <w:p w14:paraId="60CBCF53" w14:textId="3A4E5A5B" w:rsidR="006939E1" w:rsidRDefault="00B5740F" w:rsidP="00C80491">
      <w:pPr>
        <w:pStyle w:val="EndNoteBibliography"/>
        <w:rPr>
          <w:noProof w:val="0"/>
          <w:lang w:val="en-AU"/>
        </w:rPr>
      </w:pPr>
      <w:r w:rsidRPr="00933093">
        <w:rPr>
          <w:noProof w:val="0"/>
          <w:lang w:val="en-AU"/>
        </w:rPr>
        <w:t xml:space="preserve">Darling, JA &amp; Mahon, AR 2011, </w:t>
      </w:r>
      <w:hyperlink r:id="rId391" w:history="1">
        <w:r w:rsidRPr="00933093">
          <w:rPr>
            <w:rStyle w:val="Hyperlink"/>
            <w:noProof w:val="0"/>
            <w:lang w:val="en-AU"/>
          </w:rPr>
          <w:t>From molecules to management: adopting DNA-based methods for monitoring biological invasions in aquatic environments</w:t>
        </w:r>
      </w:hyperlink>
      <w:r w:rsidRPr="00933093">
        <w:rPr>
          <w:noProof w:val="0"/>
          <w:lang w:val="en-AU"/>
        </w:rPr>
        <w:t xml:space="preserve">, </w:t>
      </w:r>
      <w:r w:rsidRPr="00933093">
        <w:rPr>
          <w:i/>
          <w:noProof w:val="0"/>
          <w:lang w:val="en-AU"/>
        </w:rPr>
        <w:t xml:space="preserve">Environmental </w:t>
      </w:r>
      <w:r w:rsidR="00C011B7" w:rsidRPr="00933093">
        <w:rPr>
          <w:i/>
          <w:noProof w:val="0"/>
          <w:lang w:val="en-AU"/>
        </w:rPr>
        <w:t>R</w:t>
      </w:r>
      <w:r w:rsidRPr="00933093">
        <w:rPr>
          <w:i/>
          <w:noProof w:val="0"/>
          <w:lang w:val="en-AU"/>
        </w:rPr>
        <w:t>esearch</w:t>
      </w:r>
      <w:r w:rsidRPr="00933093">
        <w:rPr>
          <w:noProof w:val="0"/>
          <w:lang w:val="en-AU"/>
        </w:rPr>
        <w:t>, vol. 111, no. 7, pp. 978-88</w:t>
      </w:r>
      <w:r w:rsidR="00933093">
        <w:rPr>
          <w:noProof w:val="0"/>
          <w:lang w:val="en-AU"/>
        </w:rPr>
        <w:t xml:space="preserve">, DOI: </w:t>
      </w:r>
      <w:r w:rsidR="00933093" w:rsidRPr="00933093">
        <w:rPr>
          <w:noProof w:val="0"/>
          <w:lang w:val="en-AU"/>
        </w:rPr>
        <w:t>10.1016/j.envres.2011.02.001</w:t>
      </w:r>
      <w:r w:rsidR="00933093">
        <w:rPr>
          <w:noProof w:val="0"/>
          <w:lang w:val="en-AU"/>
        </w:rPr>
        <w:t>.</w:t>
      </w:r>
    </w:p>
    <w:p w14:paraId="73774225" w14:textId="77777777" w:rsidR="00933093" w:rsidRDefault="00933093" w:rsidP="00C80491">
      <w:pPr>
        <w:spacing w:line="240" w:lineRule="auto"/>
        <w:rPr>
          <w:lang w:eastAsia="ja-JP"/>
        </w:rPr>
      </w:pPr>
      <w:r w:rsidRPr="00FE7354">
        <w:rPr>
          <w:lang w:eastAsia="ja-JP"/>
        </w:rPr>
        <w:t>Darling</w:t>
      </w:r>
      <w:r w:rsidRPr="00581E99">
        <w:rPr>
          <w:lang w:eastAsia="ja-JP"/>
        </w:rPr>
        <w:t>,</w:t>
      </w:r>
      <w:r w:rsidRPr="00FE7354">
        <w:rPr>
          <w:lang w:eastAsia="ja-JP"/>
        </w:rPr>
        <w:t xml:space="preserve"> JA, Galil</w:t>
      </w:r>
      <w:r w:rsidRPr="00581E99">
        <w:rPr>
          <w:lang w:eastAsia="ja-JP"/>
        </w:rPr>
        <w:t>,</w:t>
      </w:r>
      <w:r w:rsidRPr="00FE7354">
        <w:rPr>
          <w:lang w:eastAsia="ja-JP"/>
        </w:rPr>
        <w:t xml:space="preserve"> BS, Carvalho</w:t>
      </w:r>
      <w:r w:rsidRPr="00581E99">
        <w:rPr>
          <w:lang w:eastAsia="ja-JP"/>
        </w:rPr>
        <w:t>,</w:t>
      </w:r>
      <w:r w:rsidRPr="00FE7354">
        <w:rPr>
          <w:lang w:eastAsia="ja-JP"/>
        </w:rPr>
        <w:t xml:space="preserve"> GR, Rius</w:t>
      </w:r>
      <w:r w:rsidRPr="00581E99">
        <w:rPr>
          <w:lang w:eastAsia="ja-JP"/>
        </w:rPr>
        <w:t>,</w:t>
      </w:r>
      <w:r w:rsidRPr="00FE7354">
        <w:rPr>
          <w:lang w:eastAsia="ja-JP"/>
        </w:rPr>
        <w:t xml:space="preserve"> M, Viard</w:t>
      </w:r>
      <w:r w:rsidRPr="00581E99">
        <w:rPr>
          <w:lang w:eastAsia="ja-JP"/>
        </w:rPr>
        <w:t>,</w:t>
      </w:r>
      <w:r w:rsidRPr="00FE7354">
        <w:rPr>
          <w:lang w:eastAsia="ja-JP"/>
        </w:rPr>
        <w:t xml:space="preserve"> F &amp; Piraino</w:t>
      </w:r>
      <w:r w:rsidRPr="00581E99">
        <w:rPr>
          <w:lang w:eastAsia="ja-JP"/>
        </w:rPr>
        <w:t>,</w:t>
      </w:r>
      <w:r w:rsidRPr="00FE7354">
        <w:rPr>
          <w:lang w:eastAsia="ja-JP"/>
        </w:rPr>
        <w:t xml:space="preserve"> S 2017, </w:t>
      </w:r>
      <w:hyperlink r:id="rId392" w:history="1">
        <w:r w:rsidRPr="00581E99">
          <w:rPr>
            <w:rStyle w:val="Hyperlink"/>
          </w:rPr>
          <w:t>Recommendations for developing and applying genetic tools to assess and manage biological invasions in marine ecosystems</w:t>
        </w:r>
      </w:hyperlink>
      <w:r w:rsidRPr="00581E99">
        <w:rPr>
          <w:lang w:eastAsia="ja-JP"/>
        </w:rPr>
        <w:t>,</w:t>
      </w:r>
      <w:r w:rsidRPr="00FE7354">
        <w:rPr>
          <w:lang w:eastAsia="ja-JP"/>
        </w:rPr>
        <w:t xml:space="preserve"> </w:t>
      </w:r>
      <w:r w:rsidRPr="00581E99">
        <w:rPr>
          <w:i/>
          <w:iCs/>
          <w:lang w:eastAsia="ja-JP"/>
        </w:rPr>
        <w:t>Marine Policy</w:t>
      </w:r>
      <w:r w:rsidRPr="00581E99">
        <w:rPr>
          <w:lang w:eastAsia="ja-JP"/>
        </w:rPr>
        <w:t xml:space="preserve">, </w:t>
      </w:r>
      <w:r w:rsidRPr="00FE7354">
        <w:rPr>
          <w:lang w:eastAsia="ja-JP"/>
        </w:rPr>
        <w:t>vol. 85, pp. 54</w:t>
      </w:r>
      <w:r w:rsidRPr="00FE7354">
        <w:t>–</w:t>
      </w:r>
      <w:r w:rsidRPr="00FE7354">
        <w:rPr>
          <w:lang w:eastAsia="ja-JP"/>
        </w:rPr>
        <w:t>64</w:t>
      </w:r>
      <w:r w:rsidRPr="00581E99">
        <w:rPr>
          <w:lang w:eastAsia="ja-JP"/>
        </w:rPr>
        <w:t xml:space="preserve">, DOI: </w:t>
      </w:r>
      <w:r w:rsidRPr="00FE7354">
        <w:rPr>
          <w:lang w:eastAsia="ja-JP"/>
        </w:rPr>
        <w:t>10.1016/j.marpol.2017.08.014.</w:t>
      </w:r>
    </w:p>
    <w:p w14:paraId="4183AC56" w14:textId="4241A94A" w:rsidR="00933093" w:rsidRPr="00933093" w:rsidRDefault="00933093" w:rsidP="00C80491">
      <w:pPr>
        <w:pStyle w:val="EndNoteBibliography"/>
        <w:rPr>
          <w:noProof w:val="0"/>
          <w:lang w:val="en-AU"/>
        </w:rPr>
      </w:pPr>
      <w:r w:rsidRPr="00933093">
        <w:rPr>
          <w:noProof w:val="0"/>
          <w:lang w:val="en-AU"/>
        </w:rPr>
        <w:t xml:space="preserve">Darling, JA &amp; Frederick, RM 2018, </w:t>
      </w:r>
      <w:hyperlink r:id="rId393" w:history="1">
        <w:r w:rsidRPr="00933093">
          <w:rPr>
            <w:rStyle w:val="Hyperlink"/>
            <w:noProof w:val="0"/>
            <w:lang w:val="en-AU"/>
          </w:rPr>
          <w:t>Nucleic acids-based tools for ballast water surveillance, monitoring, and research</w:t>
        </w:r>
      </w:hyperlink>
      <w:r w:rsidRPr="00933093">
        <w:rPr>
          <w:noProof w:val="0"/>
          <w:lang w:val="en-AU"/>
        </w:rPr>
        <w:t xml:space="preserve">, </w:t>
      </w:r>
      <w:r w:rsidRPr="00933093">
        <w:rPr>
          <w:i/>
          <w:noProof w:val="0"/>
          <w:lang w:val="en-AU"/>
        </w:rPr>
        <w:t>Journal of Sea Research</w:t>
      </w:r>
      <w:r w:rsidRPr="00933093">
        <w:rPr>
          <w:noProof w:val="0"/>
          <w:lang w:val="en-AU"/>
        </w:rPr>
        <w:t>, vol. 133, pp. 43-52</w:t>
      </w:r>
      <w:r>
        <w:rPr>
          <w:noProof w:val="0"/>
          <w:lang w:val="en-AU"/>
        </w:rPr>
        <w:t xml:space="preserve">, DOI: </w:t>
      </w:r>
      <w:r w:rsidRPr="00933093">
        <w:rPr>
          <w:noProof w:val="0"/>
          <w:lang w:val="en-AU"/>
        </w:rPr>
        <w:t>10.1016/j.seares.2017.02.005</w:t>
      </w:r>
      <w:r>
        <w:rPr>
          <w:noProof w:val="0"/>
          <w:lang w:val="en-AU"/>
        </w:rPr>
        <w:t xml:space="preserve">. </w:t>
      </w:r>
    </w:p>
    <w:p w14:paraId="2B80B762" w14:textId="216A9080" w:rsidR="006939E1" w:rsidRPr="00933093" w:rsidRDefault="00B5740F" w:rsidP="00C80491">
      <w:pPr>
        <w:pStyle w:val="EndNoteBibliography"/>
        <w:rPr>
          <w:noProof w:val="0"/>
          <w:lang w:val="en-AU"/>
        </w:rPr>
      </w:pPr>
      <w:r w:rsidRPr="00933093">
        <w:rPr>
          <w:noProof w:val="0"/>
          <w:lang w:val="en-AU"/>
        </w:rPr>
        <w:t xml:space="preserve">Davidson, IC, McCann, LD, </w:t>
      </w:r>
      <w:proofErr w:type="spellStart"/>
      <w:r w:rsidRPr="00933093">
        <w:rPr>
          <w:noProof w:val="0"/>
          <w:lang w:val="en-AU"/>
        </w:rPr>
        <w:t>Fofonoff</w:t>
      </w:r>
      <w:proofErr w:type="spellEnd"/>
      <w:r w:rsidRPr="00933093">
        <w:rPr>
          <w:noProof w:val="0"/>
          <w:lang w:val="en-AU"/>
        </w:rPr>
        <w:t xml:space="preserve">, PW, Sytsma, MD &amp; Ruiz, GM 2008, </w:t>
      </w:r>
      <w:hyperlink r:id="rId394" w:history="1">
        <w:r w:rsidRPr="00933093">
          <w:rPr>
            <w:rStyle w:val="Hyperlink"/>
            <w:noProof w:val="0"/>
            <w:lang w:val="en-AU"/>
          </w:rPr>
          <w:t>The potential for hull‐mediated species transfers by obsolete ships on their final voyages</w:t>
        </w:r>
      </w:hyperlink>
      <w:r w:rsidRPr="00933093">
        <w:rPr>
          <w:noProof w:val="0"/>
          <w:lang w:val="en-AU"/>
        </w:rPr>
        <w:t xml:space="preserve">, </w:t>
      </w:r>
      <w:r w:rsidRPr="00933093">
        <w:rPr>
          <w:i/>
          <w:noProof w:val="0"/>
          <w:lang w:val="en-AU"/>
        </w:rPr>
        <w:t>Diversity and Distributions</w:t>
      </w:r>
      <w:r w:rsidRPr="00933093">
        <w:rPr>
          <w:noProof w:val="0"/>
          <w:lang w:val="en-AU"/>
        </w:rPr>
        <w:t>, vol. 14, no. 3, pp. 518-29</w:t>
      </w:r>
      <w:r w:rsidR="00933093">
        <w:rPr>
          <w:noProof w:val="0"/>
          <w:lang w:val="en-AU"/>
        </w:rPr>
        <w:t xml:space="preserve">, DOI: </w:t>
      </w:r>
      <w:r w:rsidR="00933093" w:rsidRPr="00933093">
        <w:rPr>
          <w:noProof w:val="0"/>
          <w:lang w:val="en-AU"/>
        </w:rPr>
        <w:t>10.1111/j.1472-4642.2008.00465.x</w:t>
      </w:r>
      <w:r w:rsidR="00933093">
        <w:rPr>
          <w:noProof w:val="0"/>
          <w:lang w:val="en-AU"/>
        </w:rPr>
        <w:t>.</w:t>
      </w:r>
    </w:p>
    <w:p w14:paraId="0AFF171B" w14:textId="63F02188" w:rsidR="00FA1E54" w:rsidRDefault="00FA1E54" w:rsidP="00C80491">
      <w:pPr>
        <w:pStyle w:val="EndNoteBibliography"/>
        <w:rPr>
          <w:noProof w:val="0"/>
          <w:lang w:val="en-AU"/>
        </w:rPr>
      </w:pPr>
      <w:bookmarkStart w:id="803" w:name="_Hlk187312528"/>
      <w:r w:rsidRPr="00846769">
        <w:rPr>
          <w:noProof w:val="0"/>
          <w:lang w:val="en-AU"/>
        </w:rPr>
        <w:t xml:space="preserve">Davidson, IC &amp; </w:t>
      </w:r>
      <w:proofErr w:type="spellStart"/>
      <w:r w:rsidRPr="00846769">
        <w:rPr>
          <w:noProof w:val="0"/>
          <w:lang w:val="en-AU"/>
        </w:rPr>
        <w:t>Simkanin</w:t>
      </w:r>
      <w:proofErr w:type="spellEnd"/>
      <w:r w:rsidRPr="00846769">
        <w:rPr>
          <w:noProof w:val="0"/>
          <w:lang w:val="en-AU"/>
        </w:rPr>
        <w:t xml:space="preserve"> C 2012, </w:t>
      </w:r>
      <w:hyperlink r:id="rId395" w:history="1">
        <w:r w:rsidRPr="00846769">
          <w:rPr>
            <w:rStyle w:val="Hyperlink"/>
            <w:noProof w:val="0"/>
            <w:lang w:val="en-AU"/>
          </w:rPr>
          <w:t>The biology of ballast water 25 years later</w:t>
        </w:r>
      </w:hyperlink>
      <w:r w:rsidRPr="00846769">
        <w:rPr>
          <w:noProof w:val="0"/>
          <w:lang w:val="en-AU"/>
        </w:rPr>
        <w:t xml:space="preserve">, </w:t>
      </w:r>
      <w:r w:rsidRPr="00846769">
        <w:rPr>
          <w:i/>
          <w:iCs/>
          <w:noProof w:val="0"/>
          <w:lang w:val="en-AU"/>
        </w:rPr>
        <w:t xml:space="preserve">Biological Invasions, </w:t>
      </w:r>
      <w:r w:rsidRPr="00846769">
        <w:rPr>
          <w:noProof w:val="0"/>
          <w:lang w:val="en-AU"/>
        </w:rPr>
        <w:t>vol. 14, pp. 9-13, DOI: 10.1007/s10530-011-0056-1.</w:t>
      </w:r>
    </w:p>
    <w:p w14:paraId="43A97DF8" w14:textId="6D711FAC" w:rsidR="0071389C" w:rsidRPr="00A04E26" w:rsidRDefault="0071389C" w:rsidP="00A04E26">
      <w:pPr>
        <w:pStyle w:val="EndNoteBibliography"/>
        <w:ind w:left="11" w:hanging="11"/>
      </w:pPr>
      <w:r w:rsidRPr="00D50E1C">
        <w:lastRenderedPageBreak/>
        <w:t xml:space="preserve">Deibel, D, McKenzie, CH, Rise, ML, Thompson, RJ, Lowen, JB, Ma, KCK, Applin, G, O'Donnell, R, Wells, T, Hall, JR, Sargent, P &amp; Pilgrim, BB 2014, </w:t>
      </w:r>
      <w:hyperlink r:id="rId396" w:history="1">
        <w:r w:rsidRPr="00B67662">
          <w:rPr>
            <w:rStyle w:val="Hyperlink"/>
          </w:rPr>
          <w:t>Recommendations for eradication and control of non-indigenous, colonial, ascidian tunicates in Newfoundland harbours.</w:t>
        </w:r>
      </w:hyperlink>
      <w:r w:rsidRPr="00D50E1C">
        <w:rPr>
          <w:i/>
        </w:rPr>
        <w:t xml:space="preserve"> Canadian Manuscript Report of Fisheries and Aquatic Sciences</w:t>
      </w:r>
      <w:r w:rsidRPr="00D50E1C">
        <w:t>, pp. 72, Report number: 3039, Fisheries and Oceans Canada, St. John's.</w:t>
      </w:r>
    </w:p>
    <w:bookmarkEnd w:id="803"/>
    <w:p w14:paraId="7CD8F40F" w14:textId="78C5A915" w:rsidR="00933093" w:rsidRPr="00846769" w:rsidRDefault="00933093" w:rsidP="00C80491">
      <w:pPr>
        <w:pStyle w:val="EndNoteBibliography"/>
        <w:rPr>
          <w:noProof w:val="0"/>
          <w:lang w:val="en-AU"/>
        </w:rPr>
      </w:pPr>
      <w:r w:rsidRPr="00933093">
        <w:rPr>
          <w:noProof w:val="0"/>
          <w:lang w:val="en-AU"/>
        </w:rPr>
        <w:t xml:space="preserve">de Kantzow, MC, Hick, PM, </w:t>
      </w:r>
      <w:r>
        <w:rPr>
          <w:noProof w:val="0"/>
          <w:lang w:val="en-AU"/>
        </w:rPr>
        <w:t>Becker, JA</w:t>
      </w:r>
      <w:r w:rsidRPr="00933093">
        <w:rPr>
          <w:noProof w:val="0"/>
          <w:lang w:val="en-AU"/>
        </w:rPr>
        <w:t xml:space="preserve"> &amp; Whittington, RJ 201</w:t>
      </w:r>
      <w:r>
        <w:rPr>
          <w:noProof w:val="0"/>
          <w:lang w:val="en-AU"/>
        </w:rPr>
        <w:t>6</w:t>
      </w:r>
      <w:r w:rsidRPr="00933093">
        <w:rPr>
          <w:noProof w:val="0"/>
          <w:lang w:val="en-AU"/>
        </w:rPr>
        <w:t xml:space="preserve">, </w:t>
      </w:r>
      <w:hyperlink r:id="rId397" w:history="1">
        <w:r w:rsidRPr="00933093">
          <w:rPr>
            <w:rStyle w:val="Hyperlink"/>
            <w:noProof w:val="0"/>
            <w:lang w:val="en-AU"/>
          </w:rPr>
          <w:t xml:space="preserve">Effect of water temperature on mortality of Pacific oysters </w:t>
        </w:r>
        <w:r w:rsidRPr="00933093">
          <w:rPr>
            <w:rStyle w:val="Hyperlink"/>
            <w:i/>
            <w:iCs/>
            <w:noProof w:val="0"/>
            <w:lang w:val="en-AU"/>
          </w:rPr>
          <w:t xml:space="preserve">Crassostrea gigas </w:t>
        </w:r>
        <w:r w:rsidRPr="00933093">
          <w:rPr>
            <w:rStyle w:val="Hyperlink"/>
            <w:noProof w:val="0"/>
            <w:lang w:val="en-AU"/>
          </w:rPr>
          <w:t xml:space="preserve">associated with microvariant </w:t>
        </w:r>
        <w:proofErr w:type="spellStart"/>
        <w:r w:rsidRPr="00933093">
          <w:rPr>
            <w:rStyle w:val="Hyperlink"/>
            <w:noProof w:val="0"/>
            <w:lang w:val="en-AU"/>
          </w:rPr>
          <w:t>ostreid</w:t>
        </w:r>
        <w:proofErr w:type="spellEnd"/>
        <w:r w:rsidRPr="00933093">
          <w:rPr>
            <w:rStyle w:val="Hyperlink"/>
            <w:noProof w:val="0"/>
            <w:lang w:val="en-AU"/>
          </w:rPr>
          <w:t xml:space="preserve"> herpesvirus 1 (OsHV-1 µVar)</w:t>
        </w:r>
      </w:hyperlink>
      <w:r w:rsidRPr="00933093">
        <w:rPr>
          <w:noProof w:val="0"/>
          <w:lang w:val="en-AU"/>
        </w:rPr>
        <w:t xml:space="preserve">, </w:t>
      </w:r>
      <w:r w:rsidRPr="00933093">
        <w:rPr>
          <w:i/>
          <w:noProof w:val="0"/>
          <w:lang w:val="en-AU"/>
        </w:rPr>
        <w:t>Aquaculture</w:t>
      </w:r>
      <w:r>
        <w:rPr>
          <w:i/>
          <w:noProof w:val="0"/>
          <w:lang w:val="en-AU"/>
        </w:rPr>
        <w:t xml:space="preserve"> Environment Interactions</w:t>
      </w:r>
      <w:r w:rsidRPr="00933093">
        <w:rPr>
          <w:noProof w:val="0"/>
          <w:lang w:val="en-AU"/>
        </w:rPr>
        <w:t xml:space="preserve">, vol. </w:t>
      </w:r>
      <w:r>
        <w:rPr>
          <w:noProof w:val="0"/>
          <w:lang w:val="en-AU"/>
        </w:rPr>
        <w:t>8</w:t>
      </w:r>
      <w:r w:rsidRPr="00933093">
        <w:rPr>
          <w:noProof w:val="0"/>
          <w:lang w:val="en-AU"/>
        </w:rPr>
        <w:t xml:space="preserve">, pp. </w:t>
      </w:r>
      <w:r>
        <w:rPr>
          <w:noProof w:val="0"/>
          <w:lang w:val="en-AU"/>
        </w:rPr>
        <w:t xml:space="preserve">419-28, DOI: </w:t>
      </w:r>
      <w:r w:rsidRPr="00933093">
        <w:rPr>
          <w:noProof w:val="0"/>
          <w:lang w:val="en-AU"/>
        </w:rPr>
        <w:t>10.3354/aei00186</w:t>
      </w:r>
    </w:p>
    <w:p w14:paraId="413DA4A1" w14:textId="59A8F2E2" w:rsidR="006939E1" w:rsidRDefault="00B5740F" w:rsidP="00C80491">
      <w:pPr>
        <w:pStyle w:val="EndNoteBibliography"/>
        <w:rPr>
          <w:noProof w:val="0"/>
          <w:lang w:val="en-AU"/>
        </w:rPr>
      </w:pPr>
      <w:r w:rsidRPr="00933093">
        <w:rPr>
          <w:noProof w:val="0"/>
          <w:lang w:val="en-AU"/>
        </w:rPr>
        <w:t xml:space="preserve">de Kantzow, MC, Hick, PM, Dhand, NK &amp; Whittington, RJ 2017, </w:t>
      </w:r>
      <w:hyperlink r:id="rId398" w:history="1">
        <w:r w:rsidRPr="00933093">
          <w:rPr>
            <w:rStyle w:val="Hyperlink"/>
            <w:noProof w:val="0"/>
            <w:lang w:val="en-AU"/>
          </w:rPr>
          <w:t xml:space="preserve">Risk factors for mortality during the first occurrence of Pacific Oyster Mortality Syndrome due to </w:t>
        </w:r>
        <w:proofErr w:type="spellStart"/>
        <w:r w:rsidRPr="00933093">
          <w:rPr>
            <w:rStyle w:val="Hyperlink"/>
            <w:noProof w:val="0"/>
            <w:lang w:val="en-AU"/>
          </w:rPr>
          <w:t>Ostreid</w:t>
        </w:r>
        <w:proofErr w:type="spellEnd"/>
        <w:r w:rsidRPr="00933093">
          <w:rPr>
            <w:rStyle w:val="Hyperlink"/>
            <w:noProof w:val="0"/>
            <w:lang w:val="en-AU"/>
          </w:rPr>
          <w:t xml:space="preserve"> herpesvirus–1 in Tasmania</w:t>
        </w:r>
      </w:hyperlink>
      <w:r w:rsidRPr="00933093">
        <w:rPr>
          <w:noProof w:val="0"/>
          <w:lang w:val="en-AU"/>
        </w:rPr>
        <w:t xml:space="preserve">, 2016, </w:t>
      </w:r>
      <w:r w:rsidRPr="00933093">
        <w:rPr>
          <w:i/>
          <w:noProof w:val="0"/>
          <w:lang w:val="en-AU"/>
        </w:rPr>
        <w:t>Aquaculture</w:t>
      </w:r>
      <w:r w:rsidRPr="00933093">
        <w:rPr>
          <w:noProof w:val="0"/>
          <w:lang w:val="en-AU"/>
        </w:rPr>
        <w:t>, vol. 468, pp. 328-36</w:t>
      </w:r>
      <w:r w:rsidR="00933093">
        <w:rPr>
          <w:noProof w:val="0"/>
          <w:lang w:val="en-AU"/>
        </w:rPr>
        <w:t xml:space="preserve">, DOI: </w:t>
      </w:r>
      <w:r w:rsidR="00933093" w:rsidRPr="00933093">
        <w:rPr>
          <w:noProof w:val="0"/>
          <w:lang w:val="en-AU"/>
        </w:rPr>
        <w:t>10.1016/j.aquaculture.2016.10.025</w:t>
      </w:r>
      <w:r w:rsidR="00933093">
        <w:rPr>
          <w:noProof w:val="0"/>
          <w:lang w:val="en-AU"/>
        </w:rPr>
        <w:t>.</w:t>
      </w:r>
    </w:p>
    <w:p w14:paraId="6B53AF31" w14:textId="79AF1798" w:rsidR="00237DD0" w:rsidRPr="00237DD0" w:rsidRDefault="00237DD0" w:rsidP="00237DD0">
      <w:pPr>
        <w:pStyle w:val="EndNoteBibliography"/>
      </w:pPr>
      <w:r>
        <w:rPr>
          <w:noProof w:val="0"/>
          <w:lang w:val="en-AU"/>
        </w:rPr>
        <w:t xml:space="preserve">de Messano, LVR, JEA, </w:t>
      </w:r>
      <w:r>
        <w:t xml:space="preserve">Gonçalves, Messano, HF, Campos, SHC &amp; Coutinho, R 2019, </w:t>
      </w:r>
      <w:hyperlink r:id="rId399" w:history="1">
        <w:r w:rsidRPr="00237DD0">
          <w:rPr>
            <w:rStyle w:val="Hyperlink"/>
          </w:rPr>
          <w:t xml:space="preserve">First report of the Asian green mussel </w:t>
        </w:r>
        <w:r w:rsidRPr="00237DD0">
          <w:rPr>
            <w:rStyle w:val="Hyperlink"/>
            <w:i/>
            <w:iCs/>
          </w:rPr>
          <w:t>Perna viridis</w:t>
        </w:r>
        <w:r w:rsidRPr="00237DD0">
          <w:rPr>
            <w:rStyle w:val="Hyperlink"/>
          </w:rPr>
          <w:t xml:space="preserve"> (Linnaeus, 1758) in Rio de Janeiro, Brazil: a new record for the southern Atlantic Ocean,</w:t>
        </w:r>
      </w:hyperlink>
      <w:r>
        <w:t xml:space="preserve"> </w:t>
      </w:r>
      <w:r>
        <w:rPr>
          <w:i/>
          <w:iCs/>
        </w:rPr>
        <w:t xml:space="preserve">BioInvasions Records, </w:t>
      </w:r>
      <w:r>
        <w:t xml:space="preserve">vol. 8, no. 3, pp. 653-660, DOI: </w:t>
      </w:r>
      <w:r w:rsidRPr="00237DD0">
        <w:t>10.3391/bir.2019.8.3.22</w:t>
      </w:r>
      <w:r>
        <w:t>.</w:t>
      </w:r>
    </w:p>
    <w:p w14:paraId="0B032D54" w14:textId="79C881D0" w:rsidR="002F0B1B" w:rsidRDefault="00237DD0" w:rsidP="00C80491">
      <w:pPr>
        <w:pStyle w:val="EndNoteBibliography"/>
        <w:rPr>
          <w:noProof w:val="0"/>
          <w:lang w:val="en-AU"/>
        </w:rPr>
      </w:pPr>
      <w:r>
        <w:rPr>
          <w:noProof w:val="0"/>
          <w:lang w:val="en-AU"/>
        </w:rPr>
        <w:t>d</w:t>
      </w:r>
      <w:r w:rsidR="00B5740F" w:rsidRPr="00933093">
        <w:rPr>
          <w:noProof w:val="0"/>
          <w:lang w:val="en-AU"/>
        </w:rPr>
        <w:t xml:space="preserve">e Noia, M, Telesca, L, </w:t>
      </w:r>
      <w:proofErr w:type="spellStart"/>
      <w:r w:rsidR="00B5740F" w:rsidRPr="00933093">
        <w:rPr>
          <w:noProof w:val="0"/>
          <w:lang w:val="en-AU"/>
        </w:rPr>
        <w:t>Vendrami</w:t>
      </w:r>
      <w:proofErr w:type="spellEnd"/>
      <w:r w:rsidR="00B5740F" w:rsidRPr="00933093">
        <w:rPr>
          <w:noProof w:val="0"/>
          <w:lang w:val="en-AU"/>
        </w:rPr>
        <w:t xml:space="preserve">, DL, Gokalp, HK, Charrier, G, Harper, EM &amp; Hoffman, JI 2020, </w:t>
      </w:r>
      <w:hyperlink r:id="rId400" w:history="1">
        <w:r w:rsidR="00B5740F" w:rsidRPr="00933093">
          <w:rPr>
            <w:rStyle w:val="Hyperlink"/>
            <w:noProof w:val="0"/>
            <w:lang w:val="en-AU"/>
          </w:rPr>
          <w:t xml:space="preserve">Population genetic structure is unrelated to shell shape, thickness and organic content in European populations of the soft-shell clam </w:t>
        </w:r>
        <w:r w:rsidR="00B5740F" w:rsidRPr="00933093">
          <w:rPr>
            <w:rStyle w:val="Hyperlink"/>
            <w:i/>
            <w:iCs/>
            <w:noProof w:val="0"/>
            <w:lang w:val="en-AU"/>
          </w:rPr>
          <w:t>Mya arenaria</w:t>
        </w:r>
      </w:hyperlink>
      <w:r w:rsidR="00B5740F" w:rsidRPr="00933093">
        <w:rPr>
          <w:noProof w:val="0"/>
          <w:lang w:val="en-AU"/>
        </w:rPr>
        <w:t xml:space="preserve">, </w:t>
      </w:r>
      <w:r w:rsidR="00B5740F" w:rsidRPr="00933093">
        <w:rPr>
          <w:i/>
          <w:noProof w:val="0"/>
          <w:lang w:val="en-AU"/>
        </w:rPr>
        <w:t>Genes</w:t>
      </w:r>
      <w:r w:rsidR="00B5740F" w:rsidRPr="00933093">
        <w:rPr>
          <w:noProof w:val="0"/>
          <w:lang w:val="en-AU"/>
        </w:rPr>
        <w:t>, vol. 11, no. 3, p. 298</w:t>
      </w:r>
      <w:r w:rsidR="00933093">
        <w:rPr>
          <w:noProof w:val="0"/>
          <w:lang w:val="en-AU"/>
        </w:rPr>
        <w:t xml:space="preserve">, DOI: </w:t>
      </w:r>
      <w:r w:rsidR="00933093" w:rsidRPr="00933093">
        <w:rPr>
          <w:noProof w:val="0"/>
          <w:lang w:val="en-AU"/>
        </w:rPr>
        <w:t>10.3390/genes11030298</w:t>
      </w:r>
      <w:r w:rsidR="00933093">
        <w:rPr>
          <w:noProof w:val="0"/>
          <w:lang w:val="en-AU"/>
        </w:rPr>
        <w:t xml:space="preserve">. </w:t>
      </w:r>
    </w:p>
    <w:p w14:paraId="0B5F94DE" w14:textId="77777777" w:rsidR="00527062" w:rsidRDefault="00246AE3" w:rsidP="00C80491">
      <w:pPr>
        <w:pStyle w:val="EndNoteBibliography"/>
        <w:rPr>
          <w:noProof w:val="0"/>
          <w:lang w:val="en-AU"/>
        </w:rPr>
      </w:pPr>
      <w:r>
        <w:rPr>
          <w:noProof w:val="0"/>
          <w:lang w:val="en-AU"/>
        </w:rPr>
        <w:t xml:space="preserve">Derwent Estuary Program 2008, </w:t>
      </w:r>
      <w:hyperlink r:id="rId401" w:history="1">
        <w:r w:rsidRPr="00246AE3">
          <w:rPr>
            <w:rStyle w:val="Hyperlink"/>
            <w:noProof w:val="0"/>
            <w:lang w:val="en-AU"/>
          </w:rPr>
          <w:t>Derwent Estuary introduced marine and intertidal species: Review of distribution, issues, recent actions and management options</w:t>
        </w:r>
      </w:hyperlink>
      <w:r>
        <w:rPr>
          <w:noProof w:val="0"/>
          <w:lang w:val="en-AU"/>
        </w:rPr>
        <w:t xml:space="preserve">, pp. 48, accessed on 23 July 2024. </w:t>
      </w:r>
    </w:p>
    <w:p w14:paraId="58B45694" w14:textId="29B917DF" w:rsidR="00246AE3" w:rsidRPr="00933093" w:rsidRDefault="00527062" w:rsidP="00C80491">
      <w:pPr>
        <w:pStyle w:val="EndNoteBibliography"/>
        <w:rPr>
          <w:noProof w:val="0"/>
          <w:lang w:val="en-AU"/>
        </w:rPr>
      </w:pPr>
      <w:bookmarkStart w:id="804" w:name="_Hlk188353931"/>
      <w:r>
        <w:rPr>
          <w:noProof w:val="0"/>
          <w:lang w:val="en-AU"/>
        </w:rPr>
        <w:t xml:space="preserve">Deveney, MR, </w:t>
      </w:r>
      <w:proofErr w:type="spellStart"/>
      <w:r>
        <w:rPr>
          <w:noProof w:val="0"/>
          <w:lang w:val="en-AU"/>
        </w:rPr>
        <w:t>Giblot-Ducray</w:t>
      </w:r>
      <w:proofErr w:type="spellEnd"/>
      <w:r>
        <w:rPr>
          <w:noProof w:val="0"/>
          <w:lang w:val="en-AU"/>
        </w:rPr>
        <w:t xml:space="preserve">, D &amp; Wiltshire, KH 2017, </w:t>
      </w:r>
      <w:hyperlink r:id="rId402" w:history="1">
        <w:r w:rsidRPr="00527062">
          <w:rPr>
            <w:rStyle w:val="Hyperlink"/>
            <w:noProof w:val="0"/>
            <w:lang w:val="en-AU"/>
          </w:rPr>
          <w:t>Marine pest testing methods: contributing to establishment of an Australian Testing Centre for Marine Pests</w:t>
        </w:r>
      </w:hyperlink>
      <w:r>
        <w:rPr>
          <w:noProof w:val="0"/>
          <w:lang w:val="en-AU"/>
        </w:rPr>
        <w:t xml:space="preserve">, </w:t>
      </w:r>
      <w:r w:rsidRPr="00DD01E4">
        <w:t>South Australia Research and Development Institute (Aquatic Sciences), Adelaide. SARDI Publication No. F20</w:t>
      </w:r>
      <w:r>
        <w:t>17</w:t>
      </w:r>
      <w:r w:rsidRPr="00DD01E4">
        <w:t>/000</w:t>
      </w:r>
      <w:r>
        <w:t>273-1</w:t>
      </w:r>
      <w:r w:rsidRPr="00DD01E4">
        <w:t xml:space="preserve">. SARDI Research Report Series No. </w:t>
      </w:r>
      <w:r>
        <w:t>963, 76pp.</w:t>
      </w:r>
    </w:p>
    <w:p w14:paraId="55148A38" w14:textId="7EC8B9BD" w:rsidR="005B774E" w:rsidRPr="00933093" w:rsidRDefault="00A04611" w:rsidP="00C80491">
      <w:pPr>
        <w:spacing w:line="240" w:lineRule="auto"/>
      </w:pPr>
      <w:bookmarkStart w:id="805" w:name="_Hlk117171711"/>
      <w:bookmarkEnd w:id="804"/>
      <w:r w:rsidRPr="00933093">
        <w:t xml:space="preserve">Dias, PJ, Fotedar, S, Gardner, JP, &amp; Snow, M 2013, </w:t>
      </w:r>
      <w:hyperlink r:id="rId403" w:history="1">
        <w:r w:rsidRPr="00933093">
          <w:rPr>
            <w:rStyle w:val="Hyperlink"/>
          </w:rPr>
          <w:t xml:space="preserve">Development of sensitive and specific molecular tools for the efficient detection and discrimination of potentially invasive mussel species of the genus </w:t>
        </w:r>
        <w:r w:rsidRPr="00933093">
          <w:rPr>
            <w:rStyle w:val="Hyperlink"/>
            <w:i/>
            <w:iCs/>
          </w:rPr>
          <w:t>Perna</w:t>
        </w:r>
      </w:hyperlink>
      <w:r w:rsidR="00933093" w:rsidRPr="00933093">
        <w:t xml:space="preserve">, </w:t>
      </w:r>
      <w:r w:rsidRPr="00933093">
        <w:rPr>
          <w:i/>
        </w:rPr>
        <w:t xml:space="preserve">Management of Biological Invasions, </w:t>
      </w:r>
      <w:r w:rsidRPr="00933093">
        <w:rPr>
          <w:iCs/>
        </w:rPr>
        <w:t xml:space="preserve">vol. 4, no. </w:t>
      </w:r>
      <w:r w:rsidRPr="00933093">
        <w:t>2, pp. 155-65</w:t>
      </w:r>
      <w:r w:rsidR="00933093" w:rsidRPr="00933093">
        <w:t>, DOI: 10.3391/mbi.2013.4.2.09.</w:t>
      </w:r>
    </w:p>
    <w:bookmarkEnd w:id="805"/>
    <w:p w14:paraId="68B9C7FF" w14:textId="06938074" w:rsidR="006939E1" w:rsidRDefault="00B5740F" w:rsidP="00C80491">
      <w:pPr>
        <w:pStyle w:val="EndNoteBibliography"/>
        <w:rPr>
          <w:noProof w:val="0"/>
          <w:lang w:val="en-AU"/>
        </w:rPr>
      </w:pPr>
      <w:r w:rsidRPr="00933093">
        <w:rPr>
          <w:noProof w:val="0"/>
          <w:lang w:val="en-AU"/>
        </w:rPr>
        <w:t xml:space="preserve">Dias, PJ, Gilg, MR, </w:t>
      </w:r>
      <w:proofErr w:type="spellStart"/>
      <w:r w:rsidRPr="00933093">
        <w:rPr>
          <w:noProof w:val="0"/>
          <w:lang w:val="en-AU"/>
        </w:rPr>
        <w:t>Lukehurst</w:t>
      </w:r>
      <w:proofErr w:type="spellEnd"/>
      <w:r w:rsidRPr="00933093">
        <w:rPr>
          <w:noProof w:val="0"/>
          <w:lang w:val="en-AU"/>
        </w:rPr>
        <w:t xml:space="preserve">, SS, Kennington, WJ, Huhn, M, </w:t>
      </w:r>
      <w:proofErr w:type="spellStart"/>
      <w:r w:rsidRPr="00933093">
        <w:rPr>
          <w:noProof w:val="0"/>
          <w:lang w:val="en-AU"/>
        </w:rPr>
        <w:t>Madduppa</w:t>
      </w:r>
      <w:proofErr w:type="spellEnd"/>
      <w:r w:rsidRPr="00933093">
        <w:rPr>
          <w:noProof w:val="0"/>
          <w:lang w:val="en-AU"/>
        </w:rPr>
        <w:t xml:space="preserve">, HH, McKirdy, SJ, de Lestang, P, Teo, SLM, Lee, SSC &amp; McDonald, JI 2018, </w:t>
      </w:r>
      <w:hyperlink r:id="rId404" w:history="1">
        <w:r w:rsidRPr="00933093">
          <w:rPr>
            <w:rStyle w:val="Hyperlink"/>
            <w:noProof w:val="0"/>
            <w:lang w:val="en-AU"/>
          </w:rPr>
          <w:t xml:space="preserve">Genetic diversity of a hitchhiker and prized food source in the Anthropocene: the Asian green mussel </w:t>
        </w:r>
        <w:r w:rsidRPr="00933093">
          <w:rPr>
            <w:rStyle w:val="Hyperlink"/>
            <w:i/>
            <w:noProof w:val="0"/>
            <w:lang w:val="en-AU"/>
          </w:rPr>
          <w:t>Perna viridis</w:t>
        </w:r>
        <w:r w:rsidRPr="00933093">
          <w:rPr>
            <w:rStyle w:val="Hyperlink"/>
            <w:noProof w:val="0"/>
            <w:lang w:val="en-AU"/>
          </w:rPr>
          <w:t xml:space="preserve"> (Mollusca, Mytilidae)</w:t>
        </w:r>
      </w:hyperlink>
      <w:r w:rsidRPr="00933093">
        <w:rPr>
          <w:noProof w:val="0"/>
          <w:lang w:val="en-AU"/>
        </w:rPr>
        <w:t xml:space="preserve">, </w:t>
      </w:r>
      <w:r w:rsidRPr="00933093">
        <w:rPr>
          <w:i/>
          <w:noProof w:val="0"/>
          <w:lang w:val="en-AU"/>
        </w:rPr>
        <w:t>Biological Invasions</w:t>
      </w:r>
      <w:r w:rsidRPr="00933093">
        <w:rPr>
          <w:noProof w:val="0"/>
          <w:lang w:val="en-AU"/>
        </w:rPr>
        <w:t>, vol. 20, no. 7, pp. 1749-70</w:t>
      </w:r>
      <w:r w:rsidR="00933093">
        <w:rPr>
          <w:noProof w:val="0"/>
          <w:lang w:val="en-AU"/>
        </w:rPr>
        <w:t xml:space="preserve">, DOI: </w:t>
      </w:r>
      <w:r w:rsidR="00933093" w:rsidRPr="00933093">
        <w:rPr>
          <w:noProof w:val="0"/>
          <w:lang w:val="en-AU"/>
        </w:rPr>
        <w:t>10.1007/s10530-018-1659-6</w:t>
      </w:r>
      <w:r w:rsidR="00933093">
        <w:rPr>
          <w:noProof w:val="0"/>
          <w:lang w:val="en-AU"/>
        </w:rPr>
        <w:t xml:space="preserve">. </w:t>
      </w:r>
    </w:p>
    <w:p w14:paraId="5EA82DB4" w14:textId="4AC3EE2C" w:rsidR="004E1C0D" w:rsidRDefault="004E1C0D" w:rsidP="00C80491">
      <w:pPr>
        <w:pStyle w:val="EndNoteBibliography"/>
        <w:rPr>
          <w:noProof w:val="0"/>
          <w:lang w:val="en-AU"/>
        </w:rPr>
      </w:pPr>
      <w:r>
        <w:rPr>
          <w:noProof w:val="0"/>
          <w:lang w:val="en-AU"/>
        </w:rPr>
        <w:t xml:space="preserve">Diederich, S 2006, </w:t>
      </w:r>
      <w:hyperlink r:id="rId405" w:history="1">
        <w:r w:rsidRPr="004E1C0D">
          <w:rPr>
            <w:rStyle w:val="Hyperlink"/>
            <w:noProof w:val="0"/>
            <w:lang w:val="en-AU"/>
          </w:rPr>
          <w:t>High survival and growth rates of introduced Pacific oysters may cause restrictions on habitat use by native mussels in the Wadden Sea</w:t>
        </w:r>
      </w:hyperlink>
      <w:r>
        <w:rPr>
          <w:noProof w:val="0"/>
          <w:lang w:val="en-AU"/>
        </w:rPr>
        <w:t xml:space="preserve">, </w:t>
      </w:r>
      <w:r>
        <w:rPr>
          <w:i/>
          <w:iCs/>
          <w:noProof w:val="0"/>
          <w:lang w:val="en-AU"/>
        </w:rPr>
        <w:t xml:space="preserve">Journal of Experimental Marine Biology and Ecology, </w:t>
      </w:r>
      <w:r>
        <w:rPr>
          <w:noProof w:val="0"/>
          <w:lang w:val="en-AU"/>
        </w:rPr>
        <w:t xml:space="preserve">vol. 328, no. 2, pp. 211-227, DOI: </w:t>
      </w:r>
      <w:r w:rsidRPr="004E1C0D">
        <w:rPr>
          <w:noProof w:val="0"/>
          <w:lang w:val="en-AU"/>
        </w:rPr>
        <w:t>10.1016/j.jembe.2005.07.012</w:t>
      </w:r>
      <w:r>
        <w:rPr>
          <w:noProof w:val="0"/>
          <w:lang w:val="en-AU"/>
        </w:rPr>
        <w:t>.</w:t>
      </w:r>
    </w:p>
    <w:p w14:paraId="3E4EC95D" w14:textId="29458748" w:rsidR="002E3A5E" w:rsidRPr="002E3A5E" w:rsidRDefault="002E3A5E" w:rsidP="00C80491">
      <w:pPr>
        <w:pStyle w:val="EndNoteBibliography"/>
        <w:rPr>
          <w:noProof w:val="0"/>
          <w:lang w:val="en-AU"/>
        </w:rPr>
      </w:pPr>
      <w:r>
        <w:rPr>
          <w:noProof w:val="0"/>
          <w:lang w:val="en-AU"/>
        </w:rPr>
        <w:t xml:space="preserve">Diggles, BK 2003, </w:t>
      </w:r>
      <w:hyperlink r:id="rId406" w:history="1">
        <w:r w:rsidRPr="002E3A5E">
          <w:rPr>
            <w:rStyle w:val="Hyperlink"/>
            <w:noProof w:val="0"/>
            <w:lang w:val="en-AU"/>
          </w:rPr>
          <w:t>Some pathological abnormalities of New Zealand fishes</w:t>
        </w:r>
      </w:hyperlink>
      <w:r>
        <w:rPr>
          <w:noProof w:val="0"/>
          <w:lang w:val="en-AU"/>
        </w:rPr>
        <w:t xml:space="preserve">, </w:t>
      </w:r>
      <w:r>
        <w:rPr>
          <w:i/>
          <w:iCs/>
          <w:noProof w:val="0"/>
          <w:lang w:val="en-AU"/>
        </w:rPr>
        <w:t xml:space="preserve">New Zealand Journal of Marine and Freshwater Research, </w:t>
      </w:r>
      <w:r>
        <w:rPr>
          <w:noProof w:val="0"/>
          <w:lang w:val="en-AU"/>
        </w:rPr>
        <w:t xml:space="preserve">vol. 37, no. 4, pp. 705-713, DOI: </w:t>
      </w:r>
      <w:r w:rsidRPr="002E3A5E">
        <w:rPr>
          <w:noProof w:val="0"/>
          <w:lang w:val="en-AU"/>
        </w:rPr>
        <w:t>10.1080/00288330.2003.9517200</w:t>
      </w:r>
      <w:r>
        <w:rPr>
          <w:noProof w:val="0"/>
          <w:lang w:val="en-AU"/>
        </w:rPr>
        <w:t>.</w:t>
      </w:r>
    </w:p>
    <w:p w14:paraId="0F2A891C" w14:textId="3BD63638" w:rsidR="001F6B78" w:rsidRPr="001F6B78" w:rsidRDefault="001F6B78" w:rsidP="00C80491">
      <w:pPr>
        <w:pStyle w:val="EndNoteBibliography"/>
        <w:rPr>
          <w:noProof w:val="0"/>
          <w:lang w:val="en-AU"/>
        </w:rPr>
      </w:pPr>
      <w:r>
        <w:rPr>
          <w:noProof w:val="0"/>
          <w:lang w:val="en-AU"/>
        </w:rPr>
        <w:t xml:space="preserve">Dridi, S, Romdhane, MS, </w:t>
      </w:r>
      <w:proofErr w:type="spellStart"/>
      <w:r>
        <w:rPr>
          <w:noProof w:val="0"/>
          <w:lang w:val="en-AU"/>
        </w:rPr>
        <w:t>Heurtebise</w:t>
      </w:r>
      <w:proofErr w:type="spellEnd"/>
      <w:r>
        <w:rPr>
          <w:noProof w:val="0"/>
          <w:lang w:val="en-AU"/>
        </w:rPr>
        <w:t xml:space="preserve">, S, </w:t>
      </w:r>
      <w:proofErr w:type="spellStart"/>
      <w:r>
        <w:rPr>
          <w:noProof w:val="0"/>
          <w:lang w:val="en-AU"/>
        </w:rPr>
        <w:t>Cafsi</w:t>
      </w:r>
      <w:proofErr w:type="spellEnd"/>
      <w:r>
        <w:rPr>
          <w:noProof w:val="0"/>
          <w:lang w:val="en-AU"/>
        </w:rPr>
        <w:t xml:space="preserve">, ME, </w:t>
      </w:r>
      <w:proofErr w:type="spellStart"/>
      <w:r>
        <w:rPr>
          <w:noProof w:val="0"/>
          <w:lang w:val="en-AU"/>
        </w:rPr>
        <w:t>Boudry</w:t>
      </w:r>
      <w:proofErr w:type="spellEnd"/>
      <w:r>
        <w:rPr>
          <w:noProof w:val="0"/>
          <w:lang w:val="en-AU"/>
        </w:rPr>
        <w:t xml:space="preserve">, P &amp; </w:t>
      </w:r>
      <w:proofErr w:type="spellStart"/>
      <w:r>
        <w:rPr>
          <w:noProof w:val="0"/>
          <w:lang w:val="en-AU"/>
        </w:rPr>
        <w:t>Lapègue</w:t>
      </w:r>
      <w:proofErr w:type="spellEnd"/>
      <w:r>
        <w:rPr>
          <w:noProof w:val="0"/>
          <w:lang w:val="en-AU"/>
        </w:rPr>
        <w:t xml:space="preserve">, S 2008, </w:t>
      </w:r>
      <w:hyperlink r:id="rId407" w:history="1">
        <w:r w:rsidRPr="001F6B78">
          <w:rPr>
            <w:rStyle w:val="Hyperlink"/>
            <w:noProof w:val="0"/>
            <w:lang w:val="en-AU"/>
          </w:rPr>
          <w:t>Genetic characterisation of oyster populations along the north-eastern coast of Tunisia</w:t>
        </w:r>
      </w:hyperlink>
      <w:r>
        <w:rPr>
          <w:noProof w:val="0"/>
          <w:lang w:val="en-AU"/>
        </w:rPr>
        <w:t xml:space="preserve">, </w:t>
      </w:r>
      <w:r>
        <w:rPr>
          <w:i/>
          <w:iCs/>
          <w:noProof w:val="0"/>
          <w:lang w:val="en-AU"/>
        </w:rPr>
        <w:t xml:space="preserve">African Journal of Marine Science, </w:t>
      </w:r>
      <w:r>
        <w:rPr>
          <w:noProof w:val="0"/>
          <w:lang w:val="en-AU"/>
        </w:rPr>
        <w:t>vol. 30, no. 3, pp. 489-95.</w:t>
      </w:r>
    </w:p>
    <w:p w14:paraId="6C3BA456" w14:textId="423B8EC8" w:rsidR="006939E1" w:rsidRPr="00933093" w:rsidRDefault="00B5740F" w:rsidP="00C80491">
      <w:pPr>
        <w:pStyle w:val="EndNoteBibliography"/>
        <w:rPr>
          <w:noProof w:val="0"/>
          <w:lang w:val="en-AU"/>
        </w:rPr>
      </w:pPr>
      <w:r w:rsidRPr="00933093">
        <w:rPr>
          <w:noProof w:val="0"/>
          <w:lang w:val="en-AU"/>
        </w:rPr>
        <w:lastRenderedPageBreak/>
        <w:t xml:space="preserve">Dumoulin, E &amp; </w:t>
      </w:r>
      <w:proofErr w:type="spellStart"/>
      <w:r w:rsidRPr="00933093">
        <w:rPr>
          <w:noProof w:val="0"/>
          <w:lang w:val="en-AU"/>
        </w:rPr>
        <w:t>Langeraert</w:t>
      </w:r>
      <w:proofErr w:type="spellEnd"/>
      <w:r w:rsidRPr="00933093">
        <w:rPr>
          <w:noProof w:val="0"/>
          <w:lang w:val="en-AU"/>
        </w:rPr>
        <w:t xml:space="preserve">, W </w:t>
      </w:r>
      <w:r w:rsidR="002153A2" w:rsidRPr="00933093">
        <w:rPr>
          <w:noProof w:val="0"/>
          <w:lang w:val="en-AU"/>
        </w:rPr>
        <w:t xml:space="preserve">2020, </w:t>
      </w:r>
      <w:r w:rsidRPr="00933093">
        <w:rPr>
          <w:noProof w:val="0"/>
          <w:lang w:val="en-AU"/>
        </w:rPr>
        <w:t xml:space="preserve">De </w:t>
      </w:r>
      <w:proofErr w:type="spellStart"/>
      <w:r w:rsidRPr="00933093">
        <w:rPr>
          <w:noProof w:val="0"/>
          <w:lang w:val="en-AU"/>
        </w:rPr>
        <w:t>brakwaterkorfschelp</w:t>
      </w:r>
      <w:proofErr w:type="spellEnd"/>
      <w:r w:rsidRPr="00933093">
        <w:rPr>
          <w:noProof w:val="0"/>
          <w:lang w:val="en-AU"/>
        </w:rPr>
        <w:t xml:space="preserve"> </w:t>
      </w:r>
      <w:r w:rsidRPr="00933093">
        <w:rPr>
          <w:i/>
          <w:iCs/>
          <w:noProof w:val="0"/>
          <w:lang w:val="en-AU"/>
        </w:rPr>
        <w:t>Potamocorbula amurensis</w:t>
      </w:r>
      <w:r w:rsidRPr="00933093">
        <w:rPr>
          <w:noProof w:val="0"/>
          <w:lang w:val="en-AU"/>
        </w:rPr>
        <w:t xml:space="preserve"> (</w:t>
      </w:r>
      <w:proofErr w:type="spellStart"/>
      <w:r w:rsidRPr="00933093">
        <w:rPr>
          <w:noProof w:val="0"/>
          <w:lang w:val="en-AU"/>
        </w:rPr>
        <w:t>Schrenck</w:t>
      </w:r>
      <w:proofErr w:type="spellEnd"/>
      <w:r w:rsidRPr="00933093">
        <w:rPr>
          <w:noProof w:val="0"/>
          <w:lang w:val="en-AU"/>
        </w:rPr>
        <w:t xml:space="preserve">, </w:t>
      </w:r>
      <w:proofErr w:type="gramStart"/>
      <w:r w:rsidRPr="00933093">
        <w:rPr>
          <w:noProof w:val="0"/>
          <w:lang w:val="en-AU"/>
        </w:rPr>
        <w:t>1861)(</w:t>
      </w:r>
      <w:proofErr w:type="gramEnd"/>
      <w:r w:rsidRPr="00933093">
        <w:rPr>
          <w:noProof w:val="0"/>
          <w:lang w:val="en-AU"/>
        </w:rPr>
        <w:t xml:space="preserve">Bivalvia, </w:t>
      </w:r>
      <w:proofErr w:type="spellStart"/>
      <w:r w:rsidRPr="00933093">
        <w:rPr>
          <w:noProof w:val="0"/>
          <w:lang w:val="en-AU"/>
        </w:rPr>
        <w:t>Myida</w:t>
      </w:r>
      <w:proofErr w:type="spellEnd"/>
      <w:r w:rsidRPr="00933093">
        <w:rPr>
          <w:noProof w:val="0"/>
          <w:lang w:val="en-AU"/>
        </w:rPr>
        <w:t xml:space="preserve">, Corbulidae), </w:t>
      </w:r>
      <w:proofErr w:type="spellStart"/>
      <w:r w:rsidRPr="00933093">
        <w:rPr>
          <w:noProof w:val="0"/>
          <w:lang w:val="en-AU"/>
        </w:rPr>
        <w:t>een</w:t>
      </w:r>
      <w:proofErr w:type="spellEnd"/>
      <w:r w:rsidRPr="00933093">
        <w:rPr>
          <w:noProof w:val="0"/>
          <w:lang w:val="en-AU"/>
        </w:rPr>
        <w:t xml:space="preserve"> </w:t>
      </w:r>
      <w:proofErr w:type="spellStart"/>
      <w:r w:rsidRPr="00933093">
        <w:rPr>
          <w:noProof w:val="0"/>
          <w:lang w:val="en-AU"/>
        </w:rPr>
        <w:t>nieuwkomer</w:t>
      </w:r>
      <w:proofErr w:type="spellEnd"/>
      <w:r w:rsidRPr="00933093">
        <w:rPr>
          <w:noProof w:val="0"/>
          <w:lang w:val="en-AU"/>
        </w:rPr>
        <w:t xml:space="preserve"> in het Schelde-</w:t>
      </w:r>
      <w:proofErr w:type="spellStart"/>
      <w:r w:rsidRPr="00933093">
        <w:rPr>
          <w:noProof w:val="0"/>
          <w:lang w:val="en-AU"/>
        </w:rPr>
        <w:t>estuarium</w:t>
      </w:r>
      <w:proofErr w:type="spellEnd"/>
      <w:r w:rsidRPr="00933093">
        <w:rPr>
          <w:noProof w:val="0"/>
          <w:lang w:val="en-AU"/>
        </w:rPr>
        <w:t xml:space="preserve">; of het begin van </w:t>
      </w:r>
      <w:proofErr w:type="spellStart"/>
      <w:r w:rsidRPr="00933093">
        <w:rPr>
          <w:noProof w:val="0"/>
          <w:lang w:val="en-AU"/>
        </w:rPr>
        <w:t>een</w:t>
      </w:r>
      <w:proofErr w:type="spellEnd"/>
      <w:r w:rsidRPr="00933093">
        <w:rPr>
          <w:noProof w:val="0"/>
          <w:lang w:val="en-AU"/>
        </w:rPr>
        <w:t xml:space="preserve"> lang </w:t>
      </w:r>
      <w:proofErr w:type="spellStart"/>
      <w:r w:rsidRPr="00933093">
        <w:rPr>
          <w:noProof w:val="0"/>
          <w:lang w:val="en-AU"/>
        </w:rPr>
        <w:t>verhaal</w:t>
      </w:r>
      <w:proofErr w:type="spellEnd"/>
      <w:r w:rsidR="002153A2" w:rsidRPr="00933093">
        <w:rPr>
          <w:noProof w:val="0"/>
          <w:lang w:val="en-AU"/>
        </w:rPr>
        <w:t xml:space="preserve">, </w:t>
      </w:r>
      <w:r w:rsidR="002153A2" w:rsidRPr="00933093">
        <w:rPr>
          <w:i/>
          <w:iCs/>
          <w:noProof w:val="0"/>
          <w:lang w:val="en-AU"/>
        </w:rPr>
        <w:t xml:space="preserve">De </w:t>
      </w:r>
      <w:proofErr w:type="spellStart"/>
      <w:r w:rsidR="002153A2" w:rsidRPr="00933093">
        <w:rPr>
          <w:i/>
          <w:iCs/>
          <w:noProof w:val="0"/>
          <w:lang w:val="en-AU"/>
        </w:rPr>
        <w:t>Strandvlo</w:t>
      </w:r>
      <w:proofErr w:type="spellEnd"/>
      <w:r w:rsidR="002153A2" w:rsidRPr="00933093">
        <w:rPr>
          <w:noProof w:val="0"/>
          <w:lang w:val="en-AU"/>
        </w:rPr>
        <w:t>, vol. 40, no. 4 pp.113-72.</w:t>
      </w:r>
    </w:p>
    <w:p w14:paraId="25119C5C" w14:textId="0FFE031A" w:rsidR="006939E1" w:rsidRDefault="00B5740F" w:rsidP="00C80491">
      <w:pPr>
        <w:pStyle w:val="EndNoteBibliography"/>
        <w:rPr>
          <w:noProof w:val="0"/>
          <w:lang w:val="en-AU"/>
        </w:rPr>
      </w:pPr>
      <w:r w:rsidRPr="00933093">
        <w:rPr>
          <w:noProof w:val="0"/>
          <w:lang w:val="en-AU"/>
        </w:rPr>
        <w:t xml:space="preserve">Dungan, CF, Hamilton, RM, Hudson, KL, McCollough, CB &amp; Reece, KS 2002, </w:t>
      </w:r>
      <w:hyperlink r:id="rId408" w:history="1">
        <w:r w:rsidRPr="00933093">
          <w:rPr>
            <w:rStyle w:val="Hyperlink"/>
            <w:noProof w:val="0"/>
            <w:lang w:val="en-AU"/>
          </w:rPr>
          <w:t xml:space="preserve">Two epizootic diseases in Chesapeake Bay commercial clams, </w:t>
        </w:r>
        <w:r w:rsidRPr="00933093">
          <w:rPr>
            <w:rStyle w:val="Hyperlink"/>
            <w:i/>
            <w:iCs/>
            <w:noProof w:val="0"/>
            <w:lang w:val="en-AU"/>
          </w:rPr>
          <w:t>Mya arenaria</w:t>
        </w:r>
        <w:r w:rsidRPr="00933093">
          <w:rPr>
            <w:rStyle w:val="Hyperlink"/>
            <w:noProof w:val="0"/>
            <w:lang w:val="en-AU"/>
          </w:rPr>
          <w:t xml:space="preserve"> and </w:t>
        </w:r>
        <w:proofErr w:type="spellStart"/>
        <w:r w:rsidRPr="00933093">
          <w:rPr>
            <w:rStyle w:val="Hyperlink"/>
            <w:i/>
            <w:iCs/>
            <w:noProof w:val="0"/>
            <w:lang w:val="en-AU"/>
          </w:rPr>
          <w:t>Tagelus</w:t>
        </w:r>
        <w:proofErr w:type="spellEnd"/>
        <w:r w:rsidRPr="00933093">
          <w:rPr>
            <w:rStyle w:val="Hyperlink"/>
            <w:i/>
            <w:iCs/>
            <w:noProof w:val="0"/>
            <w:lang w:val="en-AU"/>
          </w:rPr>
          <w:t xml:space="preserve"> </w:t>
        </w:r>
        <w:proofErr w:type="spellStart"/>
        <w:r w:rsidRPr="00933093">
          <w:rPr>
            <w:rStyle w:val="Hyperlink"/>
            <w:i/>
            <w:iCs/>
            <w:noProof w:val="0"/>
            <w:lang w:val="en-AU"/>
          </w:rPr>
          <w:t>plebeius</w:t>
        </w:r>
        <w:proofErr w:type="spellEnd"/>
      </w:hyperlink>
      <w:r w:rsidRPr="00933093">
        <w:rPr>
          <w:noProof w:val="0"/>
          <w:lang w:val="en-AU"/>
        </w:rPr>
        <w:t xml:space="preserve">, </w:t>
      </w:r>
      <w:r w:rsidRPr="00933093">
        <w:rPr>
          <w:i/>
          <w:noProof w:val="0"/>
          <w:lang w:val="en-AU"/>
        </w:rPr>
        <w:t>Diseases of Aquatic Organisms</w:t>
      </w:r>
      <w:r w:rsidRPr="00933093">
        <w:rPr>
          <w:noProof w:val="0"/>
          <w:lang w:val="en-AU"/>
        </w:rPr>
        <w:t>, vol. 50, no. 1, pp. 67-78</w:t>
      </w:r>
      <w:r w:rsidR="00933093">
        <w:rPr>
          <w:noProof w:val="0"/>
          <w:lang w:val="en-AU"/>
        </w:rPr>
        <w:t xml:space="preserve">, DOI: </w:t>
      </w:r>
      <w:r w:rsidR="00933093" w:rsidRPr="00933093">
        <w:rPr>
          <w:noProof w:val="0"/>
          <w:lang w:val="en-AU"/>
        </w:rPr>
        <w:t>10.3354/dao050067</w:t>
      </w:r>
      <w:r w:rsidR="00933093">
        <w:rPr>
          <w:noProof w:val="0"/>
          <w:lang w:val="en-AU"/>
        </w:rPr>
        <w:t xml:space="preserve">. </w:t>
      </w:r>
    </w:p>
    <w:p w14:paraId="4898FF80" w14:textId="33539B2C" w:rsidR="007F3FF4" w:rsidRDefault="007F3FF4" w:rsidP="00C80491">
      <w:pPr>
        <w:pStyle w:val="EndNoteBibliography"/>
        <w:rPr>
          <w:noProof w:val="0"/>
          <w:lang w:val="en-AU"/>
        </w:rPr>
      </w:pPr>
      <w:r w:rsidRPr="007F3FF4">
        <w:rPr>
          <w:noProof w:val="0"/>
          <w:lang w:val="en-AU"/>
        </w:rPr>
        <w:t>Edgar, G</w:t>
      </w:r>
      <w:r>
        <w:rPr>
          <w:noProof w:val="0"/>
          <w:lang w:val="en-AU"/>
        </w:rPr>
        <w:t>,</w:t>
      </w:r>
      <w:r w:rsidRPr="007F3FF4">
        <w:rPr>
          <w:noProof w:val="0"/>
          <w:lang w:val="en-AU"/>
        </w:rPr>
        <w:t xml:space="preserve"> Davey, A </w:t>
      </w:r>
      <w:r>
        <w:rPr>
          <w:noProof w:val="0"/>
          <w:lang w:val="en-AU"/>
        </w:rPr>
        <w:t xml:space="preserve">&amp; </w:t>
      </w:r>
      <w:r w:rsidRPr="007F3FF4">
        <w:rPr>
          <w:noProof w:val="0"/>
          <w:lang w:val="en-AU"/>
        </w:rPr>
        <w:t>Shepherd, C 2009</w:t>
      </w:r>
      <w:r>
        <w:rPr>
          <w:noProof w:val="0"/>
          <w:lang w:val="en-AU"/>
        </w:rPr>
        <w:t xml:space="preserve">, </w:t>
      </w:r>
      <w:r w:rsidRPr="007F3FF4">
        <w:rPr>
          <w:i/>
          <w:iCs/>
          <w:noProof w:val="0"/>
          <w:lang w:val="en-AU"/>
        </w:rPr>
        <w:t>Broadscale effects of marine salmonid aquaculture and introduced pests on macrobenthos and the sediment environment in Tasmania between 1998 and 2003</w:t>
      </w:r>
      <w:r>
        <w:rPr>
          <w:noProof w:val="0"/>
          <w:lang w:val="en-AU"/>
        </w:rPr>
        <w:t xml:space="preserve">, </w:t>
      </w:r>
      <w:r w:rsidRPr="007F3FF4">
        <w:rPr>
          <w:noProof w:val="0"/>
          <w:lang w:val="en-AU"/>
        </w:rPr>
        <w:t>University of Tasmania</w:t>
      </w:r>
      <w:r>
        <w:rPr>
          <w:noProof w:val="0"/>
          <w:lang w:val="en-AU"/>
        </w:rPr>
        <w:t>, Hobart, pp. 43.</w:t>
      </w:r>
    </w:p>
    <w:p w14:paraId="6D035A56" w14:textId="646691F1" w:rsidR="00F47511" w:rsidRDefault="00F47511" w:rsidP="00C80491">
      <w:pPr>
        <w:pStyle w:val="EndNoteBibliography"/>
        <w:rPr>
          <w:noProof w:val="0"/>
          <w:lang w:val="en-AU"/>
        </w:rPr>
      </w:pPr>
      <w:r>
        <w:rPr>
          <w:noProof w:val="0"/>
          <w:lang w:val="en-AU"/>
        </w:rPr>
        <w:t xml:space="preserve">Eldredge, LG 1994, </w:t>
      </w:r>
      <w:hyperlink r:id="rId409" w:history="1">
        <w:r w:rsidRPr="00F47511">
          <w:rPr>
            <w:rStyle w:val="Hyperlink"/>
            <w:noProof w:val="0"/>
            <w:lang w:val="en-AU"/>
          </w:rPr>
          <w:t>Perspectives in aquatic exotic species management in the Pacific Islands, volume 1: Introductions of commercially significant aquatic organisms to the Pacific Islands</w:t>
        </w:r>
      </w:hyperlink>
      <w:r>
        <w:rPr>
          <w:noProof w:val="0"/>
          <w:lang w:val="en-AU"/>
        </w:rPr>
        <w:t>, South Pacific Commission, Noumea, New Caledonia, pp. 129.</w:t>
      </w:r>
    </w:p>
    <w:p w14:paraId="7115D1D9" w14:textId="42B3AA63" w:rsidR="00C80491" w:rsidRDefault="00C80491" w:rsidP="00C80491">
      <w:pPr>
        <w:pStyle w:val="EndNoteBibliography"/>
        <w:rPr>
          <w:noProof w:val="0"/>
          <w:lang w:val="en-AU"/>
        </w:rPr>
      </w:pPr>
      <w:r>
        <w:rPr>
          <w:noProof w:val="0"/>
          <w:lang w:val="en-AU"/>
        </w:rPr>
        <w:t xml:space="preserve">Ellard, K 2021, </w:t>
      </w:r>
      <w:hyperlink r:id="rId410" w:history="1">
        <w:r w:rsidRPr="00C80491">
          <w:rPr>
            <w:rStyle w:val="Hyperlink"/>
            <w:noProof w:val="0"/>
            <w:lang w:val="en-AU"/>
          </w:rPr>
          <w:t>Review and enhancement of remotely operated vehicles for marine pest surveillance</w:t>
        </w:r>
      </w:hyperlink>
      <w:r>
        <w:rPr>
          <w:noProof w:val="0"/>
          <w:lang w:val="en-AU"/>
        </w:rPr>
        <w:t xml:space="preserve">, Project Report prepared by the Invasive Species Branch, Biosecurity Tasmania, Australia, pp. 60. </w:t>
      </w:r>
    </w:p>
    <w:p w14:paraId="7D9EAB20" w14:textId="2D9644E5" w:rsidR="00C80491" w:rsidRPr="00C80491" w:rsidRDefault="00C80491" w:rsidP="00C80491">
      <w:pPr>
        <w:pStyle w:val="EndNoteBibliography"/>
        <w:rPr>
          <w:noProof w:val="0"/>
          <w:lang w:val="en-AU"/>
        </w:rPr>
      </w:pPr>
      <w:r>
        <w:rPr>
          <w:noProof w:val="0"/>
          <w:lang w:val="en-AU"/>
        </w:rPr>
        <w:t xml:space="preserve">Ellis, MR, Clark, ZSR, Treml, EA, Brown, MS, Matthews, TG, Pocklington, JB, Stafford-Bell, RE, Bott, NJ, Nai, YH, Miller, AD &amp; Sherman, CDH 2022, </w:t>
      </w:r>
      <w:hyperlink r:id="rId411" w:history="1">
        <w:r w:rsidRPr="00C80491">
          <w:rPr>
            <w:rStyle w:val="Hyperlink"/>
            <w:noProof w:val="0"/>
            <w:lang w:val="en-AU"/>
          </w:rPr>
          <w:t>Detecting marine pests using environmental DNA and biophysical models</w:t>
        </w:r>
      </w:hyperlink>
      <w:r>
        <w:rPr>
          <w:noProof w:val="0"/>
          <w:lang w:val="en-AU"/>
        </w:rPr>
        <w:t xml:space="preserve">, </w:t>
      </w:r>
      <w:r>
        <w:rPr>
          <w:i/>
          <w:iCs/>
          <w:noProof w:val="0"/>
          <w:lang w:val="en-AU"/>
        </w:rPr>
        <w:t xml:space="preserve">Science of the Total Environment, </w:t>
      </w:r>
      <w:r>
        <w:rPr>
          <w:noProof w:val="0"/>
          <w:lang w:val="en-AU"/>
        </w:rPr>
        <w:t xml:space="preserve">vol. 816, pp. 151666, DOI: </w:t>
      </w:r>
      <w:r w:rsidRPr="00C80491">
        <w:rPr>
          <w:noProof w:val="0"/>
          <w:lang w:val="en-AU"/>
        </w:rPr>
        <w:t>10.1016/j.scitotenv.2021.151666</w:t>
      </w:r>
      <w:r>
        <w:rPr>
          <w:noProof w:val="0"/>
          <w:lang w:val="en-AU"/>
        </w:rPr>
        <w:t>.</w:t>
      </w:r>
    </w:p>
    <w:p w14:paraId="5418BD5F" w14:textId="570D5D7F" w:rsidR="00F47511" w:rsidRDefault="00B5740F" w:rsidP="00C80491">
      <w:pPr>
        <w:pStyle w:val="EndNoteBibliography"/>
        <w:rPr>
          <w:noProof w:val="0"/>
          <w:lang w:val="en-AU"/>
        </w:rPr>
      </w:pPr>
      <w:r w:rsidRPr="00933093">
        <w:rPr>
          <w:noProof w:val="0"/>
          <w:lang w:val="en-AU"/>
        </w:rPr>
        <w:t xml:space="preserve">Engelsma, MY, </w:t>
      </w:r>
      <w:proofErr w:type="spellStart"/>
      <w:r w:rsidRPr="00933093">
        <w:rPr>
          <w:noProof w:val="0"/>
          <w:lang w:val="en-AU"/>
        </w:rPr>
        <w:t>Culloty</w:t>
      </w:r>
      <w:proofErr w:type="spellEnd"/>
      <w:r w:rsidRPr="00933093">
        <w:rPr>
          <w:noProof w:val="0"/>
          <w:lang w:val="en-AU"/>
        </w:rPr>
        <w:t xml:space="preserve">, SC, Lynch, SA, </w:t>
      </w:r>
      <w:proofErr w:type="spellStart"/>
      <w:r w:rsidRPr="00933093">
        <w:rPr>
          <w:noProof w:val="0"/>
          <w:lang w:val="en-AU"/>
        </w:rPr>
        <w:t>Arzul</w:t>
      </w:r>
      <w:proofErr w:type="spellEnd"/>
      <w:r w:rsidRPr="00933093">
        <w:rPr>
          <w:noProof w:val="0"/>
          <w:lang w:val="en-AU"/>
        </w:rPr>
        <w:t xml:space="preserve">, I, </w:t>
      </w:r>
      <w:r w:rsidR="00E96A4C">
        <w:rPr>
          <w:noProof w:val="0"/>
          <w:lang w:val="en-AU"/>
        </w:rPr>
        <w:t xml:space="preserve">&amp; </w:t>
      </w:r>
      <w:r w:rsidRPr="00933093">
        <w:rPr>
          <w:noProof w:val="0"/>
          <w:lang w:val="en-AU"/>
        </w:rPr>
        <w:t>Carnegie</w:t>
      </w:r>
      <w:r w:rsidR="00E96A4C">
        <w:rPr>
          <w:noProof w:val="0"/>
          <w:lang w:val="en-AU"/>
        </w:rPr>
        <w:t>,</w:t>
      </w:r>
      <w:r w:rsidRPr="00933093">
        <w:rPr>
          <w:noProof w:val="0"/>
          <w:lang w:val="en-AU"/>
        </w:rPr>
        <w:t xml:space="preserve"> RB 2014, </w:t>
      </w:r>
      <w:hyperlink r:id="rId412" w:history="1">
        <w:proofErr w:type="spellStart"/>
        <w:r w:rsidRPr="00933093">
          <w:rPr>
            <w:rStyle w:val="Hyperlink"/>
            <w:i/>
            <w:iCs/>
            <w:noProof w:val="0"/>
            <w:lang w:val="en-AU"/>
          </w:rPr>
          <w:t>Bonamia</w:t>
        </w:r>
        <w:proofErr w:type="spellEnd"/>
        <w:r w:rsidRPr="00933093">
          <w:rPr>
            <w:rStyle w:val="Hyperlink"/>
            <w:i/>
            <w:iCs/>
            <w:noProof w:val="0"/>
            <w:lang w:val="en-AU"/>
          </w:rPr>
          <w:t xml:space="preserve"> </w:t>
        </w:r>
        <w:r w:rsidRPr="00933093">
          <w:rPr>
            <w:rStyle w:val="Hyperlink"/>
            <w:noProof w:val="0"/>
            <w:lang w:val="en-AU"/>
          </w:rPr>
          <w:t>parasites: a rapidly changing perspective on a genus of important mollusc pathogens</w:t>
        </w:r>
      </w:hyperlink>
      <w:r w:rsidRPr="00933093">
        <w:rPr>
          <w:noProof w:val="0"/>
          <w:lang w:val="en-AU"/>
        </w:rPr>
        <w:t xml:space="preserve">, </w:t>
      </w:r>
      <w:r w:rsidRPr="00933093">
        <w:rPr>
          <w:i/>
          <w:iCs/>
          <w:noProof w:val="0"/>
          <w:lang w:val="en-AU"/>
        </w:rPr>
        <w:t>Diseases of Aquatic Organisms</w:t>
      </w:r>
      <w:r w:rsidRPr="00933093">
        <w:rPr>
          <w:noProof w:val="0"/>
          <w:lang w:val="en-AU"/>
        </w:rPr>
        <w:t>, vol. 110, pp. 5-23</w:t>
      </w:r>
      <w:r w:rsidR="00933093">
        <w:rPr>
          <w:noProof w:val="0"/>
          <w:lang w:val="en-AU"/>
        </w:rPr>
        <w:t xml:space="preserve">, DOI: </w:t>
      </w:r>
      <w:r w:rsidR="00933093" w:rsidRPr="00933093">
        <w:rPr>
          <w:noProof w:val="0"/>
          <w:lang w:val="en-AU"/>
        </w:rPr>
        <w:t>10.3354/dao02741</w:t>
      </w:r>
      <w:r w:rsidR="00933093">
        <w:rPr>
          <w:noProof w:val="0"/>
          <w:lang w:val="en-AU"/>
        </w:rPr>
        <w:t xml:space="preserve">. </w:t>
      </w:r>
    </w:p>
    <w:p w14:paraId="471256D3" w14:textId="1B231469" w:rsidR="007F3FF4" w:rsidRDefault="007F3FF4" w:rsidP="00C80491">
      <w:pPr>
        <w:pStyle w:val="EndNoteBibliography"/>
        <w:rPr>
          <w:noProof w:val="0"/>
          <w:lang w:val="en-AU"/>
        </w:rPr>
      </w:pPr>
      <w:r w:rsidRPr="007F3FF4">
        <w:rPr>
          <w:noProof w:val="0"/>
          <w:lang w:val="en-AU"/>
        </w:rPr>
        <w:t>Essink</w:t>
      </w:r>
      <w:r>
        <w:rPr>
          <w:noProof w:val="0"/>
          <w:lang w:val="en-AU"/>
        </w:rPr>
        <w:t>,</w:t>
      </w:r>
      <w:r w:rsidRPr="007F3FF4">
        <w:rPr>
          <w:noProof w:val="0"/>
          <w:lang w:val="en-AU"/>
        </w:rPr>
        <w:t xml:space="preserve"> K, Oost</w:t>
      </w:r>
      <w:r>
        <w:rPr>
          <w:noProof w:val="0"/>
          <w:lang w:val="en-AU"/>
        </w:rPr>
        <w:t>,</w:t>
      </w:r>
      <w:r w:rsidRPr="007F3FF4">
        <w:rPr>
          <w:noProof w:val="0"/>
          <w:lang w:val="en-AU"/>
        </w:rPr>
        <w:t xml:space="preserve"> AP, </w:t>
      </w:r>
      <w:proofErr w:type="spellStart"/>
      <w:r w:rsidRPr="007F3FF4">
        <w:rPr>
          <w:noProof w:val="0"/>
          <w:lang w:val="en-AU"/>
        </w:rPr>
        <w:t>Streurman</w:t>
      </w:r>
      <w:proofErr w:type="spellEnd"/>
      <w:r>
        <w:rPr>
          <w:noProof w:val="0"/>
          <w:lang w:val="en-AU"/>
        </w:rPr>
        <w:t>,</w:t>
      </w:r>
      <w:r w:rsidRPr="007F3FF4">
        <w:rPr>
          <w:noProof w:val="0"/>
          <w:lang w:val="en-AU"/>
        </w:rPr>
        <w:t xml:space="preserve"> HJ, </w:t>
      </w:r>
      <w:r>
        <w:rPr>
          <w:noProof w:val="0"/>
          <w:lang w:val="en-AU"/>
        </w:rPr>
        <w:t xml:space="preserve">&amp; </w:t>
      </w:r>
      <w:r w:rsidRPr="007F3FF4">
        <w:rPr>
          <w:noProof w:val="0"/>
          <w:lang w:val="en-AU"/>
        </w:rPr>
        <w:t xml:space="preserve">Van der </w:t>
      </w:r>
      <w:proofErr w:type="spellStart"/>
      <w:r w:rsidRPr="007F3FF4">
        <w:rPr>
          <w:noProof w:val="0"/>
          <w:lang w:val="en-AU"/>
        </w:rPr>
        <w:t>Plicht</w:t>
      </w:r>
      <w:proofErr w:type="spellEnd"/>
      <w:r>
        <w:rPr>
          <w:noProof w:val="0"/>
          <w:lang w:val="en-AU"/>
        </w:rPr>
        <w:t>,</w:t>
      </w:r>
      <w:r w:rsidRPr="007F3FF4">
        <w:rPr>
          <w:noProof w:val="0"/>
          <w:lang w:val="en-AU"/>
        </w:rPr>
        <w:t xml:space="preserve"> J</w:t>
      </w:r>
      <w:r>
        <w:rPr>
          <w:noProof w:val="0"/>
          <w:lang w:val="en-AU"/>
        </w:rPr>
        <w:t xml:space="preserve"> 2017, </w:t>
      </w:r>
      <w:hyperlink r:id="rId413" w:history="1">
        <w:r w:rsidRPr="007F3FF4">
          <w:rPr>
            <w:rStyle w:val="Hyperlink"/>
            <w:noProof w:val="0"/>
            <w:lang w:val="en-AU"/>
          </w:rPr>
          <w:t xml:space="preserve">Are Medieval </w:t>
        </w:r>
        <w:r w:rsidRPr="007F3FF4">
          <w:rPr>
            <w:rStyle w:val="Hyperlink"/>
            <w:i/>
            <w:iCs/>
            <w:noProof w:val="0"/>
            <w:lang w:val="en-AU"/>
          </w:rPr>
          <w:t xml:space="preserve">Mya arenaria </w:t>
        </w:r>
        <w:r w:rsidRPr="007F3FF4">
          <w:rPr>
            <w:rStyle w:val="Hyperlink"/>
            <w:noProof w:val="0"/>
            <w:lang w:val="en-AU"/>
          </w:rPr>
          <w:t>(Mollusca; Bivalvia) in the Netherlands also clams before Columbus?</w:t>
        </w:r>
      </w:hyperlink>
      <w:r>
        <w:rPr>
          <w:noProof w:val="0"/>
          <w:lang w:val="en-AU"/>
        </w:rPr>
        <w:t xml:space="preserve">, </w:t>
      </w:r>
      <w:r w:rsidRPr="007F3FF4">
        <w:rPr>
          <w:i/>
          <w:iCs/>
          <w:noProof w:val="0"/>
          <w:lang w:val="en-AU"/>
        </w:rPr>
        <w:t>Netherlands Journal of Geosciences</w:t>
      </w:r>
      <w:r>
        <w:rPr>
          <w:noProof w:val="0"/>
          <w:lang w:val="en-AU"/>
        </w:rPr>
        <w:t xml:space="preserve">, vol. </w:t>
      </w:r>
      <w:r w:rsidRPr="007F3FF4">
        <w:rPr>
          <w:noProof w:val="0"/>
          <w:lang w:val="en-AU"/>
        </w:rPr>
        <w:t>96</w:t>
      </w:r>
      <w:r>
        <w:rPr>
          <w:noProof w:val="0"/>
          <w:lang w:val="en-AU"/>
        </w:rPr>
        <w:t xml:space="preserve">, no. 1, pp. </w:t>
      </w:r>
      <w:r w:rsidRPr="007F3FF4">
        <w:rPr>
          <w:noProof w:val="0"/>
          <w:lang w:val="en-AU"/>
        </w:rPr>
        <w:t>9-16</w:t>
      </w:r>
      <w:r>
        <w:rPr>
          <w:noProof w:val="0"/>
          <w:lang w:val="en-AU"/>
        </w:rPr>
        <w:t xml:space="preserve">, DOI: </w:t>
      </w:r>
      <w:r w:rsidRPr="007F3FF4">
        <w:rPr>
          <w:noProof w:val="0"/>
          <w:lang w:val="en-AU"/>
        </w:rPr>
        <w:t>doi:10.1017/njg.2016.17</w:t>
      </w:r>
      <w:r>
        <w:rPr>
          <w:noProof w:val="0"/>
          <w:lang w:val="en-AU"/>
        </w:rPr>
        <w:t xml:space="preserve">. </w:t>
      </w:r>
    </w:p>
    <w:p w14:paraId="48B19FC7" w14:textId="267A90D1" w:rsidR="00F47511" w:rsidRDefault="00F47511" w:rsidP="00C80491">
      <w:pPr>
        <w:pStyle w:val="EndNoteBibliography"/>
        <w:rPr>
          <w:noProof w:val="0"/>
          <w:lang w:val="en-AU"/>
        </w:rPr>
      </w:pPr>
      <w:r>
        <w:rPr>
          <w:noProof w:val="0"/>
          <w:lang w:val="en-AU"/>
        </w:rPr>
        <w:t xml:space="preserve">FAO 2018, </w:t>
      </w:r>
      <w:hyperlink r:id="rId414" w:history="1">
        <w:r w:rsidRPr="00F47511">
          <w:rPr>
            <w:rStyle w:val="Hyperlink"/>
            <w:noProof w:val="0"/>
            <w:lang w:val="en-AU"/>
          </w:rPr>
          <w:t xml:space="preserve">Cultured aquatic species information program, </w:t>
        </w:r>
        <w:r w:rsidRPr="00F47511">
          <w:rPr>
            <w:rStyle w:val="Hyperlink"/>
            <w:i/>
            <w:iCs/>
            <w:noProof w:val="0"/>
            <w:lang w:val="en-AU"/>
          </w:rPr>
          <w:t xml:space="preserve">Crassostrea gigas </w:t>
        </w:r>
        <w:r w:rsidRPr="00F47511">
          <w:rPr>
            <w:rStyle w:val="Hyperlink"/>
            <w:noProof w:val="0"/>
            <w:lang w:val="en-AU"/>
          </w:rPr>
          <w:t>(Thunberg, 1793)</w:t>
        </w:r>
      </w:hyperlink>
      <w:r>
        <w:rPr>
          <w:noProof w:val="0"/>
          <w:lang w:val="en-AU"/>
        </w:rPr>
        <w:t xml:space="preserve">, United Nations, Food and Agriculture Organization, FAO Fisheries and Aquaculture Department, accessed 23 November 2018. </w:t>
      </w:r>
    </w:p>
    <w:p w14:paraId="4BC134B7" w14:textId="44C6B30B" w:rsidR="007F3FF4" w:rsidRPr="007F3FF4" w:rsidRDefault="007F3FF4" w:rsidP="00C80491">
      <w:pPr>
        <w:pStyle w:val="EndNoteBibliography"/>
        <w:rPr>
          <w:noProof w:val="0"/>
          <w:lang w:val="en-AU"/>
        </w:rPr>
      </w:pPr>
      <w:r>
        <w:rPr>
          <w:noProof w:val="0"/>
          <w:lang w:val="en-AU"/>
        </w:rPr>
        <w:t>Fenchel</w:t>
      </w:r>
      <w:r w:rsidR="00E96A4C">
        <w:rPr>
          <w:noProof w:val="0"/>
          <w:lang w:val="en-AU"/>
        </w:rPr>
        <w:t>,</w:t>
      </w:r>
      <w:r>
        <w:rPr>
          <w:noProof w:val="0"/>
          <w:lang w:val="en-AU"/>
        </w:rPr>
        <w:t xml:space="preserve"> T 1965, </w:t>
      </w:r>
      <w:hyperlink r:id="rId415" w:history="1">
        <w:r w:rsidRPr="007F3FF4">
          <w:rPr>
            <w:rStyle w:val="Hyperlink"/>
            <w:noProof w:val="0"/>
            <w:lang w:val="en-AU"/>
          </w:rPr>
          <w:t>Ciliates from Scandinavian molluscs</w:t>
        </w:r>
      </w:hyperlink>
      <w:r>
        <w:rPr>
          <w:noProof w:val="0"/>
          <w:lang w:val="en-AU"/>
        </w:rPr>
        <w:t xml:space="preserve">, </w:t>
      </w:r>
      <w:r>
        <w:rPr>
          <w:i/>
          <w:iCs/>
          <w:noProof w:val="0"/>
          <w:lang w:val="en-AU"/>
        </w:rPr>
        <w:t xml:space="preserve">Ophelia, </w:t>
      </w:r>
      <w:r>
        <w:rPr>
          <w:noProof w:val="0"/>
          <w:lang w:val="en-AU"/>
        </w:rPr>
        <w:t xml:space="preserve">vol. 2, no. 1, pp. 71-174, DOI: </w:t>
      </w:r>
      <w:r w:rsidRPr="007F3FF4">
        <w:rPr>
          <w:noProof w:val="0"/>
          <w:lang w:val="en-AU"/>
        </w:rPr>
        <w:t>10.1080/00785326.1965.10409598</w:t>
      </w:r>
      <w:r>
        <w:rPr>
          <w:noProof w:val="0"/>
          <w:lang w:val="en-AU"/>
        </w:rPr>
        <w:t xml:space="preserve">. </w:t>
      </w:r>
    </w:p>
    <w:p w14:paraId="7EC97D03" w14:textId="7FC1CFFA" w:rsidR="006939E1" w:rsidRDefault="00B5740F" w:rsidP="00C80491">
      <w:pPr>
        <w:pStyle w:val="EndNoteBibliography"/>
        <w:rPr>
          <w:noProof w:val="0"/>
          <w:lang w:val="en-AU"/>
        </w:rPr>
      </w:pPr>
      <w:r w:rsidRPr="00933093">
        <w:rPr>
          <w:noProof w:val="0"/>
          <w:lang w:val="en-AU"/>
        </w:rPr>
        <w:t xml:space="preserve">Ferguson, R 2000, </w:t>
      </w:r>
      <w:hyperlink r:id="rId416" w:anchor=":~:text=Unlike%20previous%20marine%20pest%20incursions,the%20waters%20of%20the%20marinas." w:history="1">
        <w:r w:rsidRPr="00933093">
          <w:rPr>
            <w:rStyle w:val="Hyperlink"/>
            <w:noProof w:val="0"/>
            <w:lang w:val="en-AU"/>
          </w:rPr>
          <w:t>The effectiveness of Australia’s response to the black striped mussel incursion in Darwin, Australia</w:t>
        </w:r>
      </w:hyperlink>
      <w:r w:rsidRPr="00933093">
        <w:rPr>
          <w:noProof w:val="0"/>
          <w:lang w:val="en-AU"/>
        </w:rPr>
        <w:t xml:space="preserve">, in </w:t>
      </w:r>
      <w:r w:rsidRPr="00933093">
        <w:rPr>
          <w:i/>
          <w:noProof w:val="0"/>
          <w:lang w:val="en-AU"/>
        </w:rPr>
        <w:t>A report of the marine pest incursion management workshop</w:t>
      </w:r>
      <w:r w:rsidRPr="00933093">
        <w:rPr>
          <w:noProof w:val="0"/>
          <w:lang w:val="en-AU"/>
        </w:rPr>
        <w:t>, pp. 27-8.</w:t>
      </w:r>
    </w:p>
    <w:p w14:paraId="172434D6" w14:textId="373A5E4F" w:rsidR="00E96A4C" w:rsidRDefault="00E96A4C" w:rsidP="00C80491">
      <w:pPr>
        <w:pStyle w:val="EndNoteBibliography"/>
        <w:rPr>
          <w:noProof w:val="0"/>
          <w:lang w:val="en-AU"/>
        </w:rPr>
      </w:pPr>
      <w:bookmarkStart w:id="806" w:name="_Hlk187269840"/>
      <w:r>
        <w:rPr>
          <w:noProof w:val="0"/>
          <w:lang w:val="en-AU"/>
        </w:rPr>
        <w:t xml:space="preserve">Fletcher, LM, </w:t>
      </w:r>
      <w:proofErr w:type="spellStart"/>
      <w:r>
        <w:rPr>
          <w:noProof w:val="0"/>
          <w:lang w:val="en-AU"/>
        </w:rPr>
        <w:t>Zaiko</w:t>
      </w:r>
      <w:proofErr w:type="spellEnd"/>
      <w:r>
        <w:rPr>
          <w:noProof w:val="0"/>
          <w:lang w:val="en-AU"/>
        </w:rPr>
        <w:t xml:space="preserve">, A, </w:t>
      </w:r>
      <w:proofErr w:type="spellStart"/>
      <w:r>
        <w:rPr>
          <w:noProof w:val="0"/>
          <w:lang w:val="en-AU"/>
        </w:rPr>
        <w:t>Atalah</w:t>
      </w:r>
      <w:proofErr w:type="spellEnd"/>
      <w:r>
        <w:rPr>
          <w:noProof w:val="0"/>
          <w:lang w:val="en-AU"/>
        </w:rPr>
        <w:t xml:space="preserve">, J, Richter, I, Dufour, CM, </w:t>
      </w:r>
      <w:proofErr w:type="spellStart"/>
      <w:r>
        <w:rPr>
          <w:noProof w:val="0"/>
          <w:lang w:val="en-AU"/>
        </w:rPr>
        <w:t>Pochon</w:t>
      </w:r>
      <w:proofErr w:type="spellEnd"/>
      <w:r>
        <w:rPr>
          <w:noProof w:val="0"/>
          <w:lang w:val="en-AU"/>
        </w:rPr>
        <w:t xml:space="preserve">, X, Wood, SA &amp; Hopkins, GA 2017, </w:t>
      </w:r>
      <w:hyperlink r:id="rId417" w:history="1">
        <w:r w:rsidRPr="00E96A4C">
          <w:rPr>
            <w:rStyle w:val="Hyperlink"/>
            <w:noProof w:val="0"/>
            <w:lang w:val="en-AU"/>
          </w:rPr>
          <w:t>Bilge water as a vector for the spread of marine pests: a morphological, metabarcoding and experimental assessment</w:t>
        </w:r>
      </w:hyperlink>
      <w:r>
        <w:rPr>
          <w:noProof w:val="0"/>
          <w:lang w:val="en-AU"/>
        </w:rPr>
        <w:t xml:space="preserve">, </w:t>
      </w:r>
      <w:r>
        <w:rPr>
          <w:i/>
          <w:iCs/>
          <w:noProof w:val="0"/>
          <w:lang w:val="en-AU"/>
        </w:rPr>
        <w:t xml:space="preserve">Biological Invasions, </w:t>
      </w:r>
      <w:r>
        <w:rPr>
          <w:noProof w:val="0"/>
          <w:lang w:val="en-AU"/>
        </w:rPr>
        <w:t xml:space="preserve">vol. 19, pp. 2851-2867, DOI: </w:t>
      </w:r>
      <w:r w:rsidRPr="00E96A4C">
        <w:rPr>
          <w:noProof w:val="0"/>
          <w:lang w:val="en-AU"/>
        </w:rPr>
        <w:t>10.1007/s10530-017-1489-y</w:t>
      </w:r>
      <w:r>
        <w:rPr>
          <w:noProof w:val="0"/>
          <w:lang w:val="en-AU"/>
        </w:rPr>
        <w:t>.</w:t>
      </w:r>
    </w:p>
    <w:p w14:paraId="6284F56B" w14:textId="2B1C157C" w:rsidR="00E96A4C" w:rsidRPr="000144F5" w:rsidRDefault="00E96A4C" w:rsidP="00C80491">
      <w:pPr>
        <w:pStyle w:val="EndNoteBibliography"/>
        <w:rPr>
          <w:noProof w:val="0"/>
          <w:lang w:val="en-AU"/>
        </w:rPr>
      </w:pPr>
      <w:r>
        <w:rPr>
          <w:noProof w:val="0"/>
          <w:lang w:val="en-AU"/>
        </w:rPr>
        <w:t xml:space="preserve">Fletcher, LM, </w:t>
      </w:r>
      <w:proofErr w:type="spellStart"/>
      <w:r>
        <w:rPr>
          <w:noProof w:val="0"/>
          <w:lang w:val="en-AU"/>
        </w:rPr>
        <w:t>Atalah</w:t>
      </w:r>
      <w:proofErr w:type="spellEnd"/>
      <w:r>
        <w:rPr>
          <w:noProof w:val="0"/>
          <w:lang w:val="en-AU"/>
        </w:rPr>
        <w:t xml:space="preserve">, J &amp; Hopkins, GA </w:t>
      </w:r>
      <w:r w:rsidR="000144F5">
        <w:rPr>
          <w:noProof w:val="0"/>
          <w:lang w:val="en-AU"/>
        </w:rPr>
        <w:t xml:space="preserve">2021, </w:t>
      </w:r>
      <w:hyperlink r:id="rId418" w:history="1">
        <w:r w:rsidR="000144F5" w:rsidRPr="000144F5">
          <w:rPr>
            <w:rStyle w:val="Hyperlink"/>
            <w:noProof w:val="0"/>
            <w:lang w:val="en-AU"/>
          </w:rPr>
          <w:t>Biosecurity risk associated with bilge water from small vessels: an evaluation of systems and operator behaviours</w:t>
        </w:r>
      </w:hyperlink>
      <w:r w:rsidR="000144F5">
        <w:rPr>
          <w:noProof w:val="0"/>
          <w:lang w:val="en-AU"/>
        </w:rPr>
        <w:t xml:space="preserve">, </w:t>
      </w:r>
      <w:r w:rsidR="000144F5">
        <w:rPr>
          <w:i/>
          <w:iCs/>
          <w:noProof w:val="0"/>
          <w:lang w:val="en-AU"/>
        </w:rPr>
        <w:t xml:space="preserve">Marine and Freshwater Research, </w:t>
      </w:r>
      <w:r w:rsidR="000144F5">
        <w:rPr>
          <w:noProof w:val="0"/>
          <w:lang w:val="en-AU"/>
        </w:rPr>
        <w:t xml:space="preserve">vol. 72, pp. 718-731, DOI: </w:t>
      </w:r>
      <w:r w:rsidR="000144F5" w:rsidRPr="000144F5">
        <w:rPr>
          <w:noProof w:val="0"/>
          <w:lang w:val="en-AU"/>
        </w:rPr>
        <w:t>10.1071/MF20148</w:t>
      </w:r>
      <w:r w:rsidR="000144F5">
        <w:rPr>
          <w:noProof w:val="0"/>
          <w:lang w:val="en-AU"/>
        </w:rPr>
        <w:t xml:space="preserve">. </w:t>
      </w:r>
    </w:p>
    <w:bookmarkEnd w:id="806"/>
    <w:p w14:paraId="18950406" w14:textId="7EEC7ACC" w:rsidR="00AF41BC" w:rsidRPr="00933093" w:rsidRDefault="00AF41BC" w:rsidP="00C80491">
      <w:pPr>
        <w:spacing w:line="240" w:lineRule="auto"/>
      </w:pPr>
      <w:proofErr w:type="spellStart"/>
      <w:r w:rsidRPr="00933093">
        <w:t>Floerl</w:t>
      </w:r>
      <w:proofErr w:type="spellEnd"/>
      <w:r w:rsidRPr="00933093">
        <w:t xml:space="preserve">, O 2004, </w:t>
      </w:r>
      <w:hyperlink r:id="rId419" w:history="1">
        <w:r w:rsidRPr="00933093">
          <w:rPr>
            <w:rStyle w:val="Hyperlink"/>
          </w:rPr>
          <w:t>Protocol to quantify the level of fouling (</w:t>
        </w:r>
        <w:proofErr w:type="spellStart"/>
        <w:r w:rsidRPr="00933093">
          <w:rPr>
            <w:rStyle w:val="Hyperlink"/>
          </w:rPr>
          <w:t>LoF</w:t>
        </w:r>
        <w:proofErr w:type="spellEnd"/>
        <w:r w:rsidRPr="00933093">
          <w:rPr>
            <w:rStyle w:val="Hyperlink"/>
          </w:rPr>
          <w:t>) on vessel hulls using an ordinal rank scale</w:t>
        </w:r>
      </w:hyperlink>
      <w:r w:rsidRPr="00933093">
        <w:t>, unpublished report for New Zealand Ministry of Fisheries project ZB</w:t>
      </w:r>
      <w:r w:rsidRPr="00933093">
        <w:rPr>
          <w:rStyle w:val="Strong"/>
          <w:b w:val="0"/>
          <w:bCs w:val="0"/>
        </w:rPr>
        <w:t>S2</w:t>
      </w:r>
      <w:r w:rsidRPr="00933093">
        <w:t>004</w:t>
      </w:r>
      <w:r w:rsidRPr="00933093">
        <w:noBreakHyphen/>
        <w:t>03, Wellington, New Zealand, accessed 20 March 2023.</w:t>
      </w:r>
    </w:p>
    <w:p w14:paraId="7755CF5A" w14:textId="6CE8B551" w:rsidR="006939E1" w:rsidRDefault="00B5740F" w:rsidP="00C80491">
      <w:pPr>
        <w:pStyle w:val="EndNoteBibliography"/>
        <w:rPr>
          <w:noProof w:val="0"/>
          <w:lang w:val="en-AU"/>
        </w:rPr>
      </w:pPr>
      <w:bookmarkStart w:id="807" w:name="_Hlk166493553"/>
      <w:proofErr w:type="spellStart"/>
      <w:r w:rsidRPr="00933093">
        <w:rPr>
          <w:noProof w:val="0"/>
          <w:lang w:val="en-AU"/>
        </w:rPr>
        <w:lastRenderedPageBreak/>
        <w:t>Floerl</w:t>
      </w:r>
      <w:proofErr w:type="spellEnd"/>
      <w:r w:rsidRPr="00933093">
        <w:rPr>
          <w:noProof w:val="0"/>
          <w:lang w:val="en-AU"/>
        </w:rPr>
        <w:t xml:space="preserve">, O, Inglis, G, Peacock, L &amp; Plew, D 2012, </w:t>
      </w:r>
      <w:hyperlink r:id="rId420" w:anchor=":~:text=Settlement%20arrays%20may%20provide%20benefits,populations%20in%20the%20survey%20areas." w:history="1">
        <w:r w:rsidRPr="00933093">
          <w:rPr>
            <w:rStyle w:val="Hyperlink"/>
            <w:iCs/>
            <w:noProof w:val="0"/>
            <w:lang w:val="en-AU"/>
          </w:rPr>
          <w:t>The efficacy of settlement plate arrays for marine surveillance</w:t>
        </w:r>
      </w:hyperlink>
      <w:r w:rsidRPr="00933093">
        <w:rPr>
          <w:noProof w:val="0"/>
          <w:lang w:val="en-AU"/>
        </w:rPr>
        <w:t xml:space="preserve">, </w:t>
      </w:r>
      <w:r w:rsidR="001579D5" w:rsidRPr="00933093">
        <w:rPr>
          <w:noProof w:val="0"/>
          <w:lang w:val="en-AU"/>
        </w:rPr>
        <w:t>MPI Technical Paper No: 2012/16, Wellington, New Zealand, p. 91.</w:t>
      </w:r>
    </w:p>
    <w:p w14:paraId="51237B1E" w14:textId="76671F26" w:rsidR="005F7F32" w:rsidRDefault="005F7F32" w:rsidP="00C80491">
      <w:pPr>
        <w:spacing w:line="240" w:lineRule="auto"/>
      </w:pPr>
      <w:bookmarkStart w:id="808" w:name="_Hlk189214875"/>
      <w:r w:rsidRPr="00892537">
        <w:t xml:space="preserve">Forrest, B &amp; Blakemore, KA 2006, </w:t>
      </w:r>
      <w:hyperlink r:id="rId421" w:history="1">
        <w:r w:rsidRPr="005F7F32">
          <w:rPr>
            <w:rStyle w:val="Hyperlink"/>
          </w:rPr>
          <w:t>Evaluation of treatments to reduce the spread of a marine plant pest with aquaculture transfers</w:t>
        </w:r>
      </w:hyperlink>
      <w:r w:rsidRPr="00892537">
        <w:t xml:space="preserve">, </w:t>
      </w:r>
      <w:r w:rsidRPr="00E54FE3">
        <w:rPr>
          <w:rStyle w:val="Emphasis"/>
        </w:rPr>
        <w:t>Aquaculture</w:t>
      </w:r>
      <w:r w:rsidRPr="00E54FE3">
        <w:t>, vol. 257,</w:t>
      </w:r>
      <w:r w:rsidRPr="00581E99">
        <w:t xml:space="preserve"> vol. 1–4, </w:t>
      </w:r>
      <w:r w:rsidRPr="00E54FE3">
        <w:t>pp. 333–45</w:t>
      </w:r>
      <w:r w:rsidRPr="00581E99">
        <w:t xml:space="preserve">, DOI: </w:t>
      </w:r>
      <w:r w:rsidRPr="00892537">
        <w:t>10.1016/j.aquaculture.2006.03.021</w:t>
      </w:r>
      <w:r w:rsidRPr="00E54FE3">
        <w:t>.</w:t>
      </w:r>
    </w:p>
    <w:bookmarkEnd w:id="808"/>
    <w:p w14:paraId="35C74361" w14:textId="01FDB2FA" w:rsidR="005F7F32" w:rsidRDefault="005F7F32" w:rsidP="00C80491">
      <w:pPr>
        <w:spacing w:line="240" w:lineRule="auto"/>
      </w:pPr>
      <w:r w:rsidRPr="00E54FE3">
        <w:t xml:space="preserve">Forrest, BM, Hopkins, GA &amp; Gardner, JP 2007, </w:t>
      </w:r>
      <w:hyperlink r:id="rId422" w:history="1">
        <w:r w:rsidRPr="00581E99">
          <w:rPr>
            <w:rStyle w:val="Hyperlink"/>
          </w:rPr>
          <w:t>Efficacy of acetic acid treatments in the management of marine biofouling</w:t>
        </w:r>
      </w:hyperlink>
      <w:r w:rsidRPr="00892537">
        <w:t xml:space="preserve">, </w:t>
      </w:r>
      <w:r w:rsidRPr="00E54FE3">
        <w:rPr>
          <w:rStyle w:val="Emphasis"/>
        </w:rPr>
        <w:t>Aquaculture</w:t>
      </w:r>
      <w:r w:rsidRPr="00E54FE3">
        <w:t>, vol. 262, no. 2</w:t>
      </w:r>
      <w:r w:rsidRPr="00E54FE3">
        <w:noBreakHyphen/>
        <w:t>4, pp. 319–32</w:t>
      </w:r>
      <w:r w:rsidRPr="00581E99">
        <w:t>, DOI:</w:t>
      </w:r>
      <w:r>
        <w:t xml:space="preserve"> </w:t>
      </w:r>
      <w:r w:rsidRPr="00892537">
        <w:t>10.1016/j.aquaculture.2006.11.006</w:t>
      </w:r>
      <w:r>
        <w:t>.</w:t>
      </w:r>
    </w:p>
    <w:p w14:paraId="28AFC983" w14:textId="7B16E7D9" w:rsidR="00C44569" w:rsidRPr="00C44569" w:rsidRDefault="00C44569" w:rsidP="00C80491">
      <w:pPr>
        <w:spacing w:line="240" w:lineRule="auto"/>
      </w:pPr>
      <w:r>
        <w:t xml:space="preserve">Fuertes, VNB, de </w:t>
      </w:r>
      <w:proofErr w:type="spellStart"/>
      <w:r>
        <w:t>los</w:t>
      </w:r>
      <w:proofErr w:type="spellEnd"/>
      <w:r>
        <w:t xml:space="preserve"> Reyes, RA &amp; Monteclaro, HM 2021, </w:t>
      </w:r>
      <w:hyperlink r:id="rId423" w:history="1">
        <w:r w:rsidRPr="00C44569">
          <w:rPr>
            <w:rStyle w:val="Hyperlink"/>
          </w:rPr>
          <w:t xml:space="preserve">The spread of the non-indigenous mussel species </w:t>
        </w:r>
        <w:r w:rsidRPr="00C44569">
          <w:rPr>
            <w:rStyle w:val="Hyperlink"/>
            <w:i/>
            <w:iCs/>
          </w:rPr>
          <w:t>Mytella strigata</w:t>
        </w:r>
        <w:r w:rsidRPr="00C44569">
          <w:rPr>
            <w:rStyle w:val="Hyperlink"/>
          </w:rPr>
          <w:t xml:space="preserve"> (Hanley, 1843) in the Philippines: Ensuing issues and responses of local communities</w:t>
        </w:r>
      </w:hyperlink>
      <w:r>
        <w:t xml:space="preserve">, </w:t>
      </w:r>
      <w:r>
        <w:rPr>
          <w:i/>
          <w:iCs/>
        </w:rPr>
        <w:t xml:space="preserve">Regional Studies in Marine Science, </w:t>
      </w:r>
      <w:r>
        <w:t xml:space="preserve">vol. 41, pp. 101576, DOI: </w:t>
      </w:r>
      <w:r w:rsidRPr="00C44569">
        <w:t>10.1016/j.rsma.2020.101576</w:t>
      </w:r>
      <w:r>
        <w:t>.</w:t>
      </w:r>
    </w:p>
    <w:bookmarkEnd w:id="807"/>
    <w:p w14:paraId="5B8C08CA" w14:textId="08A7A9F5" w:rsidR="006939E1" w:rsidRDefault="00B5740F" w:rsidP="00C80491">
      <w:pPr>
        <w:pStyle w:val="EndNoteBibliography"/>
        <w:rPr>
          <w:noProof w:val="0"/>
          <w:lang w:val="en-AU"/>
        </w:rPr>
      </w:pPr>
      <w:r w:rsidRPr="00933093">
        <w:rPr>
          <w:noProof w:val="0"/>
          <w:lang w:val="en-AU"/>
        </w:rPr>
        <w:t xml:space="preserve">Fuhrmann, M, </w:t>
      </w:r>
      <w:r w:rsidR="001579D5" w:rsidRPr="00933093">
        <w:rPr>
          <w:noProof w:val="0"/>
          <w:lang w:val="en-AU"/>
        </w:rPr>
        <w:t>Georgiades, E, Cattell, G, Brosnahan, C, Lane, HS &amp; Hicks, PM 2021</w:t>
      </w:r>
      <w:r w:rsidRPr="00933093">
        <w:rPr>
          <w:noProof w:val="0"/>
          <w:lang w:val="en-AU"/>
        </w:rPr>
        <w:t xml:space="preserve">, </w:t>
      </w:r>
      <w:hyperlink r:id="rId424" w:history="1">
        <w:r w:rsidR="001579D5" w:rsidRPr="00933093">
          <w:rPr>
            <w:rStyle w:val="Hyperlink"/>
            <w:noProof w:val="0"/>
            <w:lang w:val="en-AU"/>
          </w:rPr>
          <w:t xml:space="preserve">Aquatic pathogens and biofouling: pilot study of </w:t>
        </w:r>
        <w:proofErr w:type="spellStart"/>
        <w:r w:rsidR="001579D5" w:rsidRPr="00933093">
          <w:rPr>
            <w:rStyle w:val="Hyperlink"/>
            <w:noProof w:val="0"/>
            <w:lang w:val="en-AU"/>
          </w:rPr>
          <w:t>ostreid</w:t>
        </w:r>
        <w:proofErr w:type="spellEnd"/>
        <w:r w:rsidR="001579D5" w:rsidRPr="00933093">
          <w:rPr>
            <w:rStyle w:val="Hyperlink"/>
            <w:noProof w:val="0"/>
            <w:lang w:val="en-AU"/>
          </w:rPr>
          <w:t xml:space="preserve"> herpesvirus 1 translocation by bivalves</w:t>
        </w:r>
      </w:hyperlink>
      <w:r w:rsidRPr="00933093">
        <w:rPr>
          <w:noProof w:val="0"/>
          <w:lang w:val="en-AU"/>
        </w:rPr>
        <w:t xml:space="preserve">, </w:t>
      </w:r>
      <w:r w:rsidR="001579D5" w:rsidRPr="00933093">
        <w:rPr>
          <w:i/>
          <w:noProof w:val="0"/>
          <w:lang w:val="en-AU"/>
        </w:rPr>
        <w:t>Biofouling</w:t>
      </w:r>
      <w:r w:rsidR="001579D5" w:rsidRPr="00933093">
        <w:rPr>
          <w:iCs/>
          <w:noProof w:val="0"/>
          <w:lang w:val="en-AU"/>
        </w:rPr>
        <w:t>,</w:t>
      </w:r>
      <w:r w:rsidR="001579D5" w:rsidRPr="00933093">
        <w:rPr>
          <w:noProof w:val="0"/>
          <w:lang w:val="en-AU"/>
        </w:rPr>
        <w:t xml:space="preserve"> vol. 37, pp. 959-63</w:t>
      </w:r>
      <w:r w:rsidR="00933093">
        <w:rPr>
          <w:noProof w:val="0"/>
          <w:lang w:val="en-AU"/>
        </w:rPr>
        <w:t xml:space="preserve">, DOI: </w:t>
      </w:r>
      <w:r w:rsidR="00933093" w:rsidRPr="00933093">
        <w:rPr>
          <w:noProof w:val="0"/>
          <w:lang w:val="en-AU"/>
        </w:rPr>
        <w:t>10.1080/08927014.2021.1985474</w:t>
      </w:r>
      <w:r w:rsidR="00933093">
        <w:rPr>
          <w:noProof w:val="0"/>
          <w:lang w:val="en-AU"/>
        </w:rPr>
        <w:t>.</w:t>
      </w:r>
    </w:p>
    <w:p w14:paraId="39547ED2" w14:textId="3DD0D20F" w:rsidR="00237DD0" w:rsidRPr="00237DD0" w:rsidRDefault="00237DD0" w:rsidP="00237DD0">
      <w:pPr>
        <w:rPr>
          <w:rFonts w:ascii="Calibri" w:hAnsi="Calibri" w:cs="Calibri"/>
        </w:rPr>
      </w:pPr>
      <w:r w:rsidRPr="00237DD0">
        <w:rPr>
          <w:rFonts w:ascii="Calibri" w:hAnsi="Calibri" w:cs="Calibri"/>
        </w:rPr>
        <w:t>Furlani, DM</w:t>
      </w:r>
      <w:r>
        <w:rPr>
          <w:rFonts w:ascii="Calibri" w:hAnsi="Calibri" w:cs="Calibri"/>
        </w:rPr>
        <w:t xml:space="preserve"> </w:t>
      </w:r>
      <w:r w:rsidRPr="00237DD0">
        <w:rPr>
          <w:rFonts w:ascii="Calibri" w:hAnsi="Calibri" w:cs="Calibri"/>
        </w:rPr>
        <w:t>1996</w:t>
      </w:r>
      <w:r>
        <w:rPr>
          <w:rFonts w:ascii="Calibri" w:hAnsi="Calibri" w:cs="Calibri"/>
        </w:rPr>
        <w:t xml:space="preserve">, </w:t>
      </w:r>
      <w:r w:rsidRPr="00237DD0">
        <w:rPr>
          <w:rFonts w:ascii="Calibri" w:hAnsi="Calibri" w:cs="Calibri"/>
          <w:i/>
          <w:iCs/>
        </w:rPr>
        <w:t>A guide to the introduced marine species in Australian waters</w:t>
      </w:r>
      <w:r>
        <w:rPr>
          <w:rFonts w:ascii="Calibri" w:hAnsi="Calibri" w:cs="Calibri"/>
        </w:rPr>
        <w:t xml:space="preserve">, </w:t>
      </w:r>
      <w:r w:rsidRPr="00237DD0">
        <w:rPr>
          <w:rFonts w:ascii="Calibri" w:hAnsi="Calibri" w:cs="Calibri"/>
        </w:rPr>
        <w:t xml:space="preserve">Centre for Research on Introduced Marine Pests (Australia), </w:t>
      </w:r>
      <w:r>
        <w:rPr>
          <w:rFonts w:ascii="Calibri" w:hAnsi="Calibri" w:cs="Calibri"/>
        </w:rPr>
        <w:t xml:space="preserve">Technical Report No. </w:t>
      </w:r>
      <w:r w:rsidRPr="00237DD0">
        <w:rPr>
          <w:rFonts w:ascii="Calibri" w:hAnsi="Calibri" w:cs="Calibri"/>
        </w:rPr>
        <w:t xml:space="preserve">5, </w:t>
      </w:r>
      <w:r>
        <w:rPr>
          <w:rFonts w:ascii="Calibri" w:hAnsi="Calibri" w:cs="Calibri"/>
        </w:rPr>
        <w:t xml:space="preserve">pp. </w:t>
      </w:r>
      <w:r w:rsidRPr="00237DD0">
        <w:rPr>
          <w:rFonts w:ascii="Calibri" w:hAnsi="Calibri" w:cs="Calibri"/>
        </w:rPr>
        <w:t>1324-3534</w:t>
      </w:r>
      <w:r>
        <w:rPr>
          <w:rFonts w:ascii="Calibri" w:hAnsi="Calibri" w:cs="Calibri"/>
        </w:rPr>
        <w:t xml:space="preserve">, accessed on 23 July 2024. </w:t>
      </w:r>
    </w:p>
    <w:p w14:paraId="1BE8FF3C" w14:textId="0DAB1836" w:rsidR="006939E1" w:rsidRPr="00933093" w:rsidRDefault="00B5740F" w:rsidP="00C80491">
      <w:pPr>
        <w:pStyle w:val="EndNoteBibliography"/>
        <w:rPr>
          <w:noProof w:val="0"/>
          <w:lang w:val="en-AU"/>
        </w:rPr>
      </w:pPr>
      <w:r w:rsidRPr="00933093">
        <w:rPr>
          <w:noProof w:val="0"/>
          <w:lang w:val="en-AU"/>
        </w:rPr>
        <w:t xml:space="preserve">Galil, BS &amp; Bogi, C 2009, </w:t>
      </w:r>
      <w:hyperlink r:id="rId425" w:history="1">
        <w:r w:rsidRPr="00933093">
          <w:rPr>
            <w:rStyle w:val="Hyperlink"/>
            <w:i/>
            <w:noProof w:val="0"/>
            <w:lang w:val="en-AU"/>
          </w:rPr>
          <w:t>Mytilopsis sallei</w:t>
        </w:r>
        <w:r w:rsidRPr="00933093">
          <w:rPr>
            <w:rStyle w:val="Hyperlink"/>
            <w:noProof w:val="0"/>
            <w:lang w:val="en-AU"/>
          </w:rPr>
          <w:t xml:space="preserve"> (Mollusca: Bivalvia: </w:t>
        </w:r>
        <w:proofErr w:type="spellStart"/>
        <w:r w:rsidRPr="00933093">
          <w:rPr>
            <w:rStyle w:val="Hyperlink"/>
            <w:noProof w:val="0"/>
            <w:lang w:val="en-AU"/>
          </w:rPr>
          <w:t>Dreissenidae</w:t>
        </w:r>
        <w:proofErr w:type="spellEnd"/>
        <w:r w:rsidRPr="00933093">
          <w:rPr>
            <w:rStyle w:val="Hyperlink"/>
            <w:noProof w:val="0"/>
            <w:lang w:val="en-AU"/>
          </w:rPr>
          <w:t>) established on the Mediterranean coast of Israel</w:t>
        </w:r>
      </w:hyperlink>
      <w:r w:rsidRPr="00933093">
        <w:rPr>
          <w:noProof w:val="0"/>
          <w:lang w:val="en-AU"/>
        </w:rPr>
        <w:t xml:space="preserve">, </w:t>
      </w:r>
      <w:r w:rsidRPr="00933093">
        <w:rPr>
          <w:i/>
          <w:noProof w:val="0"/>
          <w:lang w:val="en-AU"/>
        </w:rPr>
        <w:t>Marine Biodiversity Records</w:t>
      </w:r>
      <w:r w:rsidRPr="00933093">
        <w:rPr>
          <w:noProof w:val="0"/>
          <w:lang w:val="en-AU"/>
        </w:rPr>
        <w:t>, vol. 2, p. e73</w:t>
      </w:r>
      <w:r w:rsidR="00933093">
        <w:rPr>
          <w:noProof w:val="0"/>
          <w:lang w:val="en-AU"/>
        </w:rPr>
        <w:t xml:space="preserve">, DOI: </w:t>
      </w:r>
      <w:r w:rsidR="00933093" w:rsidRPr="00933093">
        <w:rPr>
          <w:noProof w:val="0"/>
          <w:lang w:val="en-AU"/>
        </w:rPr>
        <w:t>10.1017/S1755267209000451</w:t>
      </w:r>
      <w:r w:rsidR="00933093">
        <w:rPr>
          <w:noProof w:val="0"/>
          <w:lang w:val="en-AU"/>
        </w:rPr>
        <w:t>.</w:t>
      </w:r>
    </w:p>
    <w:p w14:paraId="5AB6A47D" w14:textId="0E226C1A" w:rsidR="006939E1" w:rsidRDefault="00B5740F" w:rsidP="00C80491">
      <w:pPr>
        <w:pStyle w:val="EndNoteBibliography"/>
        <w:rPr>
          <w:noProof w:val="0"/>
          <w:lang w:val="en-AU"/>
        </w:rPr>
      </w:pPr>
      <w:r w:rsidRPr="00933093">
        <w:rPr>
          <w:noProof w:val="0"/>
          <w:lang w:val="en-AU"/>
        </w:rPr>
        <w:t xml:space="preserve">Ganapathi, PN, Rao, MVL &amp; Varghese, AG 1971, </w:t>
      </w:r>
      <w:hyperlink r:id="rId426" w:history="1">
        <w:r w:rsidRPr="00933093">
          <w:rPr>
            <w:rStyle w:val="Hyperlink"/>
            <w:noProof w:val="0"/>
            <w:lang w:val="en-AU"/>
          </w:rPr>
          <w:t xml:space="preserve">On </w:t>
        </w:r>
        <w:proofErr w:type="spellStart"/>
        <w:r w:rsidRPr="00933093">
          <w:rPr>
            <w:rStyle w:val="Hyperlink"/>
            <w:i/>
            <w:iCs/>
            <w:noProof w:val="0"/>
            <w:lang w:val="en-AU"/>
          </w:rPr>
          <w:t>Congeria</w:t>
        </w:r>
        <w:proofErr w:type="spellEnd"/>
        <w:r w:rsidRPr="00933093">
          <w:rPr>
            <w:rStyle w:val="Hyperlink"/>
            <w:i/>
            <w:iCs/>
            <w:noProof w:val="0"/>
            <w:lang w:val="en-AU"/>
          </w:rPr>
          <w:t xml:space="preserve"> sallei </w:t>
        </w:r>
        <w:proofErr w:type="spellStart"/>
        <w:r w:rsidRPr="00933093">
          <w:rPr>
            <w:rStyle w:val="Hyperlink"/>
            <w:noProof w:val="0"/>
            <w:lang w:val="en-AU"/>
          </w:rPr>
          <w:t>Recluz</w:t>
        </w:r>
        <w:proofErr w:type="spellEnd"/>
        <w:r w:rsidRPr="00933093">
          <w:rPr>
            <w:rStyle w:val="Hyperlink"/>
            <w:noProof w:val="0"/>
            <w:lang w:val="en-AU"/>
          </w:rPr>
          <w:t>, a fouling bivalve mollusc in Visakhapatnam Harbour</w:t>
        </w:r>
      </w:hyperlink>
      <w:r w:rsidRPr="00933093">
        <w:rPr>
          <w:noProof w:val="0"/>
          <w:lang w:val="en-AU"/>
        </w:rPr>
        <w:t xml:space="preserve">, </w:t>
      </w:r>
      <w:r w:rsidRPr="00933093">
        <w:rPr>
          <w:i/>
          <w:iCs/>
          <w:noProof w:val="0"/>
          <w:lang w:val="en-AU"/>
        </w:rPr>
        <w:t>Current Science</w:t>
      </w:r>
      <w:r w:rsidRPr="00933093">
        <w:rPr>
          <w:noProof w:val="0"/>
          <w:lang w:val="en-AU"/>
        </w:rPr>
        <w:t>, vo. 15, pp. 409-10.</w:t>
      </w:r>
    </w:p>
    <w:p w14:paraId="7C0C9BCB" w14:textId="4D4F6F5C" w:rsidR="00381A09" w:rsidRDefault="00381A09" w:rsidP="00C80491">
      <w:pPr>
        <w:pStyle w:val="EndNoteBibliography"/>
        <w:rPr>
          <w:noProof w:val="0"/>
          <w:lang w:val="en-AU"/>
        </w:rPr>
      </w:pPr>
      <w:r w:rsidRPr="00381A09">
        <w:rPr>
          <w:noProof w:val="0"/>
          <w:lang w:val="en-AU"/>
        </w:rPr>
        <w:t>Gardner, JPA, Patterson, J, George, S</w:t>
      </w:r>
      <w:r>
        <w:rPr>
          <w:noProof w:val="0"/>
          <w:lang w:val="en-AU"/>
        </w:rPr>
        <w:t xml:space="preserve"> &amp; Patterson, JK 2016, </w:t>
      </w:r>
      <w:hyperlink r:id="rId427" w:history="1">
        <w:r w:rsidRPr="00381A09">
          <w:rPr>
            <w:rStyle w:val="Hyperlink"/>
            <w:noProof w:val="0"/>
            <w:lang w:val="en-AU"/>
          </w:rPr>
          <w:t xml:space="preserve">Combined evidence indicates that </w:t>
        </w:r>
        <w:r w:rsidRPr="00381A09">
          <w:rPr>
            <w:rStyle w:val="Hyperlink"/>
            <w:i/>
            <w:iCs/>
            <w:noProof w:val="0"/>
            <w:lang w:val="en-AU"/>
          </w:rPr>
          <w:t xml:space="preserve">Perna indica </w:t>
        </w:r>
        <w:r w:rsidRPr="00381A09">
          <w:rPr>
            <w:rStyle w:val="Hyperlink"/>
            <w:noProof w:val="0"/>
            <w:lang w:val="en-AU"/>
          </w:rPr>
          <w:t xml:space="preserve">Kuriakose and Nair 1976 is </w:t>
        </w:r>
        <w:r w:rsidRPr="00381A09">
          <w:rPr>
            <w:rStyle w:val="Hyperlink"/>
            <w:i/>
            <w:iCs/>
            <w:noProof w:val="0"/>
            <w:lang w:val="en-AU"/>
          </w:rPr>
          <w:t xml:space="preserve">Perna </w:t>
        </w:r>
        <w:proofErr w:type="spellStart"/>
        <w:r w:rsidRPr="00381A09">
          <w:rPr>
            <w:rStyle w:val="Hyperlink"/>
            <w:i/>
            <w:iCs/>
            <w:noProof w:val="0"/>
            <w:lang w:val="en-AU"/>
          </w:rPr>
          <w:t>perna</w:t>
        </w:r>
        <w:proofErr w:type="spellEnd"/>
        <w:r w:rsidRPr="00381A09">
          <w:rPr>
            <w:rStyle w:val="Hyperlink"/>
            <w:noProof w:val="0"/>
            <w:lang w:val="en-AU"/>
          </w:rPr>
          <w:t xml:space="preserve"> (Linnaeus, 1758) from the Oman region introduced into southern India more than 100 years ago</w:t>
        </w:r>
      </w:hyperlink>
      <w:r>
        <w:rPr>
          <w:noProof w:val="0"/>
          <w:lang w:val="en-AU"/>
        </w:rPr>
        <w:t xml:space="preserve">, </w:t>
      </w:r>
      <w:r w:rsidRPr="00381A09">
        <w:rPr>
          <w:i/>
          <w:iCs/>
          <w:noProof w:val="0"/>
          <w:lang w:val="en-AU"/>
        </w:rPr>
        <w:t>Biological Invasions</w:t>
      </w:r>
      <w:r>
        <w:rPr>
          <w:noProof w:val="0"/>
          <w:lang w:val="en-AU"/>
        </w:rPr>
        <w:t xml:space="preserve">, vol. </w:t>
      </w:r>
      <w:r w:rsidRPr="00381A09">
        <w:rPr>
          <w:noProof w:val="0"/>
          <w:lang w:val="en-AU"/>
        </w:rPr>
        <w:t xml:space="preserve">18, </w:t>
      </w:r>
      <w:r>
        <w:rPr>
          <w:noProof w:val="0"/>
          <w:lang w:val="en-AU"/>
        </w:rPr>
        <w:t xml:space="preserve">pp. </w:t>
      </w:r>
      <w:r w:rsidRPr="00381A09">
        <w:rPr>
          <w:noProof w:val="0"/>
          <w:lang w:val="en-AU"/>
        </w:rPr>
        <w:t>1375–1390</w:t>
      </w:r>
      <w:r>
        <w:rPr>
          <w:noProof w:val="0"/>
          <w:lang w:val="en-AU"/>
        </w:rPr>
        <w:t xml:space="preserve">, DOI: </w:t>
      </w:r>
      <w:r w:rsidRPr="00381A09">
        <w:rPr>
          <w:noProof w:val="0"/>
          <w:lang w:val="en-AU"/>
        </w:rPr>
        <w:t>10.1007/s10530-016-1074-9</w:t>
      </w:r>
      <w:r>
        <w:rPr>
          <w:noProof w:val="0"/>
          <w:lang w:val="en-AU"/>
        </w:rPr>
        <w:t xml:space="preserve">. </w:t>
      </w:r>
    </w:p>
    <w:p w14:paraId="0275C735" w14:textId="67B73F84" w:rsidR="00F47511" w:rsidRDefault="00F47511" w:rsidP="00C80491">
      <w:pPr>
        <w:pStyle w:val="EndNoteBibliography"/>
        <w:rPr>
          <w:noProof w:val="0"/>
          <w:lang w:val="en-AU"/>
        </w:rPr>
      </w:pPr>
      <w:proofErr w:type="spellStart"/>
      <w:r w:rsidRPr="00F47511">
        <w:rPr>
          <w:noProof w:val="0"/>
          <w:lang w:val="en-AU"/>
        </w:rPr>
        <w:t>Geburzi</w:t>
      </w:r>
      <w:proofErr w:type="spellEnd"/>
      <w:r w:rsidRPr="00F47511">
        <w:rPr>
          <w:noProof w:val="0"/>
          <w:lang w:val="en-AU"/>
        </w:rPr>
        <w:t>, JC</w:t>
      </w:r>
      <w:r>
        <w:rPr>
          <w:noProof w:val="0"/>
          <w:lang w:val="en-AU"/>
        </w:rPr>
        <w:t xml:space="preserve"> &amp; </w:t>
      </w:r>
      <w:r w:rsidRPr="00F47511">
        <w:rPr>
          <w:noProof w:val="0"/>
          <w:lang w:val="en-AU"/>
        </w:rPr>
        <w:t>McCarthy, ML</w:t>
      </w:r>
      <w:r>
        <w:rPr>
          <w:noProof w:val="0"/>
          <w:lang w:val="en-AU"/>
        </w:rPr>
        <w:t xml:space="preserve"> </w:t>
      </w:r>
      <w:r w:rsidRPr="00F47511">
        <w:rPr>
          <w:noProof w:val="0"/>
          <w:lang w:val="en-AU"/>
        </w:rPr>
        <w:t>2018</w:t>
      </w:r>
      <w:r>
        <w:rPr>
          <w:noProof w:val="0"/>
          <w:lang w:val="en-AU"/>
        </w:rPr>
        <w:t xml:space="preserve">, </w:t>
      </w:r>
      <w:hyperlink r:id="rId428" w:anchor="citeas" w:history="1">
        <w:r w:rsidRPr="00F47511">
          <w:rPr>
            <w:rStyle w:val="Hyperlink"/>
            <w:noProof w:val="0"/>
            <w:lang w:val="en-AU"/>
          </w:rPr>
          <w:t>How Do They Do It? – Understanding the Success of Marine Invasive Species</w:t>
        </w:r>
      </w:hyperlink>
      <w:r>
        <w:rPr>
          <w:noProof w:val="0"/>
          <w:lang w:val="en-AU"/>
        </w:rPr>
        <w:t>,</w:t>
      </w:r>
      <w:r w:rsidRPr="00F47511">
        <w:rPr>
          <w:noProof w:val="0"/>
          <w:lang w:val="en-AU"/>
        </w:rPr>
        <w:t xml:space="preserve"> In Jungblut, S., Liebich, V., Bode, M. (eds) YOUMARES 8 – Oceans Across Boundaries: Learning from each other. Springer, Cham</w:t>
      </w:r>
      <w:r>
        <w:rPr>
          <w:noProof w:val="0"/>
          <w:lang w:val="en-AU"/>
        </w:rPr>
        <w:t xml:space="preserve">, DOI: </w:t>
      </w:r>
      <w:r w:rsidRPr="00F47511">
        <w:rPr>
          <w:noProof w:val="0"/>
          <w:lang w:val="en-AU"/>
        </w:rPr>
        <w:t>10.1007/978-3-319-93284-2_8</w:t>
      </w:r>
      <w:r>
        <w:rPr>
          <w:noProof w:val="0"/>
          <w:lang w:val="en-AU"/>
        </w:rPr>
        <w:t>.</w:t>
      </w:r>
    </w:p>
    <w:p w14:paraId="185E9744" w14:textId="085BDB95" w:rsidR="000D4121" w:rsidRDefault="000D4121" w:rsidP="00C80491">
      <w:pPr>
        <w:rPr>
          <w:rStyle w:val="nlmarticle-title"/>
          <w:rFonts w:cs="Arial"/>
          <w:lang w:val="en"/>
        </w:rPr>
      </w:pPr>
      <w:r>
        <w:rPr>
          <w:rStyle w:val="nlmarticle-title"/>
          <w:rFonts w:cs="Arial"/>
          <w:lang w:val="en"/>
        </w:rPr>
        <w:t xml:space="preserve">Ghaffari, H, Wang, W, Li, A, Zhang, G &amp; Li, L 2019, </w:t>
      </w:r>
      <w:hyperlink r:id="rId429" w:history="1">
        <w:r w:rsidRPr="000D4121">
          <w:rPr>
            <w:rStyle w:val="Hyperlink"/>
            <w:rFonts w:cs="Arial"/>
            <w:lang w:val="en"/>
          </w:rPr>
          <w:t xml:space="preserve">Thermotolerance Divergence Revealed by the Physiological and Molecular Responses in Two Oyster Subspecies of </w:t>
        </w:r>
        <w:r w:rsidRPr="000D4121">
          <w:rPr>
            <w:rStyle w:val="Hyperlink"/>
            <w:rFonts w:cs="Arial"/>
            <w:i/>
            <w:iCs/>
            <w:lang w:val="en"/>
          </w:rPr>
          <w:t>Crassostrea gigas</w:t>
        </w:r>
        <w:r w:rsidRPr="000D4121">
          <w:rPr>
            <w:rStyle w:val="Hyperlink"/>
            <w:rFonts w:cs="Arial"/>
            <w:lang w:val="en"/>
          </w:rPr>
          <w:t xml:space="preserve"> in China</w:t>
        </w:r>
      </w:hyperlink>
      <w:r>
        <w:rPr>
          <w:rStyle w:val="nlmarticle-title"/>
          <w:rFonts w:cs="Arial"/>
          <w:lang w:val="en"/>
        </w:rPr>
        <w:t xml:space="preserve">, </w:t>
      </w:r>
      <w:r>
        <w:rPr>
          <w:rStyle w:val="nlmarticle-title"/>
          <w:rFonts w:cs="Arial"/>
          <w:i/>
          <w:iCs/>
          <w:lang w:val="en"/>
        </w:rPr>
        <w:t xml:space="preserve">Frontiers in Physiology, </w:t>
      </w:r>
      <w:r>
        <w:rPr>
          <w:rStyle w:val="nlmarticle-title"/>
          <w:rFonts w:cs="Arial"/>
          <w:lang w:val="en"/>
        </w:rPr>
        <w:t xml:space="preserve">vol. 10, pp. 1137, DOI: </w:t>
      </w:r>
      <w:r w:rsidRPr="000D4121">
        <w:rPr>
          <w:rStyle w:val="nlmarticle-title"/>
          <w:rFonts w:cs="Arial"/>
          <w:lang w:val="en"/>
        </w:rPr>
        <w:t>10.3389%2Ffphys.2019.01137</w:t>
      </w:r>
      <w:r>
        <w:rPr>
          <w:rStyle w:val="nlmarticle-title"/>
          <w:rFonts w:cs="Arial"/>
          <w:lang w:val="en"/>
        </w:rPr>
        <w:t>.</w:t>
      </w:r>
    </w:p>
    <w:p w14:paraId="374DBDFF" w14:textId="0451CD00" w:rsidR="005D6251" w:rsidRDefault="005D6251" w:rsidP="00C80491">
      <w:bookmarkStart w:id="809" w:name="_Hlk188354182"/>
      <w:proofErr w:type="spellStart"/>
      <w:r>
        <w:rPr>
          <w:rStyle w:val="nlmarticle-title"/>
          <w:rFonts w:cs="Arial"/>
          <w:lang w:val="en"/>
        </w:rPr>
        <w:t>Giblot-Ducray</w:t>
      </w:r>
      <w:proofErr w:type="spellEnd"/>
      <w:r>
        <w:rPr>
          <w:rStyle w:val="nlmarticle-title"/>
          <w:rFonts w:cs="Arial"/>
          <w:lang w:val="en"/>
        </w:rPr>
        <w:t>, D &amp; Bott, NJ 2013</w:t>
      </w:r>
      <w:hyperlink r:id="rId430" w:history="1">
        <w:r w:rsidRPr="005D6251">
          <w:rPr>
            <w:rStyle w:val="Hyperlink"/>
            <w:rFonts w:cs="Arial"/>
            <w:lang w:val="en"/>
          </w:rPr>
          <w:t>, Development of a plankton sampling protocol for molecular testing of marine pests.</w:t>
        </w:r>
      </w:hyperlink>
      <w:r>
        <w:rPr>
          <w:rStyle w:val="nlmarticle-title"/>
          <w:rFonts w:cs="Arial"/>
          <w:lang w:val="en"/>
        </w:rPr>
        <w:t xml:space="preserve"> Report prepared for Biosecurity SA. </w:t>
      </w:r>
      <w:r w:rsidRPr="00DD01E4">
        <w:t>South Australia Research and Development Institute (Aquatic Sciences), Adelaide. SARDI Publication No. F20</w:t>
      </w:r>
      <w:r>
        <w:t>13</w:t>
      </w:r>
      <w:r w:rsidRPr="00DD01E4">
        <w:t>/000</w:t>
      </w:r>
      <w:r>
        <w:t>281-1</w:t>
      </w:r>
      <w:r w:rsidRPr="00DD01E4">
        <w:t xml:space="preserve">. SARDI Research Report Series No. </w:t>
      </w:r>
      <w:r>
        <w:t>734, 25pp.</w:t>
      </w:r>
    </w:p>
    <w:p w14:paraId="7E9D4378" w14:textId="77777777" w:rsidR="00626D48" w:rsidRDefault="00626D48" w:rsidP="00C80491"/>
    <w:p w14:paraId="3A5A903B" w14:textId="77777777" w:rsidR="00626D48" w:rsidRPr="000D4121" w:rsidRDefault="00626D48" w:rsidP="00C80491">
      <w:pPr>
        <w:rPr>
          <w:rStyle w:val="nlmarticle-title"/>
          <w:rFonts w:cs="Arial"/>
          <w:lang w:val="en"/>
        </w:rPr>
      </w:pPr>
    </w:p>
    <w:bookmarkEnd w:id="809"/>
    <w:p w14:paraId="1E9BB6B2" w14:textId="2A804CF1" w:rsidR="003010F3" w:rsidRDefault="003010F3" w:rsidP="00C80491">
      <w:pPr>
        <w:rPr>
          <w:rStyle w:val="nlmarticle-title"/>
          <w:rFonts w:cs="Arial"/>
          <w:lang w:val="en"/>
        </w:rPr>
      </w:pPr>
      <w:proofErr w:type="spellStart"/>
      <w:r>
        <w:rPr>
          <w:rStyle w:val="nlmarticle-title"/>
          <w:rFonts w:cs="Arial"/>
          <w:lang w:val="en"/>
        </w:rPr>
        <w:lastRenderedPageBreak/>
        <w:t>Giblot-Ducray</w:t>
      </w:r>
      <w:proofErr w:type="spellEnd"/>
      <w:r>
        <w:rPr>
          <w:rStyle w:val="nlmarticle-title"/>
          <w:rFonts w:cs="Arial"/>
          <w:lang w:val="en"/>
        </w:rPr>
        <w:t xml:space="preserve">, D, Herdina, Ellard, K, Deveney, MR &amp; Wiltshire, KH 2022, </w:t>
      </w:r>
      <w:hyperlink r:id="rId431" w:history="1">
        <w:r w:rsidRPr="003010F3">
          <w:rPr>
            <w:rStyle w:val="Hyperlink"/>
            <w:rFonts w:cs="Arial"/>
            <w:lang w:val="en"/>
          </w:rPr>
          <w:t xml:space="preserve">Development of TaqMan MGB quantitative PCR assays for the invasive species </w:t>
        </w:r>
        <w:r w:rsidRPr="003010F3">
          <w:rPr>
            <w:rStyle w:val="Hyperlink"/>
            <w:rFonts w:cs="Arial"/>
            <w:i/>
            <w:iCs/>
            <w:lang w:val="en"/>
          </w:rPr>
          <w:t xml:space="preserve">Maoricolpus roseus </w:t>
        </w:r>
        <w:r w:rsidRPr="003010F3">
          <w:rPr>
            <w:rStyle w:val="Hyperlink"/>
            <w:rFonts w:cs="Arial"/>
            <w:lang w:val="en"/>
          </w:rPr>
          <w:t>(</w:t>
        </w:r>
        <w:proofErr w:type="spellStart"/>
        <w:r w:rsidRPr="003010F3">
          <w:rPr>
            <w:rStyle w:val="Hyperlink"/>
            <w:rFonts w:cs="Arial"/>
            <w:lang w:val="en"/>
          </w:rPr>
          <w:t>Quoy</w:t>
        </w:r>
        <w:proofErr w:type="spellEnd"/>
        <w:r w:rsidRPr="003010F3">
          <w:rPr>
            <w:rStyle w:val="Hyperlink"/>
            <w:rFonts w:cs="Arial"/>
            <w:lang w:val="en"/>
          </w:rPr>
          <w:t xml:space="preserve"> &amp; </w:t>
        </w:r>
        <w:proofErr w:type="spellStart"/>
        <w:r w:rsidRPr="003010F3">
          <w:rPr>
            <w:rStyle w:val="Hyperlink"/>
            <w:rFonts w:cs="Arial"/>
            <w:lang w:val="en"/>
          </w:rPr>
          <w:t>Gaimard</w:t>
        </w:r>
        <w:proofErr w:type="spellEnd"/>
        <w:r w:rsidRPr="003010F3">
          <w:rPr>
            <w:rStyle w:val="Hyperlink"/>
            <w:rFonts w:cs="Arial"/>
            <w:lang w:val="en"/>
          </w:rPr>
          <w:t xml:space="preserve">, 1834) and </w:t>
        </w:r>
        <w:r w:rsidRPr="003010F3">
          <w:rPr>
            <w:rStyle w:val="Hyperlink"/>
            <w:rFonts w:cs="Arial"/>
            <w:i/>
            <w:iCs/>
            <w:lang w:val="en"/>
          </w:rPr>
          <w:t xml:space="preserve">Mya japonica </w:t>
        </w:r>
        <w:r w:rsidRPr="003010F3">
          <w:rPr>
            <w:rStyle w:val="Hyperlink"/>
            <w:rFonts w:cs="Arial"/>
            <w:lang w:val="en"/>
          </w:rPr>
          <w:t>(Jay, 1857)</w:t>
        </w:r>
      </w:hyperlink>
      <w:r>
        <w:rPr>
          <w:rStyle w:val="nlmarticle-title"/>
          <w:rFonts w:cs="Arial"/>
          <w:lang w:val="en"/>
        </w:rPr>
        <w:t xml:space="preserve">, Report to the Department of Agriculture, Fisheries and Forestry. </w:t>
      </w:r>
      <w:r w:rsidRPr="00DD01E4">
        <w:t>South Australia Research and Development Institute (Aquatic Sciences), Adelaide. SARDI Publication No. F20</w:t>
      </w:r>
      <w:r>
        <w:t>22</w:t>
      </w:r>
      <w:r w:rsidRPr="00DD01E4">
        <w:t>/000</w:t>
      </w:r>
      <w:r>
        <w:t>222</w:t>
      </w:r>
      <w:r w:rsidRPr="00DD01E4">
        <w:t xml:space="preserve">-1. SARDI Research Report Series No. </w:t>
      </w:r>
      <w:r>
        <w:t>1149, 54pp.</w:t>
      </w:r>
    </w:p>
    <w:p w14:paraId="58596253" w14:textId="0CF1A996" w:rsidR="00246AE3" w:rsidRPr="00246AE3" w:rsidRDefault="00246AE3" w:rsidP="00246AE3">
      <w:pPr>
        <w:spacing w:line="240" w:lineRule="auto"/>
      </w:pPr>
      <w:proofErr w:type="spellStart"/>
      <w:r w:rsidRPr="00F26C58">
        <w:t>Giakoumi</w:t>
      </w:r>
      <w:proofErr w:type="spellEnd"/>
      <w:r w:rsidRPr="00581E99">
        <w:t>,</w:t>
      </w:r>
      <w:r w:rsidRPr="00F26C58">
        <w:t xml:space="preserve"> S, </w:t>
      </w:r>
      <w:proofErr w:type="spellStart"/>
      <w:r w:rsidRPr="00F26C58">
        <w:t>Katsanevakis</w:t>
      </w:r>
      <w:proofErr w:type="spellEnd"/>
      <w:r w:rsidRPr="00581E99">
        <w:t>,</w:t>
      </w:r>
      <w:r w:rsidRPr="00F26C58">
        <w:t xml:space="preserve"> S, Albano</w:t>
      </w:r>
      <w:r w:rsidRPr="00581E99">
        <w:t>,</w:t>
      </w:r>
      <w:r w:rsidRPr="00F26C58">
        <w:t xml:space="preserve"> PG, Azzurro</w:t>
      </w:r>
      <w:r w:rsidRPr="00581E99">
        <w:t>,</w:t>
      </w:r>
      <w:r w:rsidRPr="00F26C58">
        <w:t xml:space="preserve"> E, Cardoso</w:t>
      </w:r>
      <w:r w:rsidRPr="00581E99">
        <w:t>,</w:t>
      </w:r>
      <w:r w:rsidRPr="00F26C58">
        <w:t xml:space="preserve"> AC, Cebrian</w:t>
      </w:r>
      <w:r w:rsidRPr="00581E99">
        <w:t>,</w:t>
      </w:r>
      <w:r w:rsidRPr="00F26C58">
        <w:t xml:space="preserve"> E, Deidun</w:t>
      </w:r>
      <w:r w:rsidRPr="00581E99">
        <w:t>,</w:t>
      </w:r>
      <w:r w:rsidRPr="00F26C58">
        <w:t xml:space="preserve"> A, </w:t>
      </w:r>
      <w:proofErr w:type="spellStart"/>
      <w:r w:rsidRPr="00F26C58">
        <w:t>Edelist</w:t>
      </w:r>
      <w:proofErr w:type="spellEnd"/>
      <w:r w:rsidRPr="00581E99">
        <w:t>,</w:t>
      </w:r>
      <w:r w:rsidRPr="00F26C58">
        <w:t xml:space="preserve"> D, Francour</w:t>
      </w:r>
      <w:r w:rsidRPr="00581E99">
        <w:t>,</w:t>
      </w:r>
      <w:r w:rsidRPr="00F26C58">
        <w:t xml:space="preserve"> P, Jimenez</w:t>
      </w:r>
      <w:r w:rsidRPr="00581E99">
        <w:t>,</w:t>
      </w:r>
      <w:r w:rsidRPr="00F26C58">
        <w:t xml:space="preserve"> C, </w:t>
      </w:r>
      <w:proofErr w:type="spellStart"/>
      <w:r w:rsidRPr="00F26C58">
        <w:t>Mačić</w:t>
      </w:r>
      <w:proofErr w:type="spellEnd"/>
      <w:r w:rsidRPr="00581E99">
        <w:t>,</w:t>
      </w:r>
      <w:r w:rsidRPr="00F26C58">
        <w:t xml:space="preserve"> V, Occhipinti-Ambrogi</w:t>
      </w:r>
      <w:r w:rsidRPr="00581E99">
        <w:t>,</w:t>
      </w:r>
      <w:r w:rsidRPr="00F26C58">
        <w:t xml:space="preserve"> A, </w:t>
      </w:r>
      <w:proofErr w:type="spellStart"/>
      <w:r w:rsidRPr="00F26C58">
        <w:t>Rilov</w:t>
      </w:r>
      <w:proofErr w:type="spellEnd"/>
      <w:r w:rsidRPr="00581E99">
        <w:t>,</w:t>
      </w:r>
      <w:r w:rsidRPr="00F26C58">
        <w:t xml:space="preserve"> G, Sghaier</w:t>
      </w:r>
      <w:r w:rsidRPr="00581E99">
        <w:t>,</w:t>
      </w:r>
      <w:r w:rsidRPr="00F26C58">
        <w:t xml:space="preserve"> YR 2019, </w:t>
      </w:r>
      <w:hyperlink r:id="rId432" w:history="1">
        <w:r w:rsidRPr="00581E99">
          <w:rPr>
            <w:rStyle w:val="Hyperlink"/>
          </w:rPr>
          <w:t>Management priorities for marine invasive species</w:t>
        </w:r>
      </w:hyperlink>
      <w:r w:rsidRPr="00581E99">
        <w:t xml:space="preserve">, </w:t>
      </w:r>
      <w:r w:rsidRPr="00581E99">
        <w:rPr>
          <w:i/>
          <w:iCs/>
        </w:rPr>
        <w:t>Science of The Total Environment</w:t>
      </w:r>
      <w:r w:rsidRPr="00581E99">
        <w:t>, vol.</w:t>
      </w:r>
      <w:r w:rsidRPr="00F26C58">
        <w:t xml:space="preserve"> 688, </w:t>
      </w:r>
      <w:r w:rsidRPr="00581E99">
        <w:t xml:space="preserve">pp. </w:t>
      </w:r>
      <w:r w:rsidRPr="00F26C58">
        <w:t>976–82</w:t>
      </w:r>
      <w:r w:rsidRPr="00581E99">
        <w:t xml:space="preserve">, DOI: </w:t>
      </w:r>
      <w:r w:rsidRPr="004253AE">
        <w:t>10.1016/j.scitotenv.2019.06.282.</w:t>
      </w:r>
    </w:p>
    <w:p w14:paraId="114AF7E2" w14:textId="5CC7A46C" w:rsidR="006939E1" w:rsidRPr="00933093" w:rsidRDefault="00B5740F" w:rsidP="00C80491">
      <w:pPr>
        <w:pStyle w:val="EndNoteBibliography"/>
        <w:rPr>
          <w:noProof w:val="0"/>
          <w:lang w:val="en-AU"/>
        </w:rPr>
      </w:pPr>
      <w:r w:rsidRPr="00933093">
        <w:rPr>
          <w:noProof w:val="0"/>
          <w:lang w:val="en-AU"/>
        </w:rPr>
        <w:t xml:space="preserve">Gilg, MR, Hoffman, EA, Schneider, KR, </w:t>
      </w:r>
      <w:proofErr w:type="spellStart"/>
      <w:r w:rsidRPr="00933093">
        <w:rPr>
          <w:noProof w:val="0"/>
          <w:lang w:val="en-AU"/>
        </w:rPr>
        <w:t>Ryabinov</w:t>
      </w:r>
      <w:proofErr w:type="spellEnd"/>
      <w:r w:rsidRPr="00933093">
        <w:rPr>
          <w:noProof w:val="0"/>
          <w:lang w:val="en-AU"/>
        </w:rPr>
        <w:t xml:space="preserve">, J, El-Khoury, C &amp; Walters, LJ 2010, </w:t>
      </w:r>
      <w:hyperlink r:id="rId433" w:history="1">
        <w:r w:rsidRPr="00933093">
          <w:rPr>
            <w:rStyle w:val="Hyperlink"/>
            <w:noProof w:val="0"/>
            <w:lang w:val="en-AU"/>
          </w:rPr>
          <w:t>Recruitment preferences of non-native mussels: interaction between marine invasions and land-use changes</w:t>
        </w:r>
      </w:hyperlink>
      <w:r w:rsidRPr="00933093">
        <w:rPr>
          <w:noProof w:val="0"/>
          <w:lang w:val="en-AU"/>
        </w:rPr>
        <w:t xml:space="preserve">, </w:t>
      </w:r>
      <w:r w:rsidRPr="00933093">
        <w:rPr>
          <w:i/>
          <w:noProof w:val="0"/>
          <w:lang w:val="en-AU"/>
        </w:rPr>
        <w:t>Journal of Molluscan Studies</w:t>
      </w:r>
      <w:r w:rsidRPr="00933093">
        <w:rPr>
          <w:noProof w:val="0"/>
          <w:lang w:val="en-AU"/>
        </w:rPr>
        <w:t>, vol. 76, no. 4, pp. 333-9</w:t>
      </w:r>
      <w:r w:rsidR="00933093">
        <w:rPr>
          <w:noProof w:val="0"/>
          <w:lang w:val="en-AU"/>
        </w:rPr>
        <w:t xml:space="preserve">, DOI: </w:t>
      </w:r>
      <w:r w:rsidR="00933093" w:rsidRPr="00933093">
        <w:rPr>
          <w:noProof w:val="0"/>
          <w:lang w:val="en-AU"/>
        </w:rPr>
        <w:t>10.1093/</w:t>
      </w:r>
      <w:proofErr w:type="spellStart"/>
      <w:r w:rsidR="00933093" w:rsidRPr="00933093">
        <w:rPr>
          <w:noProof w:val="0"/>
          <w:lang w:val="en-AU"/>
        </w:rPr>
        <w:t>mollus</w:t>
      </w:r>
      <w:proofErr w:type="spellEnd"/>
      <w:r w:rsidR="00933093" w:rsidRPr="00933093">
        <w:rPr>
          <w:noProof w:val="0"/>
          <w:lang w:val="en-AU"/>
        </w:rPr>
        <w:t>/eyq017</w:t>
      </w:r>
      <w:r w:rsidR="00933093">
        <w:rPr>
          <w:noProof w:val="0"/>
          <w:lang w:val="en-AU"/>
        </w:rPr>
        <w:t>.</w:t>
      </w:r>
    </w:p>
    <w:p w14:paraId="0414568C" w14:textId="166F82D8" w:rsidR="006939E1" w:rsidRDefault="00B5740F" w:rsidP="00C80491">
      <w:pPr>
        <w:pStyle w:val="EndNoteBibliography"/>
        <w:rPr>
          <w:noProof w:val="0"/>
          <w:lang w:val="en-AU"/>
        </w:rPr>
      </w:pPr>
      <w:r w:rsidRPr="00933093">
        <w:rPr>
          <w:noProof w:val="0"/>
          <w:lang w:val="en-AU"/>
        </w:rPr>
        <w:t xml:space="preserve">Gillis, NK, Walters, LJ, Fernandes, FC &amp; Hoffman, EA 2009, </w:t>
      </w:r>
      <w:hyperlink r:id="rId434" w:history="1">
        <w:r w:rsidRPr="00933093">
          <w:rPr>
            <w:rStyle w:val="Hyperlink"/>
            <w:noProof w:val="0"/>
            <w:lang w:val="en-AU"/>
          </w:rPr>
          <w:t xml:space="preserve">Higher genetic diversity in introduced than in native populations of the mussel </w:t>
        </w:r>
        <w:r w:rsidRPr="00933093">
          <w:rPr>
            <w:rStyle w:val="Hyperlink"/>
            <w:i/>
            <w:noProof w:val="0"/>
            <w:lang w:val="en-AU"/>
          </w:rPr>
          <w:t xml:space="preserve">Mytella </w:t>
        </w:r>
        <w:proofErr w:type="spellStart"/>
        <w:r w:rsidRPr="00933093">
          <w:rPr>
            <w:rStyle w:val="Hyperlink"/>
            <w:i/>
            <w:noProof w:val="0"/>
            <w:lang w:val="en-AU"/>
          </w:rPr>
          <w:t>charruana</w:t>
        </w:r>
        <w:proofErr w:type="spellEnd"/>
        <w:r w:rsidRPr="00933093">
          <w:rPr>
            <w:rStyle w:val="Hyperlink"/>
            <w:noProof w:val="0"/>
            <w:lang w:val="en-AU"/>
          </w:rPr>
          <w:t>: evidence of population admixture at introduction sites</w:t>
        </w:r>
      </w:hyperlink>
      <w:r w:rsidRPr="00933093">
        <w:rPr>
          <w:noProof w:val="0"/>
          <w:lang w:val="en-AU"/>
        </w:rPr>
        <w:t xml:space="preserve">, </w:t>
      </w:r>
      <w:r w:rsidRPr="00933093">
        <w:rPr>
          <w:i/>
          <w:noProof w:val="0"/>
          <w:lang w:val="en-AU"/>
        </w:rPr>
        <w:t>Diversity and Distributions</w:t>
      </w:r>
      <w:r w:rsidRPr="00933093">
        <w:rPr>
          <w:noProof w:val="0"/>
          <w:lang w:val="en-AU"/>
        </w:rPr>
        <w:t>, vol. 15, no. 5, pp. 784-95</w:t>
      </w:r>
      <w:r w:rsidR="00933093">
        <w:rPr>
          <w:noProof w:val="0"/>
          <w:lang w:val="en-AU"/>
        </w:rPr>
        <w:t xml:space="preserve">, DOI: </w:t>
      </w:r>
      <w:r w:rsidR="00933093" w:rsidRPr="00933093">
        <w:rPr>
          <w:noProof w:val="0"/>
          <w:lang w:val="en-AU"/>
        </w:rPr>
        <w:t>10.1111/j.1472-4642.2009.00591.x</w:t>
      </w:r>
      <w:r w:rsidR="00933093">
        <w:rPr>
          <w:noProof w:val="0"/>
          <w:lang w:val="en-AU"/>
        </w:rPr>
        <w:t>.</w:t>
      </w:r>
    </w:p>
    <w:p w14:paraId="5A4E08AC" w14:textId="467F120B" w:rsidR="00933093" w:rsidRPr="00933093" w:rsidRDefault="00933093" w:rsidP="00C80491">
      <w:pPr>
        <w:pStyle w:val="EndNoteBibliography"/>
        <w:rPr>
          <w:noProof w:val="0"/>
          <w:lang w:val="en-AU"/>
        </w:rPr>
      </w:pPr>
      <w:r>
        <w:rPr>
          <w:noProof w:val="0"/>
          <w:lang w:val="en-AU"/>
        </w:rPr>
        <w:t xml:space="preserve">Glasby, TM, Creese, RG &amp; Gibson, PT 2005, </w:t>
      </w:r>
      <w:hyperlink r:id="rId435" w:history="1">
        <w:r w:rsidRPr="00933093">
          <w:rPr>
            <w:rStyle w:val="Hyperlink"/>
            <w:noProof w:val="0"/>
            <w:lang w:val="en-AU"/>
          </w:rPr>
          <w:t xml:space="preserve">Experimental use of salt to control the invasive marine algae </w:t>
        </w:r>
        <w:r w:rsidRPr="00933093">
          <w:rPr>
            <w:rStyle w:val="Hyperlink"/>
            <w:i/>
            <w:iCs/>
            <w:noProof w:val="0"/>
            <w:lang w:val="en-AU"/>
          </w:rPr>
          <w:t xml:space="preserve">Caulerpa taxifolia </w:t>
        </w:r>
        <w:r w:rsidRPr="00933093">
          <w:rPr>
            <w:rStyle w:val="Hyperlink"/>
            <w:noProof w:val="0"/>
            <w:lang w:val="en-AU"/>
          </w:rPr>
          <w:t>in New South Wales, Australia</w:t>
        </w:r>
      </w:hyperlink>
      <w:r>
        <w:rPr>
          <w:noProof w:val="0"/>
          <w:lang w:val="en-AU"/>
        </w:rPr>
        <w:t xml:space="preserve">, </w:t>
      </w:r>
      <w:r>
        <w:rPr>
          <w:i/>
          <w:iCs/>
          <w:noProof w:val="0"/>
          <w:lang w:val="en-AU"/>
        </w:rPr>
        <w:t xml:space="preserve">Biological Conservation, </w:t>
      </w:r>
      <w:r>
        <w:rPr>
          <w:noProof w:val="0"/>
          <w:lang w:val="en-AU"/>
        </w:rPr>
        <w:t xml:space="preserve">vol. 122, no. 4, pp. 573-80, DOI: </w:t>
      </w:r>
      <w:r w:rsidRPr="00933093">
        <w:rPr>
          <w:noProof w:val="0"/>
          <w:lang w:val="en-AU"/>
        </w:rPr>
        <w:t>10.1016/j.biocon.2004.09.012</w:t>
      </w:r>
      <w:r>
        <w:rPr>
          <w:noProof w:val="0"/>
          <w:lang w:val="en-AU"/>
        </w:rPr>
        <w:t>.</w:t>
      </w:r>
    </w:p>
    <w:p w14:paraId="1B48EA3D" w14:textId="5D60FB27" w:rsidR="006939E1" w:rsidRDefault="00B5740F" w:rsidP="00C80491">
      <w:pPr>
        <w:spacing w:line="240" w:lineRule="auto"/>
        <w:rPr>
          <w:color w:val="000000"/>
        </w:rPr>
      </w:pPr>
      <w:r w:rsidRPr="00933093">
        <w:rPr>
          <w:color w:val="000000"/>
        </w:rPr>
        <w:t xml:space="preserve">Glasby, TM &amp; Lobb, K 2008, </w:t>
      </w:r>
      <w:hyperlink r:id="rId436" w:history="1">
        <w:r w:rsidRPr="00933093">
          <w:rPr>
            <w:rStyle w:val="Hyperlink"/>
          </w:rPr>
          <w:t>Assessing the likelihood of marine pest introductions in Sydney estuaries: a transport vector approach</w:t>
        </w:r>
      </w:hyperlink>
      <w:r w:rsidRPr="00933093">
        <w:rPr>
          <w:i/>
          <w:iCs/>
          <w:color w:val="000000"/>
        </w:rPr>
        <w:t xml:space="preserve">, </w:t>
      </w:r>
      <w:r w:rsidRPr="00933093">
        <w:rPr>
          <w:rStyle w:val="Emphasis"/>
          <w:i w:val="0"/>
          <w:iCs w:val="0"/>
        </w:rPr>
        <w:t>NSW DPI Fisheries Final Report Series No. 105</w:t>
      </w:r>
      <w:r w:rsidRPr="00933093">
        <w:rPr>
          <w:i/>
          <w:iCs/>
          <w:color w:val="000000"/>
        </w:rPr>
        <w:t xml:space="preserve">, </w:t>
      </w:r>
      <w:r w:rsidRPr="00933093">
        <w:rPr>
          <w:color w:val="000000"/>
        </w:rPr>
        <w:t>report for Sydney Metropolitan Catchment Management Authority, NSW Department of Primary Industries, Sydney.</w:t>
      </w:r>
    </w:p>
    <w:p w14:paraId="33936AE7" w14:textId="4A631562" w:rsidR="00034046" w:rsidRPr="00A04E26" w:rsidRDefault="00034046" w:rsidP="00A04E26">
      <w:pPr>
        <w:rPr>
          <w:rFonts w:cs="Arial"/>
          <w:lang w:val="en"/>
        </w:rPr>
      </w:pPr>
      <w:bookmarkStart w:id="810" w:name="_Hlk187491793"/>
      <w:proofErr w:type="spellStart"/>
      <w:r w:rsidRPr="00EF0C92">
        <w:rPr>
          <w:rFonts w:cstheme="minorHAnsi"/>
          <w:szCs w:val="20"/>
          <w:lang w:val="en"/>
        </w:rPr>
        <w:t>G</w:t>
      </w:r>
      <w:r>
        <w:rPr>
          <w:rFonts w:cstheme="minorHAnsi"/>
          <w:szCs w:val="20"/>
          <w:lang w:val="en"/>
        </w:rPr>
        <w:t>oe</w:t>
      </w:r>
      <w:r w:rsidRPr="00EF0C92">
        <w:rPr>
          <w:rFonts w:cstheme="minorHAnsi"/>
          <w:szCs w:val="20"/>
          <w:lang w:val="en"/>
        </w:rPr>
        <w:t>dknegt</w:t>
      </w:r>
      <w:proofErr w:type="spellEnd"/>
      <w:r>
        <w:rPr>
          <w:rFonts w:cstheme="minorHAnsi"/>
          <w:szCs w:val="20"/>
          <w:lang w:val="en"/>
        </w:rPr>
        <w:t xml:space="preserve">, MA, </w:t>
      </w:r>
      <w:proofErr w:type="spellStart"/>
      <w:r>
        <w:rPr>
          <w:rFonts w:cstheme="minorHAnsi"/>
          <w:szCs w:val="20"/>
          <w:lang w:val="en"/>
        </w:rPr>
        <w:t>Bedolfe</w:t>
      </w:r>
      <w:proofErr w:type="spellEnd"/>
      <w:r>
        <w:rPr>
          <w:rFonts w:cstheme="minorHAnsi"/>
          <w:szCs w:val="20"/>
          <w:lang w:val="en"/>
        </w:rPr>
        <w:t xml:space="preserve">, S, Drent, J, van der Meer, J &amp; </w:t>
      </w:r>
      <w:proofErr w:type="spellStart"/>
      <w:r>
        <w:rPr>
          <w:rFonts w:cstheme="minorHAnsi"/>
          <w:szCs w:val="20"/>
          <w:lang w:val="en"/>
        </w:rPr>
        <w:t>Thieltges</w:t>
      </w:r>
      <w:proofErr w:type="spellEnd"/>
      <w:r>
        <w:rPr>
          <w:rFonts w:cstheme="minorHAnsi"/>
          <w:szCs w:val="20"/>
          <w:lang w:val="en"/>
        </w:rPr>
        <w:t xml:space="preserve">, DW 2018, </w:t>
      </w:r>
      <w:hyperlink r:id="rId437" w:history="1">
        <w:r w:rsidRPr="00C80491">
          <w:rPr>
            <w:rStyle w:val="Hyperlink"/>
            <w:rFonts w:cs="Arial"/>
            <w:lang w:val="en"/>
          </w:rPr>
          <w:t xml:space="preserve">Impact of the invasive parasitic copepod </w:t>
        </w:r>
        <w:proofErr w:type="spellStart"/>
        <w:r w:rsidRPr="00C80491">
          <w:rPr>
            <w:rStyle w:val="Hyperlink"/>
            <w:rFonts w:cs="Arial"/>
            <w:i/>
            <w:iCs/>
            <w:lang w:val="en"/>
          </w:rPr>
          <w:t>Mytilicola</w:t>
        </w:r>
        <w:proofErr w:type="spellEnd"/>
        <w:r w:rsidRPr="00C80491">
          <w:rPr>
            <w:rStyle w:val="Hyperlink"/>
            <w:rFonts w:cs="Arial"/>
            <w:i/>
            <w:iCs/>
            <w:lang w:val="en"/>
          </w:rPr>
          <w:t xml:space="preserve"> </w:t>
        </w:r>
        <w:proofErr w:type="spellStart"/>
        <w:r w:rsidRPr="00C80491">
          <w:rPr>
            <w:rStyle w:val="Hyperlink"/>
            <w:rFonts w:cs="Arial"/>
            <w:i/>
            <w:iCs/>
            <w:lang w:val="en"/>
          </w:rPr>
          <w:t>orientalis</w:t>
        </w:r>
        <w:proofErr w:type="spellEnd"/>
        <w:r w:rsidRPr="00C80491">
          <w:rPr>
            <w:rStyle w:val="Hyperlink"/>
            <w:rFonts w:cs="Arial"/>
            <w:lang w:val="en"/>
          </w:rPr>
          <w:t xml:space="preserve"> on native blue mussels </w:t>
        </w:r>
        <w:r w:rsidRPr="00C80491">
          <w:rPr>
            <w:rStyle w:val="Hyperlink"/>
            <w:rFonts w:cs="Arial"/>
            <w:i/>
            <w:iCs/>
            <w:lang w:val="en"/>
          </w:rPr>
          <w:t>Mytilus edulis</w:t>
        </w:r>
        <w:r w:rsidRPr="00C80491">
          <w:rPr>
            <w:rStyle w:val="Hyperlink"/>
            <w:rFonts w:cs="Arial"/>
            <w:lang w:val="en"/>
          </w:rPr>
          <w:t xml:space="preserve"> in the western European Wadden Sea</w:t>
        </w:r>
      </w:hyperlink>
      <w:r>
        <w:rPr>
          <w:rStyle w:val="nlmarticle-title"/>
          <w:rFonts w:cs="Arial"/>
          <w:lang w:val="en"/>
        </w:rPr>
        <w:t xml:space="preserve">, </w:t>
      </w:r>
      <w:r w:rsidRPr="003F25C0">
        <w:rPr>
          <w:rStyle w:val="nlmarticle-title"/>
          <w:rFonts w:cs="Arial"/>
          <w:i/>
          <w:lang w:val="en"/>
        </w:rPr>
        <w:t>Marine Biology Research</w:t>
      </w:r>
      <w:r>
        <w:rPr>
          <w:rStyle w:val="nlmarticle-title"/>
          <w:rFonts w:cs="Arial"/>
          <w:i/>
          <w:lang w:val="en"/>
        </w:rPr>
        <w:t xml:space="preserve">, </w:t>
      </w:r>
      <w:r>
        <w:rPr>
          <w:rStyle w:val="nlmarticle-title"/>
          <w:rFonts w:cs="Arial"/>
          <w:iCs/>
          <w:lang w:val="en"/>
        </w:rPr>
        <w:t>vol.</w:t>
      </w:r>
      <w:r>
        <w:rPr>
          <w:rStyle w:val="nlmarticle-title"/>
          <w:rFonts w:cs="Arial"/>
          <w:lang w:val="en"/>
        </w:rPr>
        <w:t xml:space="preserve"> 14, no. 5, pp. 497-57, DOI: </w:t>
      </w:r>
      <w:r w:rsidRPr="00C80491">
        <w:rPr>
          <w:rStyle w:val="nlmarticle-title"/>
          <w:rFonts w:cs="Arial"/>
          <w:lang w:val="en"/>
        </w:rPr>
        <w:t>10.1080/17451000.2018.1442579</w:t>
      </w:r>
      <w:r>
        <w:rPr>
          <w:rStyle w:val="nlmarticle-title"/>
          <w:rFonts w:cs="Arial"/>
          <w:lang w:val="en"/>
        </w:rPr>
        <w:t>.</w:t>
      </w:r>
    </w:p>
    <w:bookmarkEnd w:id="810"/>
    <w:p w14:paraId="4EE05E27" w14:textId="06CCA98A" w:rsidR="00933093" w:rsidRDefault="00B5740F" w:rsidP="00C80491">
      <w:pPr>
        <w:spacing w:line="240" w:lineRule="auto"/>
        <w:rPr>
          <w:rFonts w:ascii="Calibri" w:hAnsi="Calibri" w:cs="Calibri"/>
        </w:rPr>
      </w:pPr>
      <w:proofErr w:type="spellStart"/>
      <w:r w:rsidRPr="00933093">
        <w:t>Goedknegt</w:t>
      </w:r>
      <w:proofErr w:type="spellEnd"/>
      <w:r w:rsidRPr="00933093">
        <w:t xml:space="preserve">, MA, </w:t>
      </w:r>
      <w:proofErr w:type="spellStart"/>
      <w:r w:rsidRPr="00933093">
        <w:t>Buschbaum</w:t>
      </w:r>
      <w:proofErr w:type="spellEnd"/>
      <w:r w:rsidRPr="00933093">
        <w:t xml:space="preserve">, C, van der Meer, J, Wegner, KM &amp; </w:t>
      </w:r>
      <w:proofErr w:type="spellStart"/>
      <w:r w:rsidRPr="00933093">
        <w:t>Thieltges</w:t>
      </w:r>
      <w:proofErr w:type="spellEnd"/>
      <w:r w:rsidRPr="00933093">
        <w:t xml:space="preserve">, DW 2020, </w:t>
      </w:r>
      <w:hyperlink r:id="rId438" w:anchor=":~:text=In%20this%20study%2C%20we%20observed,into%20the%20oyster%20reef%20structure." w:history="1">
        <w:r w:rsidRPr="00933093">
          <w:rPr>
            <w:rStyle w:val="Hyperlink"/>
          </w:rPr>
          <w:t>Introduced marine ecosystem engineer indirectly affects parasitism in native mussel hosts</w:t>
        </w:r>
      </w:hyperlink>
      <w:r w:rsidRPr="00933093">
        <w:t xml:space="preserve">, </w:t>
      </w:r>
      <w:r w:rsidRPr="00933093">
        <w:rPr>
          <w:i/>
        </w:rPr>
        <w:t>Biological Invasions</w:t>
      </w:r>
      <w:r w:rsidRPr="00933093">
        <w:t>, vol. 22, no. 11, pp. 3223-37</w:t>
      </w:r>
      <w:r w:rsidR="00933093">
        <w:t xml:space="preserve">, DOI: </w:t>
      </w:r>
      <w:r w:rsidR="00933093" w:rsidRPr="00933093">
        <w:rPr>
          <w:rFonts w:ascii="Calibri" w:hAnsi="Calibri" w:cs="Calibri"/>
        </w:rPr>
        <w:t>10.1007/s10530-020-02318-1</w:t>
      </w:r>
      <w:r w:rsidR="00933093">
        <w:rPr>
          <w:rFonts w:ascii="Calibri" w:hAnsi="Calibri" w:cs="Calibri"/>
        </w:rPr>
        <w:t>.</w:t>
      </w:r>
    </w:p>
    <w:p w14:paraId="4A1C4C94" w14:textId="26F1B7B8" w:rsidR="006939E1" w:rsidRPr="005F7F32" w:rsidRDefault="00B5740F" w:rsidP="00C80491">
      <w:pPr>
        <w:pStyle w:val="EndNoteBibliography"/>
        <w:rPr>
          <w:noProof w:val="0"/>
          <w:lang w:val="en-AU"/>
        </w:rPr>
      </w:pPr>
      <w:r w:rsidRPr="00933093">
        <w:rPr>
          <w:noProof w:val="0"/>
          <w:lang w:val="en-AU"/>
        </w:rPr>
        <w:t xml:space="preserve">Goldberg, CS, Turner, CR, Deiner, K, </w:t>
      </w:r>
      <w:proofErr w:type="spellStart"/>
      <w:r w:rsidRPr="00933093">
        <w:rPr>
          <w:noProof w:val="0"/>
          <w:lang w:val="en-AU"/>
        </w:rPr>
        <w:t>Klymus</w:t>
      </w:r>
      <w:proofErr w:type="spellEnd"/>
      <w:r w:rsidRPr="00933093">
        <w:rPr>
          <w:noProof w:val="0"/>
          <w:lang w:val="en-AU"/>
        </w:rPr>
        <w:t xml:space="preserve">, KE, Thomsen, PF, Murphy, MA, Spear, SF, McKee, A, Oyler‐McCance, SJ &amp; Cornman, RS 2016, </w:t>
      </w:r>
      <w:hyperlink r:id="rId439" w:history="1">
        <w:r w:rsidRPr="00933093">
          <w:rPr>
            <w:rStyle w:val="Hyperlink"/>
            <w:noProof w:val="0"/>
            <w:lang w:val="en-AU"/>
          </w:rPr>
          <w:t>Critical considerations for the application of environmental DNA methods to detect aquatic species</w:t>
        </w:r>
      </w:hyperlink>
      <w:r w:rsidRPr="00933093">
        <w:rPr>
          <w:noProof w:val="0"/>
          <w:lang w:val="en-AU"/>
        </w:rPr>
        <w:t xml:space="preserve">, </w:t>
      </w:r>
      <w:r w:rsidRPr="00933093">
        <w:rPr>
          <w:i/>
          <w:noProof w:val="0"/>
          <w:lang w:val="en-AU"/>
        </w:rPr>
        <w:t>Methods in ecology and evolution</w:t>
      </w:r>
      <w:r w:rsidRPr="00933093">
        <w:rPr>
          <w:noProof w:val="0"/>
          <w:lang w:val="en-AU"/>
        </w:rPr>
        <w:t>, vol. 7, no. 11, pp. 1299-</w:t>
      </w:r>
      <w:r w:rsidRPr="005F7F32">
        <w:rPr>
          <w:noProof w:val="0"/>
          <w:lang w:val="en-AU"/>
        </w:rPr>
        <w:t>307</w:t>
      </w:r>
      <w:r w:rsidR="00933093" w:rsidRPr="005F7F32">
        <w:rPr>
          <w:noProof w:val="0"/>
          <w:lang w:val="en-AU"/>
        </w:rPr>
        <w:t>, DOI: 10.1111/2041-210X.12595.</w:t>
      </w:r>
    </w:p>
    <w:p w14:paraId="7060F851" w14:textId="0414B6E3" w:rsidR="006939E1" w:rsidRPr="005F7F32" w:rsidRDefault="00B5740F" w:rsidP="00C80491">
      <w:pPr>
        <w:pStyle w:val="EndNoteBibliography"/>
        <w:rPr>
          <w:noProof w:val="0"/>
          <w:lang w:val="en-AU"/>
        </w:rPr>
      </w:pPr>
      <w:proofErr w:type="spellStart"/>
      <w:r w:rsidRPr="005F7F32">
        <w:rPr>
          <w:noProof w:val="0"/>
          <w:lang w:val="en-AU"/>
        </w:rPr>
        <w:t>Gollasch</w:t>
      </w:r>
      <w:proofErr w:type="spellEnd"/>
      <w:r w:rsidRPr="005F7F32">
        <w:rPr>
          <w:noProof w:val="0"/>
          <w:lang w:val="en-AU"/>
        </w:rPr>
        <w:t xml:space="preserve">, S &amp; </w:t>
      </w:r>
      <w:proofErr w:type="spellStart"/>
      <w:r w:rsidRPr="005F7F32">
        <w:rPr>
          <w:noProof w:val="0"/>
          <w:lang w:val="en-AU"/>
        </w:rPr>
        <w:t>Leppäkoski</w:t>
      </w:r>
      <w:proofErr w:type="spellEnd"/>
      <w:r w:rsidRPr="005F7F32">
        <w:rPr>
          <w:noProof w:val="0"/>
          <w:lang w:val="en-AU"/>
        </w:rPr>
        <w:t xml:space="preserve">, E 1999, </w:t>
      </w:r>
      <w:hyperlink r:id="rId440" w:history="1">
        <w:r w:rsidRPr="005F7F32">
          <w:rPr>
            <w:rStyle w:val="Hyperlink"/>
            <w:iCs/>
            <w:noProof w:val="0"/>
            <w:lang w:val="en-AU"/>
          </w:rPr>
          <w:t>Initial risk assessment of alien species in Nordic coastal waters</w:t>
        </w:r>
      </w:hyperlink>
      <w:r w:rsidRPr="005F7F32">
        <w:rPr>
          <w:noProof w:val="0"/>
          <w:lang w:val="en-AU"/>
        </w:rPr>
        <w:t>, Nordic Council of Ministers</w:t>
      </w:r>
      <w:r w:rsidR="00936E13" w:rsidRPr="005F7F32">
        <w:rPr>
          <w:noProof w:val="0"/>
          <w:lang w:val="en-AU"/>
        </w:rPr>
        <w:t xml:space="preserve">, Copenhagen, Norway, </w:t>
      </w:r>
      <w:r w:rsidR="00A343F2" w:rsidRPr="005F7F32">
        <w:rPr>
          <w:noProof w:val="0"/>
          <w:lang w:val="en-AU"/>
        </w:rPr>
        <w:t>p.</w:t>
      </w:r>
      <w:r w:rsidR="002D280B" w:rsidRPr="005F7F32">
        <w:rPr>
          <w:noProof w:val="0"/>
          <w:lang w:val="en-AU"/>
        </w:rPr>
        <w:t xml:space="preserve"> </w:t>
      </w:r>
      <w:r w:rsidR="00A343F2" w:rsidRPr="005F7F32">
        <w:rPr>
          <w:noProof w:val="0"/>
          <w:lang w:val="en-AU"/>
        </w:rPr>
        <w:t>224.</w:t>
      </w:r>
    </w:p>
    <w:p w14:paraId="080CD42D" w14:textId="3E8DFE1F" w:rsidR="006939E1" w:rsidRDefault="00B5740F" w:rsidP="00C80491">
      <w:pPr>
        <w:pStyle w:val="EndNoteBibliography"/>
        <w:rPr>
          <w:noProof w:val="0"/>
          <w:lang w:val="en-AU"/>
        </w:rPr>
      </w:pPr>
      <w:proofErr w:type="spellStart"/>
      <w:r w:rsidRPr="005F7F32">
        <w:rPr>
          <w:noProof w:val="0"/>
          <w:lang w:val="en-AU"/>
        </w:rPr>
        <w:t>Gomoiu</w:t>
      </w:r>
      <w:proofErr w:type="spellEnd"/>
      <w:r w:rsidRPr="005F7F32">
        <w:rPr>
          <w:noProof w:val="0"/>
          <w:lang w:val="en-AU"/>
        </w:rPr>
        <w:t xml:space="preserve">, M-T, Alexandrov, B, Shadrin, N &amp; Zaitsev, Y 2002, 'The Black Sea—a recipient, donor and transit area for alien species', in </w:t>
      </w:r>
      <w:hyperlink r:id="rId441" w:history="1">
        <w:r w:rsidRPr="005F7F32">
          <w:rPr>
            <w:rStyle w:val="Hyperlink"/>
            <w:iCs/>
            <w:noProof w:val="0"/>
            <w:lang w:val="en-AU"/>
          </w:rPr>
          <w:t xml:space="preserve">Invasive aquatic species of Europe. </w:t>
        </w:r>
        <w:proofErr w:type="gramStart"/>
        <w:r w:rsidRPr="005F7F32">
          <w:rPr>
            <w:rStyle w:val="Hyperlink"/>
            <w:iCs/>
            <w:noProof w:val="0"/>
            <w:lang w:val="en-AU"/>
          </w:rPr>
          <w:t>Distribution,</w:t>
        </w:r>
        <w:proofErr w:type="gramEnd"/>
        <w:r w:rsidRPr="005F7F32">
          <w:rPr>
            <w:rStyle w:val="Hyperlink"/>
            <w:iCs/>
            <w:noProof w:val="0"/>
            <w:lang w:val="en-AU"/>
          </w:rPr>
          <w:t xml:space="preserve"> impacts and management</w:t>
        </w:r>
      </w:hyperlink>
      <w:r w:rsidRPr="005F7F32">
        <w:rPr>
          <w:noProof w:val="0"/>
          <w:lang w:val="en-AU"/>
        </w:rPr>
        <w:t>, Springer, pp. 341-50.</w:t>
      </w:r>
    </w:p>
    <w:p w14:paraId="57AB9EF8" w14:textId="77777777" w:rsidR="00626D48" w:rsidRDefault="00626D48" w:rsidP="00C80491">
      <w:pPr>
        <w:pStyle w:val="EndNoteBibliography"/>
        <w:rPr>
          <w:noProof w:val="0"/>
          <w:lang w:val="en-AU"/>
        </w:rPr>
      </w:pPr>
    </w:p>
    <w:p w14:paraId="029DA5B2" w14:textId="132C9813" w:rsidR="00B25DD3" w:rsidRDefault="00B25DD3" w:rsidP="00B25DD3">
      <w:pPr>
        <w:rPr>
          <w:rFonts w:ascii="Calibri" w:hAnsi="Calibri" w:cs="Calibri"/>
        </w:rPr>
      </w:pPr>
      <w:proofErr w:type="spellStart"/>
      <w:r w:rsidRPr="00B25DD3">
        <w:rPr>
          <w:rFonts w:ascii="Calibri" w:hAnsi="Calibri" w:cs="Calibri"/>
        </w:rPr>
        <w:lastRenderedPageBreak/>
        <w:t>Goulletquer</w:t>
      </w:r>
      <w:proofErr w:type="spellEnd"/>
      <w:r w:rsidRPr="00B25DD3">
        <w:rPr>
          <w:rFonts w:ascii="Calibri" w:hAnsi="Calibri" w:cs="Calibri"/>
        </w:rPr>
        <w:t xml:space="preserve">, P, Bachelet, G, </w:t>
      </w:r>
      <w:proofErr w:type="spellStart"/>
      <w:r w:rsidRPr="00B25DD3">
        <w:rPr>
          <w:rFonts w:ascii="Calibri" w:hAnsi="Calibri" w:cs="Calibri"/>
        </w:rPr>
        <w:t>Sauriau</w:t>
      </w:r>
      <w:proofErr w:type="spellEnd"/>
      <w:r w:rsidRPr="00B25DD3">
        <w:rPr>
          <w:rFonts w:ascii="Calibri" w:hAnsi="Calibri" w:cs="Calibri"/>
        </w:rPr>
        <w:t>, PG</w:t>
      </w:r>
      <w:r>
        <w:rPr>
          <w:rFonts w:ascii="Calibri" w:hAnsi="Calibri" w:cs="Calibri"/>
        </w:rPr>
        <w:t xml:space="preserve"> &amp;</w:t>
      </w:r>
      <w:r w:rsidRPr="00B25DD3">
        <w:rPr>
          <w:rFonts w:ascii="Calibri" w:hAnsi="Calibri" w:cs="Calibri"/>
        </w:rPr>
        <w:t xml:space="preserve"> Noel, P</w:t>
      </w:r>
      <w:r>
        <w:rPr>
          <w:rFonts w:ascii="Calibri" w:hAnsi="Calibri" w:cs="Calibri"/>
        </w:rPr>
        <w:t xml:space="preserve"> </w:t>
      </w:r>
      <w:r w:rsidRPr="00B25DD3">
        <w:rPr>
          <w:rFonts w:ascii="Calibri" w:hAnsi="Calibri" w:cs="Calibri"/>
        </w:rPr>
        <w:t>2002</w:t>
      </w:r>
      <w:r>
        <w:rPr>
          <w:rFonts w:ascii="Calibri" w:hAnsi="Calibri" w:cs="Calibri"/>
        </w:rPr>
        <w:t xml:space="preserve">, </w:t>
      </w:r>
      <w:hyperlink r:id="rId442" w:history="1">
        <w:r w:rsidRPr="00B25DD3">
          <w:rPr>
            <w:rStyle w:val="Hyperlink"/>
            <w:rFonts w:ascii="Calibri" w:hAnsi="Calibri" w:cs="Calibri"/>
          </w:rPr>
          <w:t>Open Atlantic Coast of Europe — A Century of Introduced Species into French Waters</w:t>
        </w:r>
      </w:hyperlink>
      <w:r>
        <w:rPr>
          <w:rFonts w:ascii="Calibri" w:hAnsi="Calibri" w:cs="Calibri"/>
        </w:rPr>
        <w:t>,</w:t>
      </w:r>
      <w:r w:rsidRPr="00B25DD3">
        <w:rPr>
          <w:rFonts w:ascii="Calibri" w:hAnsi="Calibri" w:cs="Calibri"/>
        </w:rPr>
        <w:t xml:space="preserve"> In </w:t>
      </w:r>
      <w:proofErr w:type="spellStart"/>
      <w:r w:rsidRPr="00B25DD3">
        <w:rPr>
          <w:rFonts w:ascii="Calibri" w:hAnsi="Calibri" w:cs="Calibri"/>
        </w:rPr>
        <w:t>Leppäkoski</w:t>
      </w:r>
      <w:proofErr w:type="spellEnd"/>
      <w:r w:rsidRPr="00B25DD3">
        <w:rPr>
          <w:rFonts w:ascii="Calibri" w:hAnsi="Calibri" w:cs="Calibri"/>
        </w:rPr>
        <w:t xml:space="preserve">, E., </w:t>
      </w:r>
      <w:proofErr w:type="spellStart"/>
      <w:r w:rsidRPr="00B25DD3">
        <w:rPr>
          <w:rFonts w:ascii="Calibri" w:hAnsi="Calibri" w:cs="Calibri"/>
        </w:rPr>
        <w:t>Gollasch</w:t>
      </w:r>
      <w:proofErr w:type="spellEnd"/>
      <w:r w:rsidRPr="00B25DD3">
        <w:rPr>
          <w:rFonts w:ascii="Calibri" w:hAnsi="Calibri" w:cs="Calibri"/>
        </w:rPr>
        <w:t xml:space="preserve">, S., </w:t>
      </w:r>
      <w:proofErr w:type="spellStart"/>
      <w:r w:rsidRPr="00B25DD3">
        <w:rPr>
          <w:rFonts w:ascii="Calibri" w:hAnsi="Calibri" w:cs="Calibri"/>
        </w:rPr>
        <w:t>Olenin</w:t>
      </w:r>
      <w:proofErr w:type="spellEnd"/>
      <w:r w:rsidRPr="00B25DD3">
        <w:rPr>
          <w:rFonts w:ascii="Calibri" w:hAnsi="Calibri" w:cs="Calibri"/>
        </w:rPr>
        <w:t>, S. (eds) Invasive Aquatic Species of Europe. Distribution, Impacts and Management. Springer, Dordrecht</w:t>
      </w:r>
      <w:r>
        <w:rPr>
          <w:rFonts w:ascii="Calibri" w:hAnsi="Calibri" w:cs="Calibri"/>
        </w:rPr>
        <w:t xml:space="preserve">, DOI: </w:t>
      </w:r>
      <w:r w:rsidRPr="00B25DD3">
        <w:rPr>
          <w:rFonts w:ascii="Calibri" w:hAnsi="Calibri" w:cs="Calibri"/>
        </w:rPr>
        <w:t>10.1007/978-94-015-9956-6_30</w:t>
      </w:r>
      <w:r>
        <w:rPr>
          <w:rFonts w:ascii="Calibri" w:hAnsi="Calibri" w:cs="Calibri"/>
        </w:rPr>
        <w:t>.</w:t>
      </w:r>
    </w:p>
    <w:p w14:paraId="113DAD89" w14:textId="5595C323" w:rsidR="00865A52" w:rsidRPr="00865A52" w:rsidRDefault="00865A52" w:rsidP="00B25DD3">
      <w:pPr>
        <w:rPr>
          <w:rFonts w:ascii="Calibri" w:hAnsi="Calibri" w:cs="Calibri"/>
        </w:rPr>
      </w:pPr>
      <w:r>
        <w:rPr>
          <w:rFonts w:ascii="Calibri" w:hAnsi="Calibri" w:cs="Calibri"/>
        </w:rPr>
        <w:t xml:space="preserve">Grabowski, JH, Peterson, CH, Bishop, MJ &amp; Conrad, R 2007, </w:t>
      </w:r>
      <w:hyperlink r:id="rId443" w:history="1">
        <w:r w:rsidRPr="00865A52">
          <w:rPr>
            <w:rStyle w:val="Hyperlink"/>
            <w:rFonts w:ascii="Calibri" w:hAnsi="Calibri" w:cs="Calibri"/>
          </w:rPr>
          <w:t xml:space="preserve">The bioeconomic feasibility of culturing triploid </w:t>
        </w:r>
        <w:r w:rsidRPr="00865A52">
          <w:rPr>
            <w:rStyle w:val="Hyperlink"/>
            <w:rFonts w:ascii="Calibri" w:hAnsi="Calibri" w:cs="Calibri"/>
            <w:i/>
            <w:iCs/>
          </w:rPr>
          <w:t>Crassostrea ariakensis</w:t>
        </w:r>
        <w:r w:rsidRPr="00865A52">
          <w:rPr>
            <w:rStyle w:val="Hyperlink"/>
            <w:rFonts w:ascii="Calibri" w:hAnsi="Calibri" w:cs="Calibri"/>
          </w:rPr>
          <w:t xml:space="preserve"> in North Carolina</w:t>
        </w:r>
      </w:hyperlink>
      <w:r>
        <w:rPr>
          <w:rFonts w:ascii="Calibri" w:hAnsi="Calibri" w:cs="Calibri"/>
        </w:rPr>
        <w:t xml:space="preserve">, </w:t>
      </w:r>
      <w:r>
        <w:rPr>
          <w:rFonts w:ascii="Calibri" w:hAnsi="Calibri" w:cs="Calibri"/>
          <w:i/>
          <w:iCs/>
        </w:rPr>
        <w:t xml:space="preserve">Journal of Shellfish Research, </w:t>
      </w:r>
      <w:r>
        <w:rPr>
          <w:rFonts w:ascii="Calibri" w:hAnsi="Calibri" w:cs="Calibri"/>
        </w:rPr>
        <w:t xml:space="preserve">vol. 26, no. 2, pp. 529-542, DOI: </w:t>
      </w:r>
      <w:r w:rsidRPr="00865A52">
        <w:rPr>
          <w:rFonts w:ascii="Calibri" w:hAnsi="Calibri" w:cs="Calibri"/>
        </w:rPr>
        <w:t>10.2983/0730-8000(2007)26[529:TBFOCT]2.0.CO;2</w:t>
      </w:r>
      <w:r>
        <w:rPr>
          <w:rFonts w:ascii="Calibri" w:hAnsi="Calibri" w:cs="Calibri"/>
        </w:rPr>
        <w:t>.</w:t>
      </w:r>
    </w:p>
    <w:p w14:paraId="1D82442C" w14:textId="6366FDFE" w:rsidR="00C80491" w:rsidRPr="005F7F32" w:rsidRDefault="00C80491" w:rsidP="00C80491">
      <w:pPr>
        <w:spacing w:line="240" w:lineRule="auto"/>
        <w:rPr>
          <w:lang w:eastAsia="ja-JP"/>
        </w:rPr>
      </w:pPr>
      <w:r w:rsidRPr="004253AE">
        <w:rPr>
          <w:lang w:eastAsia="ja-JP"/>
        </w:rPr>
        <w:t xml:space="preserve">Green, SJ &amp; </w:t>
      </w:r>
      <w:proofErr w:type="spellStart"/>
      <w:r w:rsidRPr="004253AE">
        <w:rPr>
          <w:lang w:eastAsia="ja-JP"/>
        </w:rPr>
        <w:t>Grosholz</w:t>
      </w:r>
      <w:proofErr w:type="spellEnd"/>
      <w:r w:rsidRPr="004253AE">
        <w:rPr>
          <w:lang w:eastAsia="ja-JP"/>
        </w:rPr>
        <w:t xml:space="preserve">, ED 2020, </w:t>
      </w:r>
      <w:hyperlink r:id="rId444" w:history="1">
        <w:r w:rsidRPr="00581E99">
          <w:rPr>
            <w:rStyle w:val="Hyperlink"/>
          </w:rPr>
          <w:t>Functional eradication as a framework for invasive species control, Frontiers in Ecology and the Environment</w:t>
        </w:r>
      </w:hyperlink>
      <w:r w:rsidRPr="004253AE">
        <w:rPr>
          <w:lang w:eastAsia="ja-JP"/>
        </w:rPr>
        <w:t>,</w:t>
      </w:r>
      <w:r w:rsidRPr="00581E99">
        <w:rPr>
          <w:lang w:eastAsia="ja-JP"/>
        </w:rPr>
        <w:t xml:space="preserve"> </w:t>
      </w:r>
      <w:r w:rsidRPr="00581E99">
        <w:rPr>
          <w:i/>
          <w:iCs/>
          <w:lang w:eastAsia="ja-JP"/>
        </w:rPr>
        <w:t>Frontiers in Ecology and the Environment</w:t>
      </w:r>
      <w:r w:rsidRPr="004253AE">
        <w:rPr>
          <w:lang w:eastAsia="ja-JP"/>
        </w:rPr>
        <w:t>, vol.</w:t>
      </w:r>
      <w:r w:rsidRPr="00581E99">
        <w:rPr>
          <w:lang w:eastAsia="ja-JP"/>
        </w:rPr>
        <w:t xml:space="preserve"> 19, no. 2, pp. 98-107, DOI</w:t>
      </w:r>
      <w:r w:rsidRPr="004253AE">
        <w:rPr>
          <w:lang w:eastAsia="ja-JP"/>
        </w:rPr>
        <w:t>:</w:t>
      </w:r>
      <w:r w:rsidRPr="00581E99">
        <w:rPr>
          <w:lang w:eastAsia="ja-JP"/>
        </w:rPr>
        <w:t xml:space="preserve"> </w:t>
      </w:r>
      <w:r w:rsidRPr="004253AE">
        <w:rPr>
          <w:lang w:eastAsia="ja-JP"/>
        </w:rPr>
        <w:t>10.1002/fee.2277.</w:t>
      </w:r>
    </w:p>
    <w:p w14:paraId="49541FF0" w14:textId="344C6C42" w:rsidR="006939E1" w:rsidRDefault="00B5740F" w:rsidP="00C80491">
      <w:pPr>
        <w:pStyle w:val="EndNoteBibliography"/>
        <w:rPr>
          <w:noProof w:val="0"/>
          <w:lang w:val="en-AU"/>
        </w:rPr>
      </w:pPr>
      <w:r w:rsidRPr="005F7F32">
        <w:rPr>
          <w:noProof w:val="0"/>
          <w:lang w:val="en-AU"/>
        </w:rPr>
        <w:t xml:space="preserve">Grove, S, Willan, R, Ellard, K &amp; Dann, A 2018, </w:t>
      </w:r>
      <w:hyperlink r:id="rId445" w:history="1">
        <w:r w:rsidRPr="005F7F32">
          <w:rPr>
            <w:rStyle w:val="Hyperlink"/>
            <w:noProof w:val="0"/>
            <w:lang w:val="en-AU"/>
          </w:rPr>
          <w:t xml:space="preserve">Detection of the invasive exotic Japanese softshell clam </w:t>
        </w:r>
        <w:r w:rsidRPr="005F7F32">
          <w:rPr>
            <w:rStyle w:val="Hyperlink"/>
            <w:i/>
            <w:noProof w:val="0"/>
            <w:lang w:val="en-AU"/>
          </w:rPr>
          <w:t>Mya japonica</w:t>
        </w:r>
        <w:r w:rsidRPr="005F7F32">
          <w:rPr>
            <w:rStyle w:val="Hyperlink"/>
            <w:noProof w:val="0"/>
            <w:lang w:val="en-AU"/>
          </w:rPr>
          <w:t xml:space="preserve"> Jay, 1857 (</w:t>
        </w:r>
        <w:proofErr w:type="spellStart"/>
        <w:r w:rsidRPr="005F7F32">
          <w:rPr>
            <w:rStyle w:val="Hyperlink"/>
            <w:noProof w:val="0"/>
            <w:lang w:val="en-AU"/>
          </w:rPr>
          <w:t>Bivalvidae</w:t>
        </w:r>
        <w:proofErr w:type="spellEnd"/>
        <w:r w:rsidRPr="005F7F32">
          <w:rPr>
            <w:rStyle w:val="Hyperlink"/>
            <w:noProof w:val="0"/>
            <w:lang w:val="en-AU"/>
          </w:rPr>
          <w:t xml:space="preserve">: </w:t>
        </w:r>
        <w:proofErr w:type="spellStart"/>
        <w:r w:rsidRPr="005F7F32">
          <w:rPr>
            <w:rStyle w:val="Hyperlink"/>
            <w:noProof w:val="0"/>
            <w:lang w:val="en-AU"/>
          </w:rPr>
          <w:t>Myidae</w:t>
        </w:r>
        <w:proofErr w:type="spellEnd"/>
        <w:r w:rsidRPr="005F7F32">
          <w:rPr>
            <w:rStyle w:val="Hyperlink"/>
            <w:noProof w:val="0"/>
            <w:lang w:val="en-AU"/>
          </w:rPr>
          <w:t>) in Tasmania</w:t>
        </w:r>
      </w:hyperlink>
      <w:r w:rsidRPr="005F7F32">
        <w:rPr>
          <w:noProof w:val="0"/>
          <w:lang w:val="en-AU"/>
        </w:rPr>
        <w:t xml:space="preserve">, </w:t>
      </w:r>
      <w:r w:rsidRPr="005F7F32">
        <w:rPr>
          <w:iCs/>
          <w:noProof w:val="0"/>
          <w:lang w:val="en-AU"/>
        </w:rPr>
        <w:t>The Malacological Society of Australasia Newsletter, vol</w:t>
      </w:r>
      <w:r w:rsidRPr="005F7F32">
        <w:rPr>
          <w:noProof w:val="0"/>
          <w:lang w:val="en-AU"/>
        </w:rPr>
        <w:t>. 167, pp. 3-5.</w:t>
      </w:r>
    </w:p>
    <w:p w14:paraId="1CB99580" w14:textId="26DB302C" w:rsidR="008D0A24" w:rsidRPr="005F7F32" w:rsidRDefault="008D0A24" w:rsidP="00C80491">
      <w:pPr>
        <w:pStyle w:val="EndNoteBibliography"/>
        <w:rPr>
          <w:noProof w:val="0"/>
          <w:lang w:val="en-AU"/>
        </w:rPr>
      </w:pPr>
      <w:r w:rsidRPr="008D0A24">
        <w:rPr>
          <w:noProof w:val="0"/>
          <w:lang w:val="en-AU"/>
        </w:rPr>
        <w:t>Grove</w:t>
      </w:r>
      <w:r>
        <w:rPr>
          <w:noProof w:val="0"/>
          <w:lang w:val="en-AU"/>
        </w:rPr>
        <w:t>,</w:t>
      </w:r>
      <w:r w:rsidRPr="008D0A24">
        <w:rPr>
          <w:noProof w:val="0"/>
          <w:lang w:val="en-AU"/>
        </w:rPr>
        <w:t xml:space="preserve"> S 2018</w:t>
      </w:r>
      <w:r>
        <w:rPr>
          <w:noProof w:val="0"/>
          <w:lang w:val="en-AU"/>
        </w:rPr>
        <w:t xml:space="preserve">, </w:t>
      </w:r>
      <w:hyperlink r:id="rId446" w:history="1">
        <w:r w:rsidRPr="008D0A24">
          <w:rPr>
            <w:rStyle w:val="Hyperlink"/>
            <w:noProof w:val="0"/>
            <w:lang w:val="en-AU"/>
          </w:rPr>
          <w:t xml:space="preserve">Molluscs of Tasmania: A Guide to the Seashells and other Marine Molluscs of Tasmania website. Mytilidae: </w:t>
        </w:r>
        <w:r w:rsidRPr="008D0A24">
          <w:rPr>
            <w:rStyle w:val="Hyperlink"/>
            <w:i/>
            <w:iCs/>
            <w:noProof w:val="0"/>
            <w:lang w:val="en-AU"/>
          </w:rPr>
          <w:t>Arcuatula senhousia</w:t>
        </w:r>
        <w:r w:rsidRPr="008D0A24">
          <w:rPr>
            <w:rStyle w:val="Hyperlink"/>
            <w:noProof w:val="0"/>
            <w:lang w:val="en-AU"/>
          </w:rPr>
          <w:t xml:space="preserve"> (Benson, 1842) (‘Asian bag-mussel’),</w:t>
        </w:r>
      </w:hyperlink>
      <w:r w:rsidRPr="008D0A24">
        <w:rPr>
          <w:noProof w:val="0"/>
          <w:lang w:val="en-AU"/>
        </w:rPr>
        <w:t xml:space="preserve"> Accessed:</w:t>
      </w:r>
      <w:r>
        <w:rPr>
          <w:noProof w:val="0"/>
          <w:lang w:val="en-AU"/>
        </w:rPr>
        <w:t xml:space="preserve"> 3 February 2025.</w:t>
      </w:r>
    </w:p>
    <w:p w14:paraId="1432F08B" w14:textId="73BD2B14" w:rsidR="00A72801" w:rsidRDefault="00B5740F" w:rsidP="00C80491">
      <w:pPr>
        <w:pStyle w:val="EndNoteBibliography"/>
        <w:rPr>
          <w:noProof w:val="0"/>
          <w:lang w:val="en-AU"/>
        </w:rPr>
      </w:pPr>
      <w:r w:rsidRPr="005F7F32">
        <w:rPr>
          <w:noProof w:val="0"/>
          <w:lang w:val="en-AU"/>
        </w:rPr>
        <w:t xml:space="preserve">Growcott, A, Kluza, D &amp; Georgiades, E 2016, </w:t>
      </w:r>
      <w:hyperlink r:id="rId447" w:history="1">
        <w:r w:rsidRPr="005F7F32">
          <w:rPr>
            <w:rStyle w:val="Hyperlink"/>
            <w:iCs/>
            <w:noProof w:val="0"/>
            <w:lang w:val="en-AU"/>
          </w:rPr>
          <w:t>Literature review: In-water systems to remove or treat biofouling in vessel sea chests and internal pipework</w:t>
        </w:r>
      </w:hyperlink>
      <w:r w:rsidRPr="005F7F32">
        <w:rPr>
          <w:noProof w:val="0"/>
          <w:lang w:val="en-AU"/>
        </w:rPr>
        <w:t xml:space="preserve">, </w:t>
      </w:r>
      <w:r w:rsidR="002D280B" w:rsidRPr="005F7F32">
        <w:rPr>
          <w:noProof w:val="0"/>
          <w:lang w:val="en-AU"/>
        </w:rPr>
        <w:t>MPI Technical Paper No: 2016-16, Wellington New Zealand, p. 66</w:t>
      </w:r>
      <w:r w:rsidRPr="005F7F32">
        <w:rPr>
          <w:noProof w:val="0"/>
          <w:lang w:val="en-AU"/>
        </w:rPr>
        <w:t>.</w:t>
      </w:r>
    </w:p>
    <w:p w14:paraId="0F21E28B" w14:textId="3E0924D2" w:rsidR="007F3FF4" w:rsidRDefault="007F3FF4" w:rsidP="00C80491">
      <w:pPr>
        <w:pStyle w:val="EndNoteBibliography"/>
        <w:rPr>
          <w:noProof w:val="0"/>
          <w:lang w:val="en-AU"/>
        </w:rPr>
      </w:pPr>
      <w:r w:rsidRPr="007F3FF4">
        <w:rPr>
          <w:noProof w:val="0"/>
          <w:lang w:val="en-AU"/>
        </w:rPr>
        <w:t>Guan</w:t>
      </w:r>
      <w:r>
        <w:rPr>
          <w:noProof w:val="0"/>
          <w:lang w:val="en-AU"/>
        </w:rPr>
        <w:t>, F</w:t>
      </w:r>
      <w:r w:rsidRPr="007F3FF4">
        <w:rPr>
          <w:noProof w:val="0"/>
          <w:lang w:val="en-AU"/>
        </w:rPr>
        <w:t xml:space="preserve">, </w:t>
      </w:r>
      <w:r>
        <w:rPr>
          <w:noProof w:val="0"/>
          <w:lang w:val="en-AU"/>
        </w:rPr>
        <w:t>Han, Y &amp;</w:t>
      </w:r>
      <w:r w:rsidRPr="007F3FF4">
        <w:rPr>
          <w:noProof w:val="0"/>
          <w:lang w:val="en-AU"/>
        </w:rPr>
        <w:t xml:space="preserve"> </w:t>
      </w:r>
      <w:r>
        <w:rPr>
          <w:noProof w:val="0"/>
          <w:lang w:val="en-AU"/>
        </w:rPr>
        <w:t>Qu, W 1989,</w:t>
      </w:r>
      <w:r w:rsidRPr="007F3FF4">
        <w:rPr>
          <w:noProof w:val="0"/>
          <w:lang w:val="en-AU"/>
        </w:rPr>
        <w:t xml:space="preserve"> </w:t>
      </w:r>
      <w:hyperlink r:id="rId448" w:history="1">
        <w:r w:rsidRPr="007F3FF4">
          <w:rPr>
            <w:rStyle w:val="Hyperlink"/>
            <w:noProof w:val="0"/>
            <w:lang w:val="en-AU"/>
          </w:rPr>
          <w:t xml:space="preserve">On the habitat and growth of </w:t>
        </w:r>
        <w:r w:rsidRPr="007F3FF4">
          <w:rPr>
            <w:rStyle w:val="Hyperlink"/>
            <w:i/>
            <w:iCs/>
            <w:noProof w:val="0"/>
            <w:lang w:val="en-AU"/>
          </w:rPr>
          <w:t xml:space="preserve">Musculus </w:t>
        </w:r>
        <w:proofErr w:type="spellStart"/>
        <w:r w:rsidRPr="007F3FF4">
          <w:rPr>
            <w:rStyle w:val="Hyperlink"/>
            <w:i/>
            <w:iCs/>
            <w:noProof w:val="0"/>
            <w:lang w:val="en-AU"/>
          </w:rPr>
          <w:t>senhousei</w:t>
        </w:r>
        <w:proofErr w:type="spellEnd"/>
        <w:r w:rsidRPr="007F3FF4">
          <w:rPr>
            <w:rStyle w:val="Hyperlink"/>
            <w:noProof w:val="0"/>
            <w:lang w:val="en-AU"/>
          </w:rPr>
          <w:t xml:space="preserve"> (Benson)</w:t>
        </w:r>
      </w:hyperlink>
      <w:r>
        <w:rPr>
          <w:noProof w:val="0"/>
          <w:lang w:val="en-AU"/>
        </w:rPr>
        <w:t xml:space="preserve">, </w:t>
      </w:r>
      <w:r w:rsidRPr="007F3FF4">
        <w:rPr>
          <w:i/>
          <w:iCs/>
          <w:noProof w:val="0"/>
          <w:lang w:val="en-AU"/>
        </w:rPr>
        <w:t>Journal of Fisheries of China</w:t>
      </w:r>
      <w:r w:rsidRPr="007F3FF4">
        <w:rPr>
          <w:noProof w:val="0"/>
          <w:lang w:val="en-AU"/>
        </w:rPr>
        <w:t>,</w:t>
      </w:r>
      <w:r>
        <w:rPr>
          <w:noProof w:val="0"/>
          <w:lang w:val="en-AU"/>
        </w:rPr>
        <w:t xml:space="preserve"> vol. </w:t>
      </w:r>
      <w:r w:rsidRPr="007F3FF4">
        <w:rPr>
          <w:noProof w:val="0"/>
          <w:lang w:val="en-AU"/>
        </w:rPr>
        <w:t>1</w:t>
      </w:r>
      <w:r>
        <w:rPr>
          <w:noProof w:val="0"/>
          <w:lang w:val="en-AU"/>
        </w:rPr>
        <w:t xml:space="preserve">3, no. 3, pp. </w:t>
      </w:r>
      <w:r w:rsidRPr="007F3FF4">
        <w:rPr>
          <w:noProof w:val="0"/>
          <w:lang w:val="en-AU"/>
        </w:rPr>
        <w:t>181</w:t>
      </w:r>
      <w:r>
        <w:rPr>
          <w:noProof w:val="0"/>
          <w:lang w:val="en-AU"/>
        </w:rPr>
        <w:t>-</w:t>
      </w:r>
      <w:r w:rsidRPr="007F3FF4">
        <w:rPr>
          <w:noProof w:val="0"/>
          <w:lang w:val="en-AU"/>
        </w:rPr>
        <w:t>88</w:t>
      </w:r>
      <w:r>
        <w:rPr>
          <w:noProof w:val="0"/>
          <w:lang w:val="en-AU"/>
        </w:rPr>
        <w:t>.</w:t>
      </w:r>
    </w:p>
    <w:p w14:paraId="1E80C58A" w14:textId="3C64B325" w:rsidR="00246AE3" w:rsidRDefault="00246AE3" w:rsidP="00C80491">
      <w:pPr>
        <w:pStyle w:val="EndNoteBibliography"/>
        <w:rPr>
          <w:noProof w:val="0"/>
          <w:lang w:val="en-AU"/>
        </w:rPr>
      </w:pPr>
      <w:r w:rsidRPr="00246AE3">
        <w:rPr>
          <w:noProof w:val="0"/>
          <w:lang w:val="en-AU"/>
        </w:rPr>
        <w:t>Hallan</w:t>
      </w:r>
      <w:r>
        <w:rPr>
          <w:noProof w:val="0"/>
          <w:lang w:val="en-AU"/>
        </w:rPr>
        <w:t>,</w:t>
      </w:r>
      <w:r w:rsidRPr="00246AE3">
        <w:rPr>
          <w:noProof w:val="0"/>
          <w:lang w:val="en-AU"/>
        </w:rPr>
        <w:t xml:space="preserve"> A, Colgan</w:t>
      </w:r>
      <w:r>
        <w:rPr>
          <w:noProof w:val="0"/>
          <w:lang w:val="en-AU"/>
        </w:rPr>
        <w:t>,</w:t>
      </w:r>
      <w:r w:rsidRPr="00246AE3">
        <w:rPr>
          <w:noProof w:val="0"/>
          <w:lang w:val="en-AU"/>
        </w:rPr>
        <w:t xml:space="preserve"> DJ, Anderson</w:t>
      </w:r>
      <w:r>
        <w:rPr>
          <w:noProof w:val="0"/>
          <w:lang w:val="en-AU"/>
        </w:rPr>
        <w:t>,</w:t>
      </w:r>
      <w:r w:rsidRPr="00246AE3">
        <w:rPr>
          <w:noProof w:val="0"/>
          <w:lang w:val="en-AU"/>
        </w:rPr>
        <w:t xml:space="preserve"> LC, García</w:t>
      </w:r>
      <w:r>
        <w:rPr>
          <w:noProof w:val="0"/>
          <w:lang w:val="en-AU"/>
        </w:rPr>
        <w:t>,</w:t>
      </w:r>
      <w:r w:rsidRPr="00246AE3">
        <w:rPr>
          <w:noProof w:val="0"/>
          <w:lang w:val="en-AU"/>
        </w:rPr>
        <w:t xml:space="preserve"> A</w:t>
      </w:r>
      <w:r>
        <w:rPr>
          <w:noProof w:val="0"/>
          <w:lang w:val="en-AU"/>
        </w:rPr>
        <w:t xml:space="preserve"> &amp;</w:t>
      </w:r>
      <w:r w:rsidRPr="00246AE3">
        <w:rPr>
          <w:noProof w:val="0"/>
          <w:lang w:val="en-AU"/>
        </w:rPr>
        <w:t xml:space="preserve"> Chivas</w:t>
      </w:r>
      <w:r>
        <w:rPr>
          <w:noProof w:val="0"/>
          <w:lang w:val="en-AU"/>
        </w:rPr>
        <w:t>,</w:t>
      </w:r>
      <w:r w:rsidRPr="00246AE3">
        <w:rPr>
          <w:noProof w:val="0"/>
          <w:lang w:val="en-AU"/>
        </w:rPr>
        <w:t xml:space="preserve"> AR 2013</w:t>
      </w:r>
      <w:r>
        <w:rPr>
          <w:noProof w:val="0"/>
          <w:lang w:val="en-AU"/>
        </w:rPr>
        <w:t>,</w:t>
      </w:r>
      <w:r w:rsidRPr="00246AE3">
        <w:rPr>
          <w:noProof w:val="0"/>
          <w:u w:color="0070C0"/>
          <w:lang w:val="en-AU"/>
        </w:rPr>
        <w:t xml:space="preserve"> </w:t>
      </w:r>
      <w:hyperlink r:id="rId449" w:history="1">
        <w:r w:rsidRPr="00246AE3">
          <w:rPr>
            <w:rStyle w:val="Hyperlink"/>
            <w:noProof w:val="0"/>
            <w:lang w:val="en-AU"/>
          </w:rPr>
          <w:t>A single origin for the limnetic–euryhaline taxa in the Corbulidae (Bivalvia),</w:t>
        </w:r>
      </w:hyperlink>
      <w:r w:rsidRPr="00246AE3">
        <w:rPr>
          <w:noProof w:val="0"/>
          <w:lang w:val="en-AU"/>
        </w:rPr>
        <w:t xml:space="preserve"> </w:t>
      </w:r>
      <w:proofErr w:type="spellStart"/>
      <w:r w:rsidRPr="00246AE3">
        <w:rPr>
          <w:i/>
          <w:iCs/>
          <w:noProof w:val="0"/>
          <w:lang w:val="en-AU"/>
        </w:rPr>
        <w:t>Zoologica</w:t>
      </w:r>
      <w:proofErr w:type="spellEnd"/>
      <w:r w:rsidRPr="00246AE3">
        <w:rPr>
          <w:i/>
          <w:iCs/>
          <w:noProof w:val="0"/>
          <w:lang w:val="en-AU"/>
        </w:rPr>
        <w:t xml:space="preserve"> Scripta</w:t>
      </w:r>
      <w:r w:rsidRPr="00246AE3">
        <w:rPr>
          <w:noProof w:val="0"/>
          <w:lang w:val="en-AU"/>
        </w:rPr>
        <w:t xml:space="preserve">, </w:t>
      </w:r>
      <w:r>
        <w:rPr>
          <w:noProof w:val="0"/>
          <w:lang w:val="en-AU"/>
        </w:rPr>
        <w:t xml:space="preserve">vol. </w:t>
      </w:r>
      <w:r w:rsidRPr="00246AE3">
        <w:rPr>
          <w:noProof w:val="0"/>
          <w:lang w:val="en-AU"/>
        </w:rPr>
        <w:t xml:space="preserve">42, </w:t>
      </w:r>
      <w:r>
        <w:rPr>
          <w:noProof w:val="0"/>
          <w:lang w:val="en-AU"/>
        </w:rPr>
        <w:t xml:space="preserve">pp. </w:t>
      </w:r>
      <w:r w:rsidRPr="00246AE3">
        <w:rPr>
          <w:noProof w:val="0"/>
          <w:lang w:val="en-AU"/>
        </w:rPr>
        <w:t>278–287</w:t>
      </w:r>
      <w:r>
        <w:rPr>
          <w:noProof w:val="0"/>
          <w:lang w:val="en-AU"/>
        </w:rPr>
        <w:t xml:space="preserve">, DOI: </w:t>
      </w:r>
      <w:r w:rsidRPr="00246AE3">
        <w:rPr>
          <w:noProof w:val="0"/>
          <w:lang w:val="en-AU"/>
        </w:rPr>
        <w:t>10.1111/zsc.12010</w:t>
      </w:r>
      <w:r>
        <w:rPr>
          <w:noProof w:val="0"/>
          <w:lang w:val="en-AU"/>
        </w:rPr>
        <w:t>.</w:t>
      </w:r>
    </w:p>
    <w:p w14:paraId="007528FB" w14:textId="1C91F237" w:rsidR="00ED25EB" w:rsidRPr="00ED25EB" w:rsidRDefault="00ED25EB" w:rsidP="00C80491">
      <w:pPr>
        <w:pStyle w:val="EndNoteBibliography"/>
        <w:rPr>
          <w:noProof w:val="0"/>
          <w:lang w:val="en-AU"/>
        </w:rPr>
      </w:pPr>
      <w:r>
        <w:rPr>
          <w:noProof w:val="0"/>
          <w:lang w:val="en-AU"/>
        </w:rPr>
        <w:t xml:space="preserve">Hallerman, E, Leffler, M, Mills, S &amp; Allen, SJ 2001, </w:t>
      </w:r>
      <w:hyperlink r:id="rId450" w:history="1">
        <w:r w:rsidRPr="00ED25EB">
          <w:rPr>
            <w:rStyle w:val="Hyperlink"/>
            <w:noProof w:val="0"/>
            <w:lang w:val="en-AU"/>
          </w:rPr>
          <w:t xml:space="preserve">Aquaculture of triploid </w:t>
        </w:r>
        <w:r w:rsidRPr="00ED25EB">
          <w:rPr>
            <w:rStyle w:val="Hyperlink"/>
            <w:i/>
            <w:iCs/>
            <w:noProof w:val="0"/>
            <w:lang w:val="en-AU"/>
          </w:rPr>
          <w:t xml:space="preserve">Crassostrea ariakensis </w:t>
        </w:r>
        <w:r w:rsidRPr="00ED25EB">
          <w:rPr>
            <w:rStyle w:val="Hyperlink"/>
            <w:noProof w:val="0"/>
            <w:lang w:val="en-AU"/>
          </w:rPr>
          <w:t>in Chesapeake Bay: A symposium report</w:t>
        </w:r>
      </w:hyperlink>
      <w:r>
        <w:rPr>
          <w:noProof w:val="0"/>
          <w:lang w:val="en-AU"/>
        </w:rPr>
        <w:t xml:space="preserve">, Virginia Sea Grant Publication No. VSG-02-03, Williamsburg, Virginia, 18 p. </w:t>
      </w:r>
    </w:p>
    <w:p w14:paraId="049AA30E" w14:textId="71E0FE4D" w:rsidR="006939E1" w:rsidRPr="005F7F32" w:rsidRDefault="00B5740F" w:rsidP="00C80491">
      <w:pPr>
        <w:pStyle w:val="EndNoteBibliography"/>
        <w:rPr>
          <w:noProof w:val="0"/>
          <w:lang w:val="en-AU"/>
        </w:rPr>
      </w:pPr>
      <w:r w:rsidRPr="005F7F32">
        <w:rPr>
          <w:noProof w:val="0"/>
          <w:lang w:val="en-AU"/>
        </w:rPr>
        <w:t xml:space="preserve">Hansen, K, King, GM &amp; Kristensen, E 1996, </w:t>
      </w:r>
      <w:hyperlink r:id="rId451" w:history="1">
        <w:r w:rsidRPr="005F7F32">
          <w:rPr>
            <w:rStyle w:val="Hyperlink"/>
            <w:noProof w:val="0"/>
            <w:lang w:val="en-AU"/>
          </w:rPr>
          <w:t xml:space="preserve">Impact of the soft-shell clam </w:t>
        </w:r>
        <w:r w:rsidRPr="005F7F32">
          <w:rPr>
            <w:rStyle w:val="Hyperlink"/>
            <w:i/>
            <w:iCs/>
            <w:noProof w:val="0"/>
            <w:lang w:val="en-AU"/>
          </w:rPr>
          <w:t>Mya arenaria</w:t>
        </w:r>
        <w:r w:rsidRPr="005F7F32">
          <w:rPr>
            <w:rStyle w:val="Hyperlink"/>
            <w:noProof w:val="0"/>
            <w:lang w:val="en-AU"/>
          </w:rPr>
          <w:t xml:space="preserve"> on </w:t>
        </w:r>
        <w:proofErr w:type="spellStart"/>
        <w:r w:rsidRPr="005F7F32">
          <w:rPr>
            <w:rStyle w:val="Hyperlink"/>
            <w:noProof w:val="0"/>
            <w:lang w:val="en-AU"/>
          </w:rPr>
          <w:t>sulfate</w:t>
        </w:r>
        <w:proofErr w:type="spellEnd"/>
        <w:r w:rsidRPr="005F7F32">
          <w:rPr>
            <w:rStyle w:val="Hyperlink"/>
            <w:noProof w:val="0"/>
            <w:lang w:val="en-AU"/>
          </w:rPr>
          <w:t xml:space="preserve"> reduction in an intertidal sediment</w:t>
        </w:r>
      </w:hyperlink>
      <w:r w:rsidRPr="005F7F32">
        <w:rPr>
          <w:noProof w:val="0"/>
          <w:lang w:val="en-AU"/>
        </w:rPr>
        <w:t xml:space="preserve">, </w:t>
      </w:r>
      <w:r w:rsidRPr="005F7F32">
        <w:rPr>
          <w:i/>
          <w:noProof w:val="0"/>
          <w:lang w:val="en-AU"/>
        </w:rPr>
        <w:t>Aquatic Microbial Ecology</w:t>
      </w:r>
      <w:r w:rsidRPr="005F7F32">
        <w:rPr>
          <w:noProof w:val="0"/>
          <w:lang w:val="en-AU"/>
        </w:rPr>
        <w:t>, vol. 10, no. 2, pp. 181-94.</w:t>
      </w:r>
    </w:p>
    <w:p w14:paraId="07A53050" w14:textId="3EC80173" w:rsidR="006939E1" w:rsidRDefault="00B5740F" w:rsidP="00C80491">
      <w:pPr>
        <w:pStyle w:val="EndNoteBibliography"/>
        <w:rPr>
          <w:noProof w:val="0"/>
          <w:lang w:val="en-AU"/>
        </w:rPr>
      </w:pPr>
      <w:r w:rsidRPr="005F7F32">
        <w:rPr>
          <w:noProof w:val="0"/>
          <w:lang w:val="en-AU"/>
        </w:rPr>
        <w:t xml:space="preserve">Hare, M, </w:t>
      </w:r>
      <w:proofErr w:type="spellStart"/>
      <w:r w:rsidRPr="005F7F32">
        <w:rPr>
          <w:noProof w:val="0"/>
          <w:lang w:val="en-AU"/>
        </w:rPr>
        <w:t>Palumbi</w:t>
      </w:r>
      <w:proofErr w:type="spellEnd"/>
      <w:r w:rsidRPr="005F7F32">
        <w:rPr>
          <w:noProof w:val="0"/>
          <w:lang w:val="en-AU"/>
        </w:rPr>
        <w:t xml:space="preserve">, S &amp; Butman, C 2000, </w:t>
      </w:r>
      <w:hyperlink r:id="rId452" w:history="1">
        <w:r w:rsidRPr="005F7F32">
          <w:rPr>
            <w:rStyle w:val="Hyperlink"/>
            <w:noProof w:val="0"/>
            <w:lang w:val="en-AU"/>
          </w:rPr>
          <w:t>Single-step species identification of bivalve larvae using multiplex polymerase chain reaction</w:t>
        </w:r>
      </w:hyperlink>
      <w:r w:rsidRPr="005F7F32">
        <w:rPr>
          <w:noProof w:val="0"/>
          <w:lang w:val="en-AU"/>
        </w:rPr>
        <w:t xml:space="preserve">, </w:t>
      </w:r>
      <w:r w:rsidRPr="005F7F32">
        <w:rPr>
          <w:i/>
          <w:noProof w:val="0"/>
          <w:lang w:val="en-AU"/>
        </w:rPr>
        <w:t>Marine Biology</w:t>
      </w:r>
      <w:r w:rsidRPr="005F7F32">
        <w:rPr>
          <w:noProof w:val="0"/>
          <w:lang w:val="en-AU"/>
        </w:rPr>
        <w:t>, vol. 137, no. 5, pp. 953-61</w:t>
      </w:r>
      <w:r w:rsidR="005F7F32">
        <w:rPr>
          <w:noProof w:val="0"/>
          <w:lang w:val="en-AU"/>
        </w:rPr>
        <w:t xml:space="preserve">, DOI: </w:t>
      </w:r>
      <w:r w:rsidR="005F7F32" w:rsidRPr="005F7F32">
        <w:rPr>
          <w:noProof w:val="0"/>
          <w:lang w:val="en-AU"/>
        </w:rPr>
        <w:t>10.1007/s002270000402.</w:t>
      </w:r>
    </w:p>
    <w:p w14:paraId="45E5B3F6" w14:textId="1A52C3FD" w:rsidR="007C3DB3" w:rsidRPr="007C3DB3" w:rsidRDefault="007C3DB3" w:rsidP="00C80491">
      <w:pPr>
        <w:pStyle w:val="EndNoteBibliography"/>
        <w:rPr>
          <w:noProof w:val="0"/>
          <w:lang w:val="en-AU"/>
        </w:rPr>
      </w:pPr>
      <w:r>
        <w:rPr>
          <w:noProof w:val="0"/>
          <w:lang w:val="en-AU"/>
        </w:rPr>
        <w:t xml:space="preserve">Harris, J 2008, </w:t>
      </w:r>
      <w:hyperlink r:id="rId453" w:history="1">
        <w:r w:rsidRPr="007C3DB3">
          <w:rPr>
            <w:rStyle w:val="Hyperlink"/>
            <w:noProof w:val="0"/>
            <w:lang w:val="en-AU"/>
          </w:rPr>
          <w:t xml:space="preserve">Aquatic invasive species profile – Pacific oyster, </w:t>
        </w:r>
        <w:r w:rsidRPr="007C3DB3">
          <w:rPr>
            <w:rStyle w:val="Hyperlink"/>
            <w:i/>
            <w:iCs/>
            <w:noProof w:val="0"/>
            <w:lang w:val="en-AU"/>
          </w:rPr>
          <w:t xml:space="preserve">Crassostrea gigas </w:t>
        </w:r>
        <w:r w:rsidRPr="007C3DB3">
          <w:rPr>
            <w:rStyle w:val="Hyperlink"/>
            <w:noProof w:val="0"/>
            <w:lang w:val="en-AU"/>
          </w:rPr>
          <w:t>(Thunberg, 1793)</w:t>
        </w:r>
      </w:hyperlink>
      <w:r>
        <w:rPr>
          <w:noProof w:val="0"/>
          <w:lang w:val="en-AU"/>
        </w:rPr>
        <w:t xml:space="preserve">, accessed 24 July 2024. </w:t>
      </w:r>
    </w:p>
    <w:p w14:paraId="65028148" w14:textId="37F51E7A" w:rsidR="006939E1" w:rsidRPr="005F7F32" w:rsidRDefault="00B5740F" w:rsidP="00C80491">
      <w:pPr>
        <w:pStyle w:val="EndNoteBibliography"/>
        <w:rPr>
          <w:noProof w:val="0"/>
          <w:lang w:val="en-AU"/>
        </w:rPr>
      </w:pPr>
      <w:r w:rsidRPr="005F7F32">
        <w:rPr>
          <w:noProof w:val="0"/>
          <w:lang w:val="en-AU"/>
        </w:rPr>
        <w:t xml:space="preserve">Harrower, C, Scalera, R, </w:t>
      </w:r>
      <w:proofErr w:type="spellStart"/>
      <w:r w:rsidRPr="005F7F32">
        <w:rPr>
          <w:noProof w:val="0"/>
          <w:lang w:val="en-AU"/>
        </w:rPr>
        <w:t>Pagad</w:t>
      </w:r>
      <w:proofErr w:type="spellEnd"/>
      <w:r w:rsidRPr="005F7F32">
        <w:rPr>
          <w:noProof w:val="0"/>
          <w:lang w:val="en-AU"/>
        </w:rPr>
        <w:t xml:space="preserve">, S, </w:t>
      </w:r>
      <w:proofErr w:type="spellStart"/>
      <w:r w:rsidRPr="005F7F32">
        <w:rPr>
          <w:noProof w:val="0"/>
          <w:lang w:val="en-AU"/>
        </w:rPr>
        <w:t>Schonrogge</w:t>
      </w:r>
      <w:proofErr w:type="spellEnd"/>
      <w:r w:rsidRPr="005F7F32">
        <w:rPr>
          <w:noProof w:val="0"/>
          <w:lang w:val="en-AU"/>
        </w:rPr>
        <w:t xml:space="preserve">, K &amp; Roy, H 2018, </w:t>
      </w:r>
      <w:hyperlink r:id="rId454" w:history="1">
        <w:r w:rsidRPr="005F7F32">
          <w:rPr>
            <w:rStyle w:val="Hyperlink"/>
            <w:noProof w:val="0"/>
            <w:lang w:val="en-AU"/>
          </w:rPr>
          <w:t>Guidance for interpretation of CBD categories on introduction pathways</w:t>
        </w:r>
      </w:hyperlink>
      <w:r w:rsidR="005F7F32" w:rsidRPr="005F7F32">
        <w:rPr>
          <w:noProof w:val="0"/>
          <w:lang w:val="en-AU"/>
        </w:rPr>
        <w:t xml:space="preserve">, Technical note prepared by IUCN for the European Commission. </w:t>
      </w:r>
    </w:p>
    <w:p w14:paraId="363F342E" w14:textId="2FFABD16" w:rsidR="008F38AB" w:rsidRPr="005F7F32" w:rsidRDefault="00B5740F" w:rsidP="00C80491">
      <w:pPr>
        <w:pStyle w:val="EndNoteBibliography"/>
        <w:rPr>
          <w:noProof w:val="0"/>
          <w:lang w:val="en-AU"/>
        </w:rPr>
      </w:pPr>
      <w:r w:rsidRPr="005F7F32">
        <w:rPr>
          <w:noProof w:val="0"/>
          <w:lang w:val="en-AU"/>
        </w:rPr>
        <w:t xml:space="preserve">Hauser, CE, </w:t>
      </w:r>
      <w:proofErr w:type="spellStart"/>
      <w:r w:rsidRPr="005F7F32">
        <w:rPr>
          <w:noProof w:val="0"/>
          <w:lang w:val="en-AU"/>
        </w:rPr>
        <w:t>Giljohann</w:t>
      </w:r>
      <w:proofErr w:type="spellEnd"/>
      <w:r w:rsidRPr="005F7F32">
        <w:rPr>
          <w:noProof w:val="0"/>
          <w:lang w:val="en-AU"/>
        </w:rPr>
        <w:t xml:space="preserve">, KM, Rigby, M, Herbert, K, Curran, I, Pascoe, C, Williams, NS, Cousens, RD &amp; Moore, JL 2016, </w:t>
      </w:r>
      <w:hyperlink r:id="rId455" w:history="1">
        <w:r w:rsidRPr="005F7F32">
          <w:rPr>
            <w:rStyle w:val="Hyperlink"/>
            <w:noProof w:val="0"/>
            <w:lang w:val="en-AU"/>
          </w:rPr>
          <w:t>Practicable methods for delimiting a plant invasion</w:t>
        </w:r>
      </w:hyperlink>
      <w:r w:rsidRPr="005F7F32">
        <w:rPr>
          <w:noProof w:val="0"/>
          <w:lang w:val="en-AU"/>
        </w:rPr>
        <w:t xml:space="preserve">, </w:t>
      </w:r>
      <w:r w:rsidRPr="005F7F32">
        <w:rPr>
          <w:i/>
          <w:noProof w:val="0"/>
          <w:lang w:val="en-AU"/>
        </w:rPr>
        <w:t>Diversity and Distributions</w:t>
      </w:r>
      <w:r w:rsidRPr="005F7F32">
        <w:rPr>
          <w:noProof w:val="0"/>
          <w:lang w:val="en-AU"/>
        </w:rPr>
        <w:t>, vol. 22, no. 2, pp. 136-47</w:t>
      </w:r>
      <w:r w:rsidR="005F7F32" w:rsidRPr="005F7F32">
        <w:rPr>
          <w:noProof w:val="0"/>
          <w:lang w:val="en-AU"/>
        </w:rPr>
        <w:t xml:space="preserve">, DOI: 10.1111/ddi.12388. </w:t>
      </w:r>
    </w:p>
    <w:p w14:paraId="5FD89E26" w14:textId="60BD7FC8" w:rsidR="006939E1" w:rsidRPr="005F7F32" w:rsidRDefault="00B5740F" w:rsidP="00C80491">
      <w:pPr>
        <w:spacing w:line="240" w:lineRule="auto"/>
      </w:pPr>
      <w:r w:rsidRPr="005F7F32">
        <w:lastRenderedPageBreak/>
        <w:t xml:space="preserve">Heersink, DK, Caley, P, Paini, D &amp; Barry, SC 2020, </w:t>
      </w:r>
      <w:hyperlink r:id="rId456" w:anchor=":~:text=Specifically%20it%20explores%2C%20how%20to,(Perna%20viridis)%20into%20Australia." w:history="1">
        <w:r w:rsidRPr="005F7F32">
          <w:rPr>
            <w:rStyle w:val="Hyperlink"/>
          </w:rPr>
          <w:t>When exotic introductions fail: updating invasion beliefs</w:t>
        </w:r>
      </w:hyperlink>
      <w:r w:rsidRPr="005F7F32">
        <w:t xml:space="preserve">, </w:t>
      </w:r>
      <w:r w:rsidRPr="005F7F32">
        <w:rPr>
          <w:i/>
          <w:iCs/>
        </w:rPr>
        <w:t>Biological Invasions</w:t>
      </w:r>
      <w:r w:rsidRPr="005F7F32">
        <w:t>, vol. 22 pp. 1097-107</w:t>
      </w:r>
      <w:r w:rsidR="005F7F32" w:rsidRPr="005F7F32">
        <w:t>, DOI: 10.1007/s10530-019-02163-x.</w:t>
      </w:r>
    </w:p>
    <w:p w14:paraId="41101AAF" w14:textId="6E9B2A13" w:rsidR="006939E1" w:rsidRPr="005F7F32" w:rsidRDefault="00B5740F" w:rsidP="00C80491">
      <w:pPr>
        <w:pStyle w:val="EndNoteBibliography"/>
        <w:rPr>
          <w:noProof w:val="0"/>
          <w:lang w:val="en-AU"/>
        </w:rPr>
      </w:pPr>
      <w:r w:rsidRPr="005F7F32">
        <w:rPr>
          <w:noProof w:val="0"/>
          <w:lang w:val="en-AU"/>
        </w:rPr>
        <w:t xml:space="preserve">Heimowitz, P &amp; Phillips, S 2006, </w:t>
      </w:r>
      <w:r w:rsidRPr="005F7F32">
        <w:rPr>
          <w:i/>
          <w:iCs/>
          <w:noProof w:val="0"/>
          <w:lang w:val="en-AU"/>
        </w:rPr>
        <w:t>Rapid response plan for zebra mussels in the Columbia River Basin: A comprehensive multi-agency strategy to expeditiously guide rapid response activities</w:t>
      </w:r>
      <w:r w:rsidRPr="005F7F32">
        <w:rPr>
          <w:noProof w:val="0"/>
          <w:lang w:val="en-AU"/>
        </w:rPr>
        <w:t xml:space="preserve">, </w:t>
      </w:r>
      <w:r w:rsidRPr="005F7F32">
        <w:rPr>
          <w:iCs/>
          <w:noProof w:val="0"/>
          <w:lang w:val="en-AU"/>
        </w:rPr>
        <w:t>Draft report, September,</w:t>
      </w:r>
      <w:r w:rsidRPr="005F7F32">
        <w:rPr>
          <w:noProof w:val="0"/>
          <w:lang w:val="en-AU"/>
        </w:rPr>
        <w:t xml:space="preserve"> vol. 1, p. 2006.</w:t>
      </w:r>
    </w:p>
    <w:p w14:paraId="2247D895" w14:textId="7490C2DC" w:rsidR="006939E1" w:rsidRPr="005F7F32" w:rsidRDefault="00B5740F" w:rsidP="00C80491">
      <w:pPr>
        <w:spacing w:line="240" w:lineRule="auto"/>
        <w:rPr>
          <w:rFonts w:ascii="Calibri" w:hAnsi="Calibri" w:cs="Calibri"/>
        </w:rPr>
      </w:pPr>
      <w:r w:rsidRPr="005F7F32">
        <w:t xml:space="preserve">Herbert, RJH, Humphreys, J, Davies, CJ, Roberts, C, Fletcher, S &amp; Crowe, TP 2016, </w:t>
      </w:r>
      <w:hyperlink r:id="rId457" w:history="1">
        <w:r w:rsidRPr="005F7F32">
          <w:rPr>
            <w:rStyle w:val="Hyperlink"/>
          </w:rPr>
          <w:t>Ecological impacts of non-native Pacific oysters (</w:t>
        </w:r>
        <w:r w:rsidRPr="005F7F32">
          <w:rPr>
            <w:rStyle w:val="Hyperlink"/>
            <w:i/>
          </w:rPr>
          <w:t>Crassostrea gigas</w:t>
        </w:r>
        <w:r w:rsidRPr="005F7F32">
          <w:rPr>
            <w:rStyle w:val="Hyperlink"/>
          </w:rPr>
          <w:t>) and management measures for protected areas in Europe</w:t>
        </w:r>
      </w:hyperlink>
      <w:r w:rsidRPr="005F7F32">
        <w:t xml:space="preserve">, </w:t>
      </w:r>
      <w:r w:rsidRPr="005F7F32">
        <w:rPr>
          <w:i/>
        </w:rPr>
        <w:t>Biodiversity and Conservation</w:t>
      </w:r>
      <w:r w:rsidRPr="005F7F32">
        <w:t>, vol. 25, no. 14, pp. 2835-65</w:t>
      </w:r>
      <w:r w:rsidR="005F7F32">
        <w:t xml:space="preserve">, DOI: </w:t>
      </w:r>
      <w:r w:rsidR="005F7F32" w:rsidRPr="005F7F32">
        <w:rPr>
          <w:rFonts w:ascii="Calibri" w:hAnsi="Calibri" w:cs="Calibri"/>
        </w:rPr>
        <w:t>10.1007/s10531-016-1209-4</w:t>
      </w:r>
      <w:r w:rsidR="005F7F32">
        <w:rPr>
          <w:rFonts w:ascii="Calibri" w:hAnsi="Calibri" w:cs="Calibri"/>
        </w:rPr>
        <w:t>.</w:t>
      </w:r>
    </w:p>
    <w:p w14:paraId="475DA841" w14:textId="1B461079" w:rsidR="006939E1" w:rsidRDefault="00B5740F" w:rsidP="00C80491">
      <w:pPr>
        <w:spacing w:line="240" w:lineRule="auto"/>
        <w:rPr>
          <w:rFonts w:ascii="Calibri" w:hAnsi="Calibri" w:cs="Calibri"/>
        </w:rPr>
      </w:pPr>
      <w:r w:rsidRPr="005F7F32">
        <w:t xml:space="preserve">Hewitt, CL, Campbell, ML, Thresher, RE, Martin, RB, Boyd, S, Cohen, BF, Currie, DR, Gomon, MF, Keough, MJ &amp; Lewis, JA 2004, </w:t>
      </w:r>
      <w:hyperlink r:id="rId458" w:history="1">
        <w:r w:rsidRPr="005F7F32">
          <w:rPr>
            <w:rStyle w:val="Hyperlink"/>
          </w:rPr>
          <w:t>Introduced and cryptogenic species in Port Phillip Bay, Victoria, Australia</w:t>
        </w:r>
      </w:hyperlink>
      <w:r w:rsidRPr="005F7F32">
        <w:t xml:space="preserve">, </w:t>
      </w:r>
      <w:r w:rsidRPr="005F7F32">
        <w:rPr>
          <w:i/>
        </w:rPr>
        <w:t>Marine Biology</w:t>
      </w:r>
      <w:r w:rsidRPr="005F7F32">
        <w:t>, vol. 144, no. 1, pp. 183-202</w:t>
      </w:r>
      <w:r w:rsidR="005F7F32">
        <w:t xml:space="preserve">, DOI: </w:t>
      </w:r>
      <w:r w:rsidR="005F7F32" w:rsidRPr="005F7F32">
        <w:rPr>
          <w:rFonts w:ascii="Calibri" w:hAnsi="Calibri" w:cs="Calibri"/>
        </w:rPr>
        <w:t>10.1007/s00227-003-1173-x</w:t>
      </w:r>
      <w:r w:rsidR="005F7F32">
        <w:rPr>
          <w:rFonts w:ascii="Calibri" w:hAnsi="Calibri" w:cs="Calibri"/>
        </w:rPr>
        <w:t>.</w:t>
      </w:r>
    </w:p>
    <w:p w14:paraId="5B9805B8" w14:textId="427D2B08" w:rsidR="00F47511" w:rsidRDefault="00F47511" w:rsidP="00C80491">
      <w:pPr>
        <w:spacing w:line="240" w:lineRule="auto"/>
        <w:rPr>
          <w:rFonts w:ascii="Calibri" w:hAnsi="Calibri" w:cs="Calibri"/>
        </w:rPr>
      </w:pPr>
      <w:r w:rsidRPr="00F47511">
        <w:rPr>
          <w:rFonts w:ascii="Calibri" w:hAnsi="Calibri" w:cs="Calibri"/>
        </w:rPr>
        <w:t xml:space="preserve">Hewitt, CL, </w:t>
      </w:r>
      <w:proofErr w:type="spellStart"/>
      <w:r w:rsidRPr="00F47511">
        <w:rPr>
          <w:rFonts w:ascii="Calibri" w:hAnsi="Calibri" w:cs="Calibri"/>
        </w:rPr>
        <w:t>Gollasch</w:t>
      </w:r>
      <w:proofErr w:type="spellEnd"/>
      <w:r w:rsidRPr="00F47511">
        <w:rPr>
          <w:rFonts w:ascii="Calibri" w:hAnsi="Calibri" w:cs="Calibri"/>
        </w:rPr>
        <w:t>, S</w:t>
      </w:r>
      <w:r>
        <w:rPr>
          <w:rFonts w:ascii="Calibri" w:hAnsi="Calibri" w:cs="Calibri"/>
        </w:rPr>
        <w:t xml:space="preserve"> &amp;</w:t>
      </w:r>
      <w:r w:rsidRPr="00F47511">
        <w:rPr>
          <w:rFonts w:ascii="Calibri" w:hAnsi="Calibri" w:cs="Calibri"/>
        </w:rPr>
        <w:t xml:space="preserve"> Minchin, D</w:t>
      </w:r>
      <w:r>
        <w:rPr>
          <w:rFonts w:ascii="Calibri" w:hAnsi="Calibri" w:cs="Calibri"/>
        </w:rPr>
        <w:t xml:space="preserve"> </w:t>
      </w:r>
      <w:r w:rsidRPr="00F47511">
        <w:rPr>
          <w:rFonts w:ascii="Calibri" w:hAnsi="Calibri" w:cs="Calibri"/>
        </w:rPr>
        <w:t>2009</w:t>
      </w:r>
      <w:r>
        <w:rPr>
          <w:rFonts w:ascii="Calibri" w:hAnsi="Calibri" w:cs="Calibri"/>
        </w:rPr>
        <w:t xml:space="preserve">, </w:t>
      </w:r>
      <w:hyperlink r:id="rId459" w:history="1">
        <w:r w:rsidRPr="00F47511">
          <w:rPr>
            <w:rStyle w:val="Hyperlink"/>
            <w:rFonts w:ascii="Calibri" w:hAnsi="Calibri" w:cs="Calibri"/>
          </w:rPr>
          <w:t>The Vessel as a Vector – Biofouling, Ballast Water and Sediments</w:t>
        </w:r>
      </w:hyperlink>
      <w:r>
        <w:rPr>
          <w:rFonts w:ascii="Calibri" w:hAnsi="Calibri" w:cs="Calibri"/>
        </w:rPr>
        <w:t xml:space="preserve">, </w:t>
      </w:r>
      <w:r w:rsidRPr="00F47511">
        <w:rPr>
          <w:rFonts w:ascii="Calibri" w:hAnsi="Calibri" w:cs="Calibri"/>
        </w:rPr>
        <w:t xml:space="preserve">In </w:t>
      </w:r>
      <w:proofErr w:type="spellStart"/>
      <w:r w:rsidRPr="00F47511">
        <w:rPr>
          <w:rFonts w:ascii="Calibri" w:hAnsi="Calibri" w:cs="Calibri"/>
        </w:rPr>
        <w:t>Rilov</w:t>
      </w:r>
      <w:proofErr w:type="spellEnd"/>
      <w:r w:rsidRPr="00F47511">
        <w:rPr>
          <w:rFonts w:ascii="Calibri" w:hAnsi="Calibri" w:cs="Calibri"/>
        </w:rPr>
        <w:t>, G., Crooks, J.A. (eds) Biological Invasions in Marine Ecosystems</w:t>
      </w:r>
      <w:r>
        <w:rPr>
          <w:rFonts w:ascii="Calibri" w:hAnsi="Calibri" w:cs="Calibri"/>
        </w:rPr>
        <w:t xml:space="preserve">, </w:t>
      </w:r>
      <w:r w:rsidRPr="00F47511">
        <w:rPr>
          <w:rFonts w:ascii="Calibri" w:hAnsi="Calibri" w:cs="Calibri"/>
        </w:rPr>
        <w:t>Ecological Studies, vol 204. Springer, Berlin, Heidelberg</w:t>
      </w:r>
      <w:r>
        <w:rPr>
          <w:rFonts w:ascii="Calibri" w:hAnsi="Calibri" w:cs="Calibri"/>
        </w:rPr>
        <w:t>, DOI:</w:t>
      </w:r>
      <w:r w:rsidRPr="00F47511">
        <w:rPr>
          <w:rFonts w:ascii="Calibri" w:hAnsi="Calibri" w:cs="Calibri"/>
        </w:rPr>
        <w:t xml:space="preserve"> 10.1007/978-3-540-79236-9_6</w:t>
      </w:r>
      <w:r>
        <w:rPr>
          <w:rFonts w:ascii="Calibri" w:hAnsi="Calibri" w:cs="Calibri"/>
        </w:rPr>
        <w:t>.</w:t>
      </w:r>
    </w:p>
    <w:p w14:paraId="00ADF19A" w14:textId="6814A47E" w:rsidR="00E50272" w:rsidRPr="00E50272" w:rsidRDefault="00E50272" w:rsidP="00C80491">
      <w:pPr>
        <w:spacing w:line="240" w:lineRule="auto"/>
        <w:rPr>
          <w:rFonts w:ascii="Calibri" w:hAnsi="Calibri" w:cs="Calibri"/>
        </w:rPr>
      </w:pPr>
      <w:r>
        <w:rPr>
          <w:rFonts w:ascii="Calibri" w:hAnsi="Calibri" w:cs="Calibri"/>
        </w:rPr>
        <w:t xml:space="preserve">Hicks, DW &amp; Tunnel, JW Jr 1995, </w:t>
      </w:r>
      <w:hyperlink r:id="rId460" w:history="1">
        <w:r w:rsidRPr="00E50272">
          <w:rPr>
            <w:rStyle w:val="Hyperlink"/>
            <w:rFonts w:ascii="Calibri" w:hAnsi="Calibri" w:cs="Calibri"/>
          </w:rPr>
          <w:t xml:space="preserve">Ecological notes and patterns of dispersal in the recently introduced mussel, </w:t>
        </w:r>
        <w:r w:rsidRPr="00E50272">
          <w:rPr>
            <w:rStyle w:val="Hyperlink"/>
            <w:rFonts w:ascii="Calibri" w:hAnsi="Calibri" w:cs="Calibri"/>
            <w:i/>
            <w:iCs/>
          </w:rPr>
          <w:t xml:space="preserve">Perna </w:t>
        </w:r>
        <w:proofErr w:type="spellStart"/>
        <w:r w:rsidRPr="00E50272">
          <w:rPr>
            <w:rStyle w:val="Hyperlink"/>
            <w:rFonts w:ascii="Calibri" w:hAnsi="Calibri" w:cs="Calibri"/>
            <w:i/>
            <w:iCs/>
          </w:rPr>
          <w:t>perna</w:t>
        </w:r>
        <w:proofErr w:type="spellEnd"/>
        <w:r w:rsidRPr="00E50272">
          <w:rPr>
            <w:rStyle w:val="Hyperlink"/>
            <w:rFonts w:ascii="Calibri" w:hAnsi="Calibri" w:cs="Calibri"/>
          </w:rPr>
          <w:t xml:space="preserve"> (Linne, 1758), in the Gulf of Mexico</w:t>
        </w:r>
      </w:hyperlink>
      <w:r>
        <w:rPr>
          <w:rFonts w:ascii="Calibri" w:hAnsi="Calibri" w:cs="Calibri"/>
        </w:rPr>
        <w:t xml:space="preserve">, </w:t>
      </w:r>
      <w:r>
        <w:rPr>
          <w:rFonts w:ascii="Calibri" w:hAnsi="Calibri" w:cs="Calibri"/>
          <w:i/>
          <w:iCs/>
        </w:rPr>
        <w:t xml:space="preserve">American Malacological Bulletin, </w:t>
      </w:r>
      <w:r>
        <w:rPr>
          <w:rFonts w:ascii="Calibri" w:hAnsi="Calibri" w:cs="Calibri"/>
        </w:rPr>
        <w:t>vol. 11, no. 2, pp. 203-206.</w:t>
      </w:r>
    </w:p>
    <w:p w14:paraId="1BCB158A" w14:textId="34979C02" w:rsidR="00A72801" w:rsidRDefault="00B5740F" w:rsidP="00C80491">
      <w:pPr>
        <w:pStyle w:val="EndNoteBibliography"/>
        <w:rPr>
          <w:noProof w:val="0"/>
          <w:lang w:val="en-AU"/>
        </w:rPr>
      </w:pPr>
      <w:r w:rsidRPr="005F7F32">
        <w:rPr>
          <w:noProof w:val="0"/>
          <w:lang w:val="en-AU"/>
        </w:rPr>
        <w:t xml:space="preserve">Hicks, DW &amp; McMahon, RF 2003, </w:t>
      </w:r>
      <w:hyperlink r:id="rId461" w:history="1">
        <w:r w:rsidRPr="005F7F32">
          <w:rPr>
            <w:rStyle w:val="Hyperlink"/>
            <w:noProof w:val="0"/>
            <w:lang w:val="en-AU"/>
          </w:rPr>
          <w:t>Temperature and relative humidity effects on water loss and emersion tolerance of</w:t>
        </w:r>
        <w:r w:rsidRPr="005F7F32">
          <w:rPr>
            <w:rStyle w:val="Hyperlink"/>
            <w:i/>
            <w:noProof w:val="0"/>
            <w:lang w:val="en-AU"/>
          </w:rPr>
          <w:t xml:space="preserve"> Perna </w:t>
        </w:r>
        <w:proofErr w:type="spellStart"/>
        <w:r w:rsidRPr="005F7F32">
          <w:rPr>
            <w:rStyle w:val="Hyperlink"/>
            <w:i/>
            <w:noProof w:val="0"/>
            <w:lang w:val="en-AU"/>
          </w:rPr>
          <w:t>perna</w:t>
        </w:r>
        <w:proofErr w:type="spellEnd"/>
        <w:r w:rsidRPr="005F7F32">
          <w:rPr>
            <w:rStyle w:val="Hyperlink"/>
            <w:noProof w:val="0"/>
            <w:lang w:val="en-AU"/>
          </w:rPr>
          <w:t xml:space="preserve"> (L.)(Bivalvia: Mytilidae) from the Gulf of Mexico</w:t>
        </w:r>
      </w:hyperlink>
      <w:r w:rsidRPr="005F7F32">
        <w:rPr>
          <w:noProof w:val="0"/>
          <w:lang w:val="en-AU"/>
        </w:rPr>
        <w:t xml:space="preserve">, </w:t>
      </w:r>
      <w:r w:rsidRPr="005F7F32">
        <w:rPr>
          <w:i/>
          <w:noProof w:val="0"/>
          <w:lang w:val="en-AU"/>
        </w:rPr>
        <w:t>Bulletin of Marine Science</w:t>
      </w:r>
      <w:r w:rsidRPr="005F7F32">
        <w:rPr>
          <w:noProof w:val="0"/>
          <w:lang w:val="en-AU"/>
        </w:rPr>
        <w:t>, vol. 72, no. 1, pp. 135-50.</w:t>
      </w:r>
    </w:p>
    <w:p w14:paraId="7CAF5C20" w14:textId="76220638" w:rsidR="00A72801" w:rsidRPr="005F7F32" w:rsidRDefault="00B5740F" w:rsidP="00C80491">
      <w:pPr>
        <w:spacing w:line="240" w:lineRule="auto"/>
      </w:pPr>
      <w:r w:rsidRPr="005F7F32">
        <w:t xml:space="preserve">Hilliard, R, Polglaze, J &amp; </w:t>
      </w:r>
      <w:proofErr w:type="spellStart"/>
      <w:r w:rsidRPr="005F7F32">
        <w:t>LeProvost</w:t>
      </w:r>
      <w:proofErr w:type="spellEnd"/>
      <w:r w:rsidRPr="005F7F32">
        <w:t xml:space="preserve">, I 2006, </w:t>
      </w:r>
      <w:r w:rsidRPr="005F7F32">
        <w:rPr>
          <w:rStyle w:val="Emphasis"/>
          <w:rFonts w:cstheme="minorHAnsi"/>
        </w:rPr>
        <w:t>Review and evaluation of the biofouling protocol for vessels less than 25 m in length.</w:t>
      </w:r>
      <w:r w:rsidRPr="005F7F32">
        <w:t>, URS Australia Pty Ltd. report for the Australian Quarantine and Inspection Service, Canberra, Australia. Report no. R1216.</w:t>
      </w:r>
    </w:p>
    <w:p w14:paraId="672D0653" w14:textId="683C060E" w:rsidR="00AE28DE" w:rsidRDefault="00B5740F" w:rsidP="00C80491">
      <w:pPr>
        <w:pStyle w:val="EndNoteBibliography"/>
        <w:rPr>
          <w:noProof w:val="0"/>
          <w:lang w:val="en-AU"/>
        </w:rPr>
      </w:pPr>
      <w:r w:rsidRPr="005F7F32">
        <w:rPr>
          <w:noProof w:val="0"/>
          <w:lang w:val="en-AU"/>
        </w:rPr>
        <w:t>Hine, P</w:t>
      </w:r>
      <w:r w:rsidR="005F7F32">
        <w:rPr>
          <w:noProof w:val="0"/>
          <w:lang w:val="en-AU"/>
        </w:rPr>
        <w:t>, Wesney, B &amp; Hay, BE</w:t>
      </w:r>
      <w:r w:rsidRPr="005F7F32">
        <w:rPr>
          <w:noProof w:val="0"/>
          <w:lang w:val="en-AU"/>
        </w:rPr>
        <w:t xml:space="preserve"> 1992, </w:t>
      </w:r>
      <w:hyperlink r:id="rId462" w:history="1">
        <w:r w:rsidRPr="005F7F32">
          <w:rPr>
            <w:rStyle w:val="Hyperlink"/>
            <w:noProof w:val="0"/>
            <w:lang w:val="en-AU"/>
          </w:rPr>
          <w:t xml:space="preserve">Herpesviruses associated with mortalities among hatchery-reared larval Pacific oysters </w:t>
        </w:r>
        <w:r w:rsidRPr="005F7F32">
          <w:rPr>
            <w:rStyle w:val="Hyperlink"/>
            <w:i/>
            <w:iCs/>
            <w:noProof w:val="0"/>
            <w:lang w:val="en-AU"/>
          </w:rPr>
          <w:t>Crassostrea gigas</w:t>
        </w:r>
      </w:hyperlink>
      <w:r w:rsidRPr="005F7F32">
        <w:rPr>
          <w:noProof w:val="0"/>
          <w:lang w:val="en-AU"/>
        </w:rPr>
        <w:t xml:space="preserve">, </w:t>
      </w:r>
      <w:r w:rsidRPr="005F7F32">
        <w:rPr>
          <w:i/>
          <w:noProof w:val="0"/>
          <w:lang w:val="en-AU"/>
        </w:rPr>
        <w:t>Diseases of Aquatic Organisms</w:t>
      </w:r>
      <w:r w:rsidRPr="005F7F32">
        <w:rPr>
          <w:noProof w:val="0"/>
          <w:lang w:val="en-AU"/>
        </w:rPr>
        <w:t>, vol. 12, pp. 135-42</w:t>
      </w:r>
      <w:r w:rsidR="005F7F32">
        <w:rPr>
          <w:noProof w:val="0"/>
          <w:lang w:val="en-AU"/>
        </w:rPr>
        <w:t xml:space="preserve">, DOI: </w:t>
      </w:r>
      <w:r w:rsidR="005F7F32" w:rsidRPr="005F7F32">
        <w:rPr>
          <w:noProof w:val="0"/>
          <w:lang w:val="en-AU"/>
        </w:rPr>
        <w:t>10.3354/dao012135</w:t>
      </w:r>
      <w:r w:rsidR="005F7F32">
        <w:rPr>
          <w:noProof w:val="0"/>
          <w:lang w:val="en-AU"/>
        </w:rPr>
        <w:t>.</w:t>
      </w:r>
    </w:p>
    <w:p w14:paraId="68BF89B0" w14:textId="2790674F" w:rsidR="006E6346" w:rsidRDefault="006E6346" w:rsidP="00C80491">
      <w:pPr>
        <w:pStyle w:val="EndNoteBibliography"/>
        <w:rPr>
          <w:noProof w:val="0"/>
          <w:lang w:val="en-AU"/>
        </w:rPr>
      </w:pPr>
      <w:r w:rsidRPr="006E6346">
        <w:rPr>
          <w:noProof w:val="0"/>
          <w:lang w:val="en-AU"/>
        </w:rPr>
        <w:t xml:space="preserve">Holliday, I 2005, </w:t>
      </w:r>
      <w:r w:rsidRPr="00A04E26">
        <w:rPr>
          <w:i/>
          <w:iCs/>
          <w:noProof w:val="0"/>
          <w:lang w:val="en-AU"/>
        </w:rPr>
        <w:t>Debriefing report: The emergency response to the northern Pacific seastar outbreak at Inverloch 2004/2005,</w:t>
      </w:r>
      <w:r w:rsidRPr="006E6346">
        <w:rPr>
          <w:noProof w:val="0"/>
          <w:lang w:val="en-AU"/>
        </w:rPr>
        <w:t xml:space="preserve"> prepared by Marine Biodiversity and Natural Resources, Victorian, Department of Sustainability and Environment, Melbourne.</w:t>
      </w:r>
    </w:p>
    <w:p w14:paraId="54F90189" w14:textId="23E2C882" w:rsidR="00246AE3" w:rsidRPr="00246AE3" w:rsidRDefault="00246AE3" w:rsidP="00C80491">
      <w:pPr>
        <w:pStyle w:val="EndNoteBibliography"/>
        <w:rPr>
          <w:noProof w:val="0"/>
          <w:lang w:val="en-AU"/>
        </w:rPr>
      </w:pPr>
      <w:r>
        <w:rPr>
          <w:noProof w:val="0"/>
          <w:lang w:val="en-AU"/>
        </w:rPr>
        <w:t xml:space="preserve">Holmes, SP &amp; Miller, N 2006, </w:t>
      </w:r>
      <w:hyperlink r:id="rId463" w:history="1">
        <w:r w:rsidRPr="00246AE3">
          <w:rPr>
            <w:rStyle w:val="Hyperlink"/>
            <w:noProof w:val="0"/>
            <w:lang w:val="en-AU"/>
          </w:rPr>
          <w:t xml:space="preserve">Aspects of the ecology and population genetics of the bivalve </w:t>
        </w:r>
        <w:proofErr w:type="spellStart"/>
        <w:r w:rsidRPr="00246AE3">
          <w:rPr>
            <w:rStyle w:val="Hyperlink"/>
            <w:i/>
            <w:iCs/>
            <w:noProof w:val="0"/>
            <w:lang w:val="en-AU"/>
          </w:rPr>
          <w:t>Corbula</w:t>
        </w:r>
        <w:proofErr w:type="spellEnd"/>
        <w:r w:rsidRPr="00246AE3">
          <w:rPr>
            <w:rStyle w:val="Hyperlink"/>
            <w:i/>
            <w:iCs/>
            <w:noProof w:val="0"/>
            <w:lang w:val="en-AU"/>
          </w:rPr>
          <w:t xml:space="preserve"> gibba,</w:t>
        </w:r>
      </w:hyperlink>
      <w:r>
        <w:rPr>
          <w:i/>
          <w:iCs/>
          <w:noProof w:val="0"/>
          <w:lang w:val="en-AU"/>
        </w:rPr>
        <w:t xml:space="preserve"> Marine Ecology Progress Series, </w:t>
      </w:r>
      <w:r>
        <w:rPr>
          <w:noProof w:val="0"/>
          <w:lang w:val="en-AU"/>
        </w:rPr>
        <w:t xml:space="preserve">vol. 315, pp. 129-140, DOI: </w:t>
      </w:r>
      <w:r w:rsidRPr="00246AE3">
        <w:rPr>
          <w:noProof w:val="0"/>
          <w:lang w:val="en-AU"/>
        </w:rPr>
        <w:t>10.3354/meps315129</w:t>
      </w:r>
      <w:r>
        <w:rPr>
          <w:noProof w:val="0"/>
          <w:lang w:val="en-AU"/>
        </w:rPr>
        <w:t>.</w:t>
      </w:r>
    </w:p>
    <w:p w14:paraId="0FCB3416" w14:textId="399D0D90" w:rsidR="006939E1" w:rsidRDefault="00B5740F" w:rsidP="00C80491">
      <w:pPr>
        <w:pStyle w:val="EndNoteBibliography"/>
        <w:rPr>
          <w:noProof w:val="0"/>
          <w:lang w:val="en-AU"/>
        </w:rPr>
      </w:pPr>
      <w:r w:rsidRPr="005F7F32">
        <w:rPr>
          <w:noProof w:val="0"/>
          <w:lang w:val="en-AU"/>
        </w:rPr>
        <w:t xml:space="preserve">Hopkins, GA, Forrest, BM, Jiang, W &amp; Gardner, JP 2011, </w:t>
      </w:r>
      <w:hyperlink r:id="rId464" w:history="1">
        <w:r w:rsidRPr="005F7F32">
          <w:rPr>
            <w:rStyle w:val="Hyperlink"/>
            <w:noProof w:val="0"/>
            <w:lang w:val="en-AU"/>
          </w:rPr>
          <w:t>Successful eradication of a non‐indigenous marine bivalve from a subtidal soft‐sediment environment</w:t>
        </w:r>
      </w:hyperlink>
      <w:r w:rsidRPr="005F7F32">
        <w:rPr>
          <w:noProof w:val="0"/>
          <w:lang w:val="en-AU"/>
        </w:rPr>
        <w:t xml:space="preserve">, </w:t>
      </w:r>
      <w:r w:rsidRPr="005F7F32">
        <w:rPr>
          <w:i/>
          <w:noProof w:val="0"/>
          <w:lang w:val="en-AU"/>
        </w:rPr>
        <w:t>Journal of Applied Ecology</w:t>
      </w:r>
      <w:r w:rsidRPr="005F7F32">
        <w:rPr>
          <w:noProof w:val="0"/>
          <w:lang w:val="en-AU"/>
        </w:rPr>
        <w:t>, vol. 48, no. 2, pp. 424-31</w:t>
      </w:r>
      <w:r w:rsidR="005F7F32">
        <w:rPr>
          <w:noProof w:val="0"/>
          <w:lang w:val="en-AU"/>
        </w:rPr>
        <w:t xml:space="preserve">, DOI: </w:t>
      </w:r>
      <w:r w:rsidR="005F7F32" w:rsidRPr="005F7F32">
        <w:rPr>
          <w:noProof w:val="0"/>
          <w:lang w:val="en-AU"/>
        </w:rPr>
        <w:t>10.1111/j.1365-2664.2010.01941.x</w:t>
      </w:r>
      <w:r w:rsidR="005F7F32">
        <w:rPr>
          <w:noProof w:val="0"/>
          <w:lang w:val="en-AU"/>
        </w:rPr>
        <w:t>.</w:t>
      </w:r>
    </w:p>
    <w:p w14:paraId="17F0C453" w14:textId="11D48321" w:rsidR="005F7F32" w:rsidRPr="005F7F32" w:rsidRDefault="005F7F32" w:rsidP="00C80491">
      <w:pPr>
        <w:pStyle w:val="EndNoteBibliography"/>
        <w:rPr>
          <w:noProof w:val="0"/>
          <w:lang w:val="en-AU"/>
        </w:rPr>
      </w:pPr>
      <w:r w:rsidRPr="005F7F32">
        <w:rPr>
          <w:noProof w:val="0"/>
          <w:lang w:val="en-AU"/>
        </w:rPr>
        <w:t xml:space="preserve">Hopkins, GA, Prince, M, Cahill, PL, Fletcher, LM, &amp; </w:t>
      </w:r>
      <w:proofErr w:type="spellStart"/>
      <w:r w:rsidRPr="005F7F32">
        <w:rPr>
          <w:noProof w:val="0"/>
          <w:lang w:val="en-AU"/>
        </w:rPr>
        <w:t>Atalah</w:t>
      </w:r>
      <w:proofErr w:type="spellEnd"/>
      <w:r w:rsidRPr="005F7F32">
        <w:rPr>
          <w:noProof w:val="0"/>
          <w:lang w:val="en-AU"/>
        </w:rPr>
        <w:t>, J</w:t>
      </w:r>
      <w:r>
        <w:rPr>
          <w:noProof w:val="0"/>
          <w:lang w:val="en-AU"/>
        </w:rPr>
        <w:t xml:space="preserve"> </w:t>
      </w:r>
      <w:r w:rsidRPr="005F7F32">
        <w:rPr>
          <w:noProof w:val="0"/>
          <w:lang w:val="en-AU"/>
        </w:rPr>
        <w:t>201</w:t>
      </w:r>
      <w:r>
        <w:rPr>
          <w:noProof w:val="0"/>
          <w:lang w:val="en-AU"/>
        </w:rPr>
        <w:t xml:space="preserve">5, </w:t>
      </w:r>
      <w:hyperlink r:id="rId465" w:history="1">
        <w:r w:rsidRPr="005F7F32">
          <w:rPr>
            <w:rStyle w:val="Hyperlink"/>
            <w:noProof w:val="0"/>
            <w:lang w:val="en-AU"/>
          </w:rPr>
          <w:t>Desiccation as a mitigation tool to manage biofouling risks: trials on temperate taxa to elucidate factors influencing mortality rates</w:t>
        </w:r>
      </w:hyperlink>
      <w:r>
        <w:rPr>
          <w:noProof w:val="0"/>
          <w:lang w:val="en-AU"/>
        </w:rPr>
        <w:t>,</w:t>
      </w:r>
      <w:r w:rsidRPr="005F7F32">
        <w:rPr>
          <w:noProof w:val="0"/>
          <w:lang w:val="en-AU"/>
        </w:rPr>
        <w:t xml:space="preserve"> </w:t>
      </w:r>
      <w:r w:rsidRPr="005F7F32">
        <w:rPr>
          <w:i/>
          <w:iCs/>
          <w:noProof w:val="0"/>
          <w:lang w:val="en-AU"/>
        </w:rPr>
        <w:t>Biofouling</w:t>
      </w:r>
      <w:r w:rsidRPr="005F7F32">
        <w:rPr>
          <w:noProof w:val="0"/>
          <w:lang w:val="en-AU"/>
        </w:rPr>
        <w:t xml:space="preserve">, </w:t>
      </w:r>
      <w:r>
        <w:rPr>
          <w:noProof w:val="0"/>
          <w:lang w:val="en-AU"/>
        </w:rPr>
        <w:t xml:space="preserve">vol. </w:t>
      </w:r>
      <w:r w:rsidRPr="005F7F32">
        <w:rPr>
          <w:noProof w:val="0"/>
          <w:lang w:val="en-AU"/>
        </w:rPr>
        <w:t>32</w:t>
      </w:r>
      <w:r>
        <w:rPr>
          <w:noProof w:val="0"/>
          <w:lang w:val="en-AU"/>
        </w:rPr>
        <w:t xml:space="preserve">, no. </w:t>
      </w:r>
      <w:r w:rsidRPr="005F7F32">
        <w:rPr>
          <w:noProof w:val="0"/>
          <w:lang w:val="en-AU"/>
        </w:rPr>
        <w:t>1</w:t>
      </w:r>
      <w:r>
        <w:rPr>
          <w:noProof w:val="0"/>
          <w:lang w:val="en-AU"/>
        </w:rPr>
        <w:t xml:space="preserve">, pp. </w:t>
      </w:r>
      <w:r w:rsidRPr="005F7F32">
        <w:rPr>
          <w:noProof w:val="0"/>
          <w:lang w:val="en-AU"/>
        </w:rPr>
        <w:t>1</w:t>
      </w:r>
      <w:r>
        <w:rPr>
          <w:noProof w:val="0"/>
          <w:lang w:val="en-AU"/>
        </w:rPr>
        <w:t>-</w:t>
      </w:r>
      <w:r w:rsidRPr="005F7F32">
        <w:rPr>
          <w:noProof w:val="0"/>
          <w:lang w:val="en-AU"/>
        </w:rPr>
        <w:t>11</w:t>
      </w:r>
      <w:r>
        <w:rPr>
          <w:noProof w:val="0"/>
          <w:lang w:val="en-AU"/>
        </w:rPr>
        <w:t xml:space="preserve">, DOI: </w:t>
      </w:r>
      <w:r w:rsidRPr="005F7F32">
        <w:rPr>
          <w:noProof w:val="0"/>
          <w:lang w:val="en-AU"/>
        </w:rPr>
        <w:t>10.1080/08927014.2015.1115484</w:t>
      </w:r>
      <w:r>
        <w:rPr>
          <w:noProof w:val="0"/>
          <w:lang w:val="en-AU"/>
        </w:rPr>
        <w:t>.</w:t>
      </w:r>
    </w:p>
    <w:p w14:paraId="05CF9A41" w14:textId="0A5A5755" w:rsidR="006939E1" w:rsidRPr="005F7F32" w:rsidRDefault="00B5740F" w:rsidP="00C80491">
      <w:pPr>
        <w:pStyle w:val="EndNoteBibliography"/>
        <w:rPr>
          <w:noProof w:val="0"/>
          <w:lang w:val="en-AU"/>
        </w:rPr>
      </w:pPr>
      <w:r w:rsidRPr="005F7F32">
        <w:rPr>
          <w:noProof w:val="0"/>
          <w:lang w:val="en-AU"/>
        </w:rPr>
        <w:t xml:space="preserve">Huang, Y-C, Li, Z-K, Chen, W-L, Chan, C-C, Hsu, H-Y, Lin, Y-T, Huang, Y-S &amp; Han, Y-S 2021, </w:t>
      </w:r>
      <w:hyperlink r:id="rId466" w:history="1">
        <w:r w:rsidRPr="005F7F32">
          <w:rPr>
            <w:rStyle w:val="Hyperlink"/>
            <w:noProof w:val="0"/>
            <w:lang w:val="en-AU"/>
          </w:rPr>
          <w:t xml:space="preserve">First record of the invasive biofouling mussel </w:t>
        </w:r>
        <w:r w:rsidRPr="005F7F32">
          <w:rPr>
            <w:rStyle w:val="Hyperlink"/>
            <w:i/>
            <w:noProof w:val="0"/>
            <w:lang w:val="en-AU"/>
          </w:rPr>
          <w:t xml:space="preserve">Mytella strigata </w:t>
        </w:r>
        <w:r w:rsidRPr="005F7F32">
          <w:rPr>
            <w:rStyle w:val="Hyperlink"/>
            <w:noProof w:val="0"/>
            <w:lang w:val="en-AU"/>
          </w:rPr>
          <w:t>(Hanley, 1843)(Bivalvia: Mytilidae) from clam ponds in Taiwan</w:t>
        </w:r>
      </w:hyperlink>
      <w:r w:rsidRPr="005F7F32">
        <w:rPr>
          <w:noProof w:val="0"/>
          <w:lang w:val="en-AU"/>
        </w:rPr>
        <w:t xml:space="preserve">, </w:t>
      </w:r>
      <w:proofErr w:type="spellStart"/>
      <w:r w:rsidRPr="005F7F32">
        <w:rPr>
          <w:i/>
          <w:noProof w:val="0"/>
          <w:lang w:val="en-AU"/>
        </w:rPr>
        <w:t>BioInvasions</w:t>
      </w:r>
      <w:proofErr w:type="spellEnd"/>
      <w:r w:rsidRPr="005F7F32">
        <w:rPr>
          <w:i/>
          <w:noProof w:val="0"/>
          <w:lang w:val="en-AU"/>
        </w:rPr>
        <w:t xml:space="preserve"> Record</w:t>
      </w:r>
      <w:r w:rsidRPr="005F7F32">
        <w:rPr>
          <w:noProof w:val="0"/>
          <w:lang w:val="en-AU"/>
        </w:rPr>
        <w:t>, vol. 10, no. 2</w:t>
      </w:r>
      <w:r w:rsidR="005F7F32">
        <w:rPr>
          <w:noProof w:val="0"/>
          <w:lang w:val="en-AU"/>
        </w:rPr>
        <w:t xml:space="preserve">, pp. 304-312, DOI: </w:t>
      </w:r>
      <w:r w:rsidR="005F7F32" w:rsidRPr="005F7F32">
        <w:rPr>
          <w:noProof w:val="0"/>
          <w:lang w:val="en-AU"/>
        </w:rPr>
        <w:t>10.3391/bir.2021.10.2.08</w:t>
      </w:r>
      <w:r w:rsidR="005F7F32">
        <w:rPr>
          <w:noProof w:val="0"/>
          <w:lang w:val="en-AU"/>
        </w:rPr>
        <w:t>.</w:t>
      </w:r>
    </w:p>
    <w:p w14:paraId="031F35F9" w14:textId="4F01D2F0" w:rsidR="006939E1" w:rsidRDefault="00B5740F" w:rsidP="00C80491">
      <w:pPr>
        <w:pStyle w:val="EndNoteBibliography"/>
        <w:rPr>
          <w:noProof w:val="0"/>
          <w:lang w:val="en-AU"/>
        </w:rPr>
      </w:pPr>
      <w:r w:rsidRPr="005F7F32">
        <w:rPr>
          <w:noProof w:val="0"/>
          <w:lang w:val="en-AU"/>
        </w:rPr>
        <w:lastRenderedPageBreak/>
        <w:t xml:space="preserve">Huber, M 2010, </w:t>
      </w:r>
      <w:hyperlink r:id="rId467" w:history="1">
        <w:r w:rsidRPr="005F7F32">
          <w:rPr>
            <w:rStyle w:val="Hyperlink"/>
            <w:iCs/>
            <w:noProof w:val="0"/>
            <w:lang w:val="en-AU"/>
          </w:rPr>
          <w:t>Compendium of bivalves. A full-</w:t>
        </w:r>
        <w:proofErr w:type="spellStart"/>
        <w:r w:rsidRPr="005F7F32">
          <w:rPr>
            <w:rStyle w:val="Hyperlink"/>
            <w:iCs/>
            <w:noProof w:val="0"/>
            <w:lang w:val="en-AU"/>
          </w:rPr>
          <w:t>color</w:t>
        </w:r>
        <w:proofErr w:type="spellEnd"/>
        <w:r w:rsidRPr="005F7F32">
          <w:rPr>
            <w:rStyle w:val="Hyperlink"/>
            <w:iCs/>
            <w:noProof w:val="0"/>
            <w:lang w:val="en-AU"/>
          </w:rPr>
          <w:t xml:space="preserve"> guide to 3,300 of the world’s marine bivalves. A status on Bivalvia after 250 years of research</w:t>
        </w:r>
      </w:hyperlink>
      <w:r w:rsidRPr="005F7F32">
        <w:rPr>
          <w:noProof w:val="0"/>
          <w:lang w:val="en-AU"/>
        </w:rPr>
        <w:t xml:space="preserve">, </w:t>
      </w:r>
      <w:proofErr w:type="spellStart"/>
      <w:r w:rsidRPr="005F7F32">
        <w:rPr>
          <w:noProof w:val="0"/>
          <w:lang w:val="en-AU"/>
        </w:rPr>
        <w:t>ConchBooks</w:t>
      </w:r>
      <w:proofErr w:type="spellEnd"/>
      <w:r w:rsidR="002C7BFA" w:rsidRPr="005F7F32">
        <w:rPr>
          <w:noProof w:val="0"/>
          <w:lang w:val="en-AU"/>
        </w:rPr>
        <w:t>, p. 904</w:t>
      </w:r>
      <w:r w:rsidRPr="005F7F32">
        <w:rPr>
          <w:noProof w:val="0"/>
          <w:lang w:val="en-AU"/>
        </w:rPr>
        <w:t>.</w:t>
      </w:r>
    </w:p>
    <w:p w14:paraId="7F3CDC4E" w14:textId="2EB611DB" w:rsidR="00C80491" w:rsidRDefault="00C80491" w:rsidP="00C80491">
      <w:pPr>
        <w:spacing w:line="240" w:lineRule="auto"/>
        <w:rPr>
          <w:lang w:eastAsia="ja-JP"/>
        </w:rPr>
      </w:pPr>
      <w:bookmarkStart w:id="811" w:name="_Hlk189214181"/>
      <w:r w:rsidRPr="00A32764">
        <w:rPr>
          <w:lang w:eastAsia="ja-JP"/>
        </w:rPr>
        <w:t xml:space="preserve">Hunsucker, KZ, Braga, C, Gardner, H, </w:t>
      </w:r>
      <w:proofErr w:type="spellStart"/>
      <w:r w:rsidRPr="00A32764">
        <w:rPr>
          <w:lang w:eastAsia="ja-JP"/>
        </w:rPr>
        <w:t>Jorgerius</w:t>
      </w:r>
      <w:proofErr w:type="spellEnd"/>
      <w:r w:rsidRPr="00A32764">
        <w:rPr>
          <w:lang w:eastAsia="ja-JP"/>
        </w:rPr>
        <w:t xml:space="preserve">, M, Hietbrink, R, Salters, B, Swain, G 2019, </w:t>
      </w:r>
      <w:hyperlink r:id="rId468" w:history="1">
        <w:r w:rsidRPr="00581E99">
          <w:rPr>
            <w:rStyle w:val="Hyperlink"/>
          </w:rPr>
          <w:t>Using ultraviolet light for improved antifouling performance on ship hull coatings</w:t>
        </w:r>
      </w:hyperlink>
      <w:r w:rsidRPr="00A32764">
        <w:rPr>
          <w:lang w:eastAsia="ja-JP"/>
        </w:rPr>
        <w:t xml:space="preserve">, </w:t>
      </w:r>
      <w:r w:rsidRPr="00581E99">
        <w:rPr>
          <w:i/>
          <w:iCs/>
          <w:lang w:eastAsia="ja-JP"/>
        </w:rPr>
        <w:t xml:space="preserve">The Journal of </w:t>
      </w:r>
      <w:proofErr w:type="spellStart"/>
      <w:r w:rsidRPr="00581E99">
        <w:rPr>
          <w:i/>
          <w:iCs/>
          <w:lang w:eastAsia="ja-JP"/>
        </w:rPr>
        <w:t>Bioadhesion</w:t>
      </w:r>
      <w:proofErr w:type="spellEnd"/>
      <w:r w:rsidRPr="00581E99">
        <w:rPr>
          <w:i/>
          <w:iCs/>
          <w:lang w:eastAsia="ja-JP"/>
        </w:rPr>
        <w:t xml:space="preserve"> and Biofilm Research</w:t>
      </w:r>
      <w:r w:rsidRPr="00A32764">
        <w:rPr>
          <w:lang w:eastAsia="ja-JP"/>
        </w:rPr>
        <w:t>, vol. 35, no. 6, pp. 658</w:t>
      </w:r>
      <w:r w:rsidRPr="00A32764">
        <w:t>–</w:t>
      </w:r>
      <w:r w:rsidRPr="00A32764">
        <w:rPr>
          <w:lang w:eastAsia="ja-JP"/>
        </w:rPr>
        <w:t>68</w:t>
      </w:r>
      <w:r w:rsidRPr="00581E99">
        <w:rPr>
          <w:lang w:eastAsia="ja-JP"/>
        </w:rPr>
        <w:t xml:space="preserve">, DOI: </w:t>
      </w:r>
      <w:r w:rsidRPr="00A32764">
        <w:rPr>
          <w:lang w:eastAsia="ja-JP"/>
        </w:rPr>
        <w:t>10.1080/08927014.2019.1642334.</w:t>
      </w:r>
    </w:p>
    <w:bookmarkEnd w:id="811"/>
    <w:p w14:paraId="5F978038" w14:textId="79F107C5" w:rsidR="005F7F32" w:rsidRPr="005F7F32" w:rsidRDefault="005F7F32" w:rsidP="00C80491">
      <w:pPr>
        <w:pStyle w:val="EndNoteBibliography"/>
        <w:rPr>
          <w:noProof w:val="0"/>
          <w:lang w:val="en-AU"/>
        </w:rPr>
      </w:pPr>
      <w:r w:rsidRPr="005F7F32">
        <w:rPr>
          <w:noProof w:val="0"/>
          <w:lang w:val="en-AU"/>
        </w:rPr>
        <w:t xml:space="preserve">Inglis, GJ, Hurren, H, Oldman, J &amp; Haskew, R 2006, </w:t>
      </w:r>
      <w:hyperlink r:id="rId469" w:history="1">
        <w:r w:rsidRPr="005F7F32">
          <w:rPr>
            <w:rStyle w:val="Hyperlink"/>
            <w:noProof w:val="0"/>
            <w:lang w:val="en-AU"/>
          </w:rPr>
          <w:t>Using habitat suitability index and particle dispersion models for early detection of marine invaders</w:t>
        </w:r>
      </w:hyperlink>
      <w:r w:rsidRPr="005F7F32">
        <w:rPr>
          <w:noProof w:val="0"/>
          <w:lang w:val="en-AU"/>
        </w:rPr>
        <w:t xml:space="preserve">, </w:t>
      </w:r>
      <w:r w:rsidRPr="005F7F32">
        <w:rPr>
          <w:i/>
          <w:noProof w:val="0"/>
          <w:lang w:val="en-AU"/>
        </w:rPr>
        <w:t>Ecological Applications</w:t>
      </w:r>
      <w:r w:rsidRPr="005F7F32">
        <w:rPr>
          <w:noProof w:val="0"/>
          <w:lang w:val="en-AU"/>
        </w:rPr>
        <w:t>, vol. 16, no. 4, pp. 1377-90</w:t>
      </w:r>
      <w:r>
        <w:rPr>
          <w:noProof w:val="0"/>
          <w:lang w:val="en-AU"/>
        </w:rPr>
        <w:t xml:space="preserve">, DOI: </w:t>
      </w:r>
      <w:r w:rsidRPr="005F7F32">
        <w:rPr>
          <w:noProof w:val="0"/>
          <w:lang w:val="en-AU"/>
        </w:rPr>
        <w:t>10.1890/1051-0761(2006)016[1377:uhsiap]2.0.co;2</w:t>
      </w:r>
      <w:r>
        <w:rPr>
          <w:noProof w:val="0"/>
          <w:lang w:val="en-AU"/>
        </w:rPr>
        <w:t>.</w:t>
      </w:r>
    </w:p>
    <w:p w14:paraId="73DB8298" w14:textId="2F9BEECF" w:rsidR="006939E1" w:rsidRPr="005F7F32" w:rsidRDefault="00B5740F" w:rsidP="00C80491">
      <w:pPr>
        <w:pStyle w:val="EndNoteBibliography"/>
        <w:rPr>
          <w:noProof w:val="0"/>
          <w:lang w:val="en-AU"/>
        </w:rPr>
      </w:pPr>
      <w:r w:rsidRPr="005F7F32">
        <w:rPr>
          <w:noProof w:val="0"/>
          <w:lang w:val="en-AU"/>
        </w:rPr>
        <w:t xml:space="preserve">Inglis, G, </w:t>
      </w:r>
      <w:proofErr w:type="spellStart"/>
      <w:r w:rsidRPr="005F7F32">
        <w:rPr>
          <w:noProof w:val="0"/>
          <w:lang w:val="en-AU"/>
        </w:rPr>
        <w:t>Floerl</w:t>
      </w:r>
      <w:proofErr w:type="spellEnd"/>
      <w:r w:rsidRPr="005F7F32">
        <w:rPr>
          <w:noProof w:val="0"/>
          <w:lang w:val="en-AU"/>
        </w:rPr>
        <w:t xml:space="preserve">, O &amp; Woods, C 2012, </w:t>
      </w:r>
      <w:hyperlink r:id="rId470" w:history="1">
        <w:r w:rsidRPr="005F7F32">
          <w:rPr>
            <w:rStyle w:val="Hyperlink"/>
            <w:noProof w:val="0"/>
            <w:lang w:val="en-AU"/>
          </w:rPr>
          <w:t>Scenarios of vessel biofouling risk and their management</w:t>
        </w:r>
      </w:hyperlink>
      <w:r w:rsidRPr="005F7F32">
        <w:rPr>
          <w:noProof w:val="0"/>
          <w:lang w:val="en-AU"/>
        </w:rPr>
        <w:t xml:space="preserve">, </w:t>
      </w:r>
      <w:r w:rsidRPr="005F7F32">
        <w:rPr>
          <w:iCs/>
          <w:noProof w:val="0"/>
          <w:lang w:val="en-AU"/>
        </w:rPr>
        <w:t>MAF research project RFP11832, Ministry of Agriculture and Forestry, Wellington,</w:t>
      </w:r>
      <w:r w:rsidRPr="005F7F32">
        <w:rPr>
          <w:noProof w:val="0"/>
          <w:lang w:val="en-AU"/>
        </w:rPr>
        <w:t xml:space="preserve"> pp. 41-93.</w:t>
      </w:r>
    </w:p>
    <w:p w14:paraId="4908146E" w14:textId="6FB42060" w:rsidR="006939E1" w:rsidRDefault="00B5740F" w:rsidP="00C80491">
      <w:pPr>
        <w:spacing w:line="240" w:lineRule="auto"/>
      </w:pPr>
      <w:r w:rsidRPr="005F7F32">
        <w:t xml:space="preserve">Inglis, G, Morrisey, D, Woods, C, Sinner, J &amp; Newton, M 2013, </w:t>
      </w:r>
      <w:r w:rsidRPr="005F7F32">
        <w:rPr>
          <w:rStyle w:val="Emphasis"/>
          <w:rFonts w:cstheme="minorHAnsi"/>
        </w:rPr>
        <w:t>Managing the domestic spread of harmful marine organisms. Part A - operational tools for management.</w:t>
      </w:r>
      <w:r w:rsidRPr="005F7F32">
        <w:t>, Prepared for Preparedness and Partnerships Directorate, Ministry for Primary Industries, New Zealand. NIWA Client Report No: CHC2013-150.</w:t>
      </w:r>
    </w:p>
    <w:p w14:paraId="15D2926A" w14:textId="57B505D3" w:rsidR="007F3FF4" w:rsidRPr="007F3FF4" w:rsidRDefault="007F3FF4" w:rsidP="00C80491">
      <w:pPr>
        <w:spacing w:line="240" w:lineRule="auto"/>
      </w:pPr>
      <w:r>
        <w:t xml:space="preserve">Inoue, T &amp; </w:t>
      </w:r>
      <w:proofErr w:type="spellStart"/>
      <w:r>
        <w:t>Yamamuro</w:t>
      </w:r>
      <w:proofErr w:type="spellEnd"/>
      <w:r>
        <w:t xml:space="preserve">, M 2000, </w:t>
      </w:r>
      <w:hyperlink r:id="rId471" w:history="1">
        <w:r w:rsidRPr="007F3FF4">
          <w:rPr>
            <w:rStyle w:val="Hyperlink"/>
          </w:rPr>
          <w:t xml:space="preserve">Respiration and ingestion rates of the filter-feeding bivalve </w:t>
        </w:r>
        <w:proofErr w:type="spellStart"/>
        <w:r w:rsidRPr="007F3FF4">
          <w:rPr>
            <w:rStyle w:val="Hyperlink"/>
            <w:i/>
            <w:iCs/>
          </w:rPr>
          <w:t>Musculista</w:t>
        </w:r>
        <w:proofErr w:type="spellEnd"/>
        <w:r w:rsidRPr="007F3FF4">
          <w:rPr>
            <w:rStyle w:val="Hyperlink"/>
            <w:i/>
            <w:iCs/>
          </w:rPr>
          <w:t xml:space="preserve"> senhousia</w:t>
        </w:r>
        <w:r w:rsidRPr="007F3FF4">
          <w:rPr>
            <w:rStyle w:val="Hyperlink"/>
          </w:rPr>
          <w:t>: implications for water-quality control</w:t>
        </w:r>
      </w:hyperlink>
      <w:r>
        <w:t xml:space="preserve">, </w:t>
      </w:r>
      <w:r>
        <w:rPr>
          <w:i/>
          <w:iCs/>
        </w:rPr>
        <w:t xml:space="preserve">Journal of Marine Systems, </w:t>
      </w:r>
      <w:r>
        <w:t xml:space="preserve">vol. 26, no. 2, pp. 183-192, DOI: </w:t>
      </w:r>
      <w:r w:rsidRPr="007F3FF4">
        <w:t>10.1016/S0924-7963(00)00053-1</w:t>
      </w:r>
      <w:r>
        <w:t>.</w:t>
      </w:r>
    </w:p>
    <w:p w14:paraId="092E436A" w14:textId="4AED642E" w:rsidR="006939E1" w:rsidRPr="005F7F32" w:rsidRDefault="00B5740F" w:rsidP="00C80491">
      <w:pPr>
        <w:pStyle w:val="EndNoteBibliography"/>
        <w:rPr>
          <w:noProof w:val="0"/>
          <w:lang w:val="en-AU"/>
        </w:rPr>
      </w:pPr>
      <w:r w:rsidRPr="005F7F32">
        <w:rPr>
          <w:noProof w:val="0"/>
          <w:lang w:val="en-AU"/>
        </w:rPr>
        <w:t xml:space="preserve">Jayachandran, PR, Aneesh, BP, Oliver, PG, Philomina, J, Jima, M, Harikrishnan, K &amp; Nandan, SB 2019, </w:t>
      </w:r>
      <w:hyperlink r:id="rId472" w:history="1">
        <w:r w:rsidRPr="005F7F32">
          <w:rPr>
            <w:rStyle w:val="Hyperlink"/>
            <w:noProof w:val="0"/>
            <w:lang w:val="en-AU"/>
          </w:rPr>
          <w:t xml:space="preserve">First record of the alien invasive biofouling mussel </w:t>
        </w:r>
        <w:r w:rsidRPr="005F7F32">
          <w:rPr>
            <w:rStyle w:val="Hyperlink"/>
            <w:i/>
            <w:noProof w:val="0"/>
            <w:lang w:val="en-AU"/>
          </w:rPr>
          <w:t>Mytella strigata</w:t>
        </w:r>
        <w:r w:rsidRPr="005F7F32">
          <w:rPr>
            <w:rStyle w:val="Hyperlink"/>
            <w:noProof w:val="0"/>
            <w:lang w:val="en-AU"/>
          </w:rPr>
          <w:t xml:space="preserve"> (Hanley, 1843)(Mollusca: Mytilidae) from Indian waters</w:t>
        </w:r>
      </w:hyperlink>
      <w:r w:rsidRPr="005F7F32">
        <w:rPr>
          <w:noProof w:val="0"/>
          <w:lang w:val="en-AU"/>
        </w:rPr>
        <w:t xml:space="preserve">, </w:t>
      </w:r>
      <w:proofErr w:type="spellStart"/>
      <w:r w:rsidRPr="005F7F32">
        <w:rPr>
          <w:i/>
          <w:noProof w:val="0"/>
          <w:lang w:val="en-AU"/>
        </w:rPr>
        <w:t>BioInvasions</w:t>
      </w:r>
      <w:proofErr w:type="spellEnd"/>
      <w:r w:rsidRPr="005F7F32">
        <w:rPr>
          <w:i/>
          <w:noProof w:val="0"/>
          <w:lang w:val="en-AU"/>
        </w:rPr>
        <w:t xml:space="preserve"> Record</w:t>
      </w:r>
      <w:r w:rsidRPr="005F7F32">
        <w:rPr>
          <w:noProof w:val="0"/>
          <w:lang w:val="en-AU"/>
        </w:rPr>
        <w:t>, vol. 8, no. 4</w:t>
      </w:r>
      <w:r w:rsidR="005F7F32">
        <w:rPr>
          <w:noProof w:val="0"/>
          <w:lang w:val="en-AU"/>
        </w:rPr>
        <w:t xml:space="preserve">, pp. 828-37, DOI: </w:t>
      </w:r>
      <w:r w:rsidR="005F7F32" w:rsidRPr="005F7F32">
        <w:rPr>
          <w:noProof w:val="0"/>
          <w:lang w:val="en-AU"/>
        </w:rPr>
        <w:t>10.3391/bir.2019.8.4.11</w:t>
      </w:r>
      <w:r w:rsidR="005F7F32">
        <w:rPr>
          <w:noProof w:val="0"/>
          <w:lang w:val="en-AU"/>
        </w:rPr>
        <w:t>.</w:t>
      </w:r>
    </w:p>
    <w:p w14:paraId="0F8D0DEB" w14:textId="6B1C2DF7" w:rsidR="006939E1" w:rsidRPr="005F7F32" w:rsidRDefault="00B5740F" w:rsidP="00C80491">
      <w:pPr>
        <w:pStyle w:val="EndNoteBibliography"/>
        <w:rPr>
          <w:noProof w:val="0"/>
          <w:lang w:val="en-AU"/>
        </w:rPr>
      </w:pPr>
      <w:r w:rsidRPr="005F7F32">
        <w:rPr>
          <w:noProof w:val="0"/>
          <w:lang w:val="en-AU"/>
        </w:rPr>
        <w:t xml:space="preserve">Jeffs, A, Holland, R, Hooker, S &amp; Hayden, B 1999, </w:t>
      </w:r>
      <w:hyperlink r:id="rId473" w:history="1">
        <w:r w:rsidRPr="005F7F32">
          <w:rPr>
            <w:rStyle w:val="Hyperlink"/>
            <w:noProof w:val="0"/>
            <w:lang w:val="en-AU"/>
          </w:rPr>
          <w:t xml:space="preserve">Overview and bibliography of research on the </w:t>
        </w:r>
        <w:proofErr w:type="spellStart"/>
        <w:r w:rsidRPr="005F7F32">
          <w:rPr>
            <w:rStyle w:val="Hyperlink"/>
            <w:noProof w:val="0"/>
            <w:lang w:val="en-AU"/>
          </w:rPr>
          <w:t>greenshell</w:t>
        </w:r>
        <w:proofErr w:type="spellEnd"/>
        <w:r w:rsidRPr="005F7F32">
          <w:rPr>
            <w:rStyle w:val="Hyperlink"/>
            <w:noProof w:val="0"/>
            <w:lang w:val="en-AU"/>
          </w:rPr>
          <w:t xml:space="preserve"> </w:t>
        </w:r>
        <w:r w:rsidR="005F7F32" w:rsidRPr="005F7F32">
          <w:rPr>
            <w:rStyle w:val="Hyperlink"/>
            <w:noProof w:val="0"/>
            <w:lang w:val="en-AU"/>
          </w:rPr>
          <w:t>mussel</w:t>
        </w:r>
        <w:r w:rsidRPr="005F7F32">
          <w:rPr>
            <w:rStyle w:val="Hyperlink"/>
            <w:noProof w:val="0"/>
            <w:lang w:val="en-AU"/>
          </w:rPr>
          <w:t xml:space="preserve">, </w:t>
        </w:r>
        <w:r w:rsidRPr="005F7F32">
          <w:rPr>
            <w:rStyle w:val="Hyperlink"/>
            <w:i/>
            <w:noProof w:val="0"/>
            <w:lang w:val="en-AU"/>
          </w:rPr>
          <w:t>Perna canaliculus</w:t>
        </w:r>
        <w:r w:rsidRPr="005F7F32">
          <w:rPr>
            <w:rStyle w:val="Hyperlink"/>
            <w:noProof w:val="0"/>
            <w:lang w:val="en-AU"/>
          </w:rPr>
          <w:t>, from New Zealand waters</w:t>
        </w:r>
      </w:hyperlink>
      <w:r w:rsidRPr="005F7F32">
        <w:rPr>
          <w:noProof w:val="0"/>
          <w:lang w:val="en-AU"/>
        </w:rPr>
        <w:t xml:space="preserve">, </w:t>
      </w:r>
      <w:r w:rsidRPr="005F7F32">
        <w:rPr>
          <w:i/>
          <w:noProof w:val="0"/>
          <w:lang w:val="en-AU"/>
        </w:rPr>
        <w:t>Journal of Shellfish Research</w:t>
      </w:r>
      <w:r w:rsidRPr="005F7F32">
        <w:rPr>
          <w:noProof w:val="0"/>
          <w:lang w:val="en-AU"/>
        </w:rPr>
        <w:t>, vol. 18, no. 2, pp. 347-60</w:t>
      </w:r>
      <w:r w:rsidR="005F7F32">
        <w:rPr>
          <w:noProof w:val="0"/>
          <w:lang w:val="en-AU"/>
        </w:rPr>
        <w:t>.</w:t>
      </w:r>
    </w:p>
    <w:p w14:paraId="21B843E1" w14:textId="70647FC9" w:rsidR="006939E1" w:rsidRDefault="00B5740F" w:rsidP="00C80491">
      <w:pPr>
        <w:pStyle w:val="EndNoteBibliography"/>
        <w:rPr>
          <w:noProof w:val="0"/>
          <w:lang w:val="en-AU"/>
        </w:rPr>
      </w:pPr>
      <w:r w:rsidRPr="005F7F32">
        <w:rPr>
          <w:noProof w:val="0"/>
          <w:lang w:val="en-AU"/>
        </w:rPr>
        <w:t xml:space="preserve">Jenkins, C, Hick, P, Gabor, M, Spiers, Z, Fell, SA, Gu, X, Read, A, Go, J, Dove, M &amp; Connor, WO 2013, </w:t>
      </w:r>
      <w:hyperlink r:id="rId474" w:history="1">
        <w:r w:rsidRPr="005F7F32">
          <w:rPr>
            <w:rStyle w:val="Hyperlink"/>
            <w:noProof w:val="0"/>
            <w:lang w:val="en-AU"/>
          </w:rPr>
          <w:t xml:space="preserve">Identification and characterisation of an </w:t>
        </w:r>
        <w:proofErr w:type="spellStart"/>
        <w:r w:rsidRPr="005F7F32">
          <w:rPr>
            <w:rStyle w:val="Hyperlink"/>
            <w:noProof w:val="0"/>
            <w:lang w:val="en-AU"/>
          </w:rPr>
          <w:t>ostreid</w:t>
        </w:r>
        <w:proofErr w:type="spellEnd"/>
        <w:r w:rsidRPr="005F7F32">
          <w:rPr>
            <w:rStyle w:val="Hyperlink"/>
            <w:noProof w:val="0"/>
            <w:lang w:val="en-AU"/>
          </w:rPr>
          <w:t xml:space="preserve"> herpesvirus-1 microvariant (OsHV-1 µ-var) in </w:t>
        </w:r>
        <w:r w:rsidRPr="005F7F32">
          <w:rPr>
            <w:rStyle w:val="Hyperlink"/>
            <w:i/>
            <w:noProof w:val="0"/>
            <w:lang w:val="en-AU"/>
          </w:rPr>
          <w:t>Crassostrea gigas</w:t>
        </w:r>
        <w:r w:rsidRPr="005F7F32">
          <w:rPr>
            <w:rStyle w:val="Hyperlink"/>
            <w:noProof w:val="0"/>
            <w:lang w:val="en-AU"/>
          </w:rPr>
          <w:t xml:space="preserve"> (Pacific oysters) in Australia</w:t>
        </w:r>
      </w:hyperlink>
      <w:r w:rsidRPr="005F7F32">
        <w:rPr>
          <w:noProof w:val="0"/>
          <w:lang w:val="en-AU"/>
        </w:rPr>
        <w:t xml:space="preserve">, </w:t>
      </w:r>
      <w:r w:rsidRPr="005F7F32">
        <w:rPr>
          <w:i/>
          <w:noProof w:val="0"/>
          <w:lang w:val="en-AU"/>
        </w:rPr>
        <w:t>Diseases of Aquatic Organisms</w:t>
      </w:r>
      <w:r w:rsidRPr="005F7F32">
        <w:rPr>
          <w:noProof w:val="0"/>
          <w:lang w:val="en-AU"/>
        </w:rPr>
        <w:t>, vol. 105, no. 2, pp. 109-26</w:t>
      </w:r>
      <w:r w:rsidR="005F7F32">
        <w:rPr>
          <w:noProof w:val="0"/>
          <w:lang w:val="en-AU"/>
        </w:rPr>
        <w:t xml:space="preserve">, DOI: </w:t>
      </w:r>
      <w:r w:rsidR="005F7F32" w:rsidRPr="005F7F32">
        <w:rPr>
          <w:noProof w:val="0"/>
          <w:lang w:val="en-AU"/>
        </w:rPr>
        <w:t>10.3354/dao02623</w:t>
      </w:r>
      <w:r w:rsidR="005F7F32">
        <w:rPr>
          <w:noProof w:val="0"/>
          <w:lang w:val="en-AU"/>
        </w:rPr>
        <w:t>.</w:t>
      </w:r>
    </w:p>
    <w:p w14:paraId="2B276E82" w14:textId="424EF4C4" w:rsidR="00C80491" w:rsidRDefault="00C80491" w:rsidP="00C80491">
      <w:pPr>
        <w:spacing w:line="240" w:lineRule="auto"/>
      </w:pPr>
      <w:r w:rsidRPr="00AF443B">
        <w:t xml:space="preserve">Jenner, HA, Whitehouse, JW, Taylor, CJL &amp; </w:t>
      </w:r>
      <w:proofErr w:type="spellStart"/>
      <w:r w:rsidRPr="00AF443B">
        <w:t>Khalanski</w:t>
      </w:r>
      <w:proofErr w:type="spellEnd"/>
      <w:r w:rsidRPr="00AF443B">
        <w:t xml:space="preserve">, M 1998, </w:t>
      </w:r>
      <w:hyperlink r:id="rId475" w:history="1">
        <w:r w:rsidRPr="00C80491">
          <w:rPr>
            <w:rStyle w:val="Hyperlink"/>
          </w:rPr>
          <w:t>Cooling water management in European power stations: Biology and control of fouling</w:t>
        </w:r>
      </w:hyperlink>
      <w:r w:rsidRPr="00AF443B">
        <w:t xml:space="preserve">, </w:t>
      </w:r>
      <w:proofErr w:type="spellStart"/>
      <w:r w:rsidRPr="00AF443B">
        <w:rPr>
          <w:rStyle w:val="Emphasis"/>
        </w:rPr>
        <w:t>Hydroecologie</w:t>
      </w:r>
      <w:proofErr w:type="spellEnd"/>
      <w:r w:rsidRPr="00AF443B">
        <w:rPr>
          <w:rStyle w:val="Emphasis"/>
        </w:rPr>
        <w:t xml:space="preserve"> </w:t>
      </w:r>
      <w:proofErr w:type="spellStart"/>
      <w:r w:rsidRPr="00AF443B">
        <w:rPr>
          <w:rStyle w:val="Emphasis"/>
        </w:rPr>
        <w:t>Appliquee</w:t>
      </w:r>
      <w:proofErr w:type="spellEnd"/>
      <w:r w:rsidRPr="00AF443B">
        <w:t>, vol. 10, no. 1–2, pp. 1–225</w:t>
      </w:r>
      <w:r w:rsidRPr="00581E99">
        <w:t xml:space="preserve">, DOI: </w:t>
      </w:r>
      <w:r w:rsidRPr="00AF443B">
        <w:t>10.1051/hydro:1989101.</w:t>
      </w:r>
    </w:p>
    <w:p w14:paraId="4258F910" w14:textId="78F9FA42" w:rsidR="00246AE3" w:rsidRPr="00246AE3" w:rsidRDefault="00246AE3" w:rsidP="00C80491">
      <w:pPr>
        <w:spacing w:line="240" w:lineRule="auto"/>
      </w:pPr>
      <w:r>
        <w:t xml:space="preserve">Jensen, JN 1988, </w:t>
      </w:r>
      <w:hyperlink r:id="rId476" w:history="1">
        <w:r w:rsidRPr="00246AE3">
          <w:rPr>
            <w:rStyle w:val="Hyperlink"/>
          </w:rPr>
          <w:t xml:space="preserve">Recruitment, growth and mortality of juvenile </w:t>
        </w:r>
        <w:proofErr w:type="spellStart"/>
        <w:r w:rsidRPr="00246AE3">
          <w:rPr>
            <w:rStyle w:val="Hyperlink"/>
            <w:i/>
            <w:iCs/>
          </w:rPr>
          <w:t>Corbula</w:t>
        </w:r>
        <w:proofErr w:type="spellEnd"/>
        <w:r w:rsidRPr="00246AE3">
          <w:rPr>
            <w:rStyle w:val="Hyperlink"/>
            <w:i/>
            <w:iCs/>
          </w:rPr>
          <w:t xml:space="preserve"> gibba</w:t>
        </w:r>
        <w:r w:rsidRPr="00246AE3">
          <w:rPr>
            <w:rStyle w:val="Hyperlink"/>
          </w:rPr>
          <w:t xml:space="preserve"> and </w:t>
        </w:r>
        <w:r w:rsidRPr="00246AE3">
          <w:rPr>
            <w:rStyle w:val="Hyperlink"/>
            <w:i/>
            <w:iCs/>
          </w:rPr>
          <w:t>Abra alba</w:t>
        </w:r>
        <w:r w:rsidRPr="00246AE3">
          <w:rPr>
            <w:rStyle w:val="Hyperlink"/>
          </w:rPr>
          <w:t xml:space="preserve"> in the </w:t>
        </w:r>
        <w:proofErr w:type="spellStart"/>
        <w:r w:rsidRPr="00246AE3">
          <w:rPr>
            <w:rStyle w:val="Hyperlink"/>
          </w:rPr>
          <w:t>Limdfjord</w:t>
        </w:r>
        <w:proofErr w:type="spellEnd"/>
        <w:r w:rsidRPr="00246AE3">
          <w:rPr>
            <w:rStyle w:val="Hyperlink"/>
          </w:rPr>
          <w:t>, Denmark</w:t>
        </w:r>
      </w:hyperlink>
      <w:r>
        <w:t xml:space="preserve">, </w:t>
      </w:r>
      <w:r>
        <w:rPr>
          <w:i/>
          <w:iCs/>
        </w:rPr>
        <w:t xml:space="preserve">GEOMAR, </w:t>
      </w:r>
      <w:r>
        <w:t xml:space="preserve">vol. 6, pp. 357-365. </w:t>
      </w:r>
    </w:p>
    <w:p w14:paraId="6EAA4247" w14:textId="3216A4E0" w:rsidR="00246AE3" w:rsidRPr="00246AE3" w:rsidRDefault="00246AE3" w:rsidP="00C80491">
      <w:pPr>
        <w:spacing w:line="240" w:lineRule="auto"/>
      </w:pPr>
      <w:r>
        <w:t xml:space="preserve">Jensen, JN 1990, </w:t>
      </w:r>
      <w:hyperlink r:id="rId477" w:history="1">
        <w:r w:rsidRPr="00246AE3">
          <w:rPr>
            <w:rStyle w:val="Hyperlink"/>
          </w:rPr>
          <w:t xml:space="preserve">Increased abundance and growth of the suspension-feeding bivalve </w:t>
        </w:r>
        <w:proofErr w:type="spellStart"/>
        <w:r w:rsidRPr="00246AE3">
          <w:rPr>
            <w:rStyle w:val="Hyperlink"/>
            <w:i/>
            <w:iCs/>
          </w:rPr>
          <w:t>Corbula</w:t>
        </w:r>
        <w:proofErr w:type="spellEnd"/>
        <w:r w:rsidRPr="00246AE3">
          <w:rPr>
            <w:rStyle w:val="Hyperlink"/>
            <w:i/>
            <w:iCs/>
          </w:rPr>
          <w:t xml:space="preserve"> gibba</w:t>
        </w:r>
        <w:r w:rsidRPr="00246AE3">
          <w:rPr>
            <w:rStyle w:val="Hyperlink"/>
          </w:rPr>
          <w:t xml:space="preserve"> in a shallow part of the eutrophic </w:t>
        </w:r>
        <w:proofErr w:type="spellStart"/>
        <w:r w:rsidRPr="00246AE3">
          <w:rPr>
            <w:rStyle w:val="Hyperlink"/>
          </w:rPr>
          <w:t>Limfjord</w:t>
        </w:r>
        <w:proofErr w:type="spellEnd"/>
        <w:r w:rsidRPr="00246AE3">
          <w:rPr>
            <w:rStyle w:val="Hyperlink"/>
          </w:rPr>
          <w:t>, Denmark</w:t>
        </w:r>
      </w:hyperlink>
      <w:r>
        <w:t xml:space="preserve">, </w:t>
      </w:r>
      <w:r>
        <w:rPr>
          <w:i/>
          <w:iCs/>
        </w:rPr>
        <w:t xml:space="preserve">Netherlands Journal of Sea Research, </w:t>
      </w:r>
      <w:r>
        <w:t xml:space="preserve">vol. 27, no. 1, pp. 101-108, DOI: </w:t>
      </w:r>
      <w:r w:rsidRPr="00246AE3">
        <w:t>10.1016/0077-7579(90)90038-I</w:t>
      </w:r>
      <w:r>
        <w:t>.</w:t>
      </w:r>
    </w:p>
    <w:p w14:paraId="2325641E" w14:textId="128554F3" w:rsidR="00CC2DEE" w:rsidRDefault="00CC2DEE" w:rsidP="00C80491">
      <w:pPr>
        <w:spacing w:line="240" w:lineRule="auto"/>
      </w:pPr>
      <w:proofErr w:type="spellStart"/>
      <w:r w:rsidRPr="005F7F32">
        <w:t>Jofré</w:t>
      </w:r>
      <w:proofErr w:type="spellEnd"/>
      <w:r w:rsidRPr="005F7F32">
        <w:t xml:space="preserve"> Madariaga, D, Rivadeneira, MM, Tala, F &amp; Thiel, M 2014, </w:t>
      </w:r>
      <w:hyperlink r:id="rId478" w:history="1">
        <w:r w:rsidRPr="005F7F32">
          <w:rPr>
            <w:rStyle w:val="Hyperlink"/>
          </w:rPr>
          <w:t xml:space="preserve">Environmental tolerance of the two invasive species </w:t>
        </w:r>
        <w:r w:rsidRPr="005F7F32">
          <w:rPr>
            <w:rStyle w:val="Hyperlink"/>
            <w:i/>
            <w:iCs/>
          </w:rPr>
          <w:t>Ciona intestinalis</w:t>
        </w:r>
        <w:r w:rsidRPr="005F7F32">
          <w:rPr>
            <w:rStyle w:val="Hyperlink"/>
          </w:rPr>
          <w:t xml:space="preserve"> and </w:t>
        </w:r>
        <w:r w:rsidRPr="005F7F32">
          <w:rPr>
            <w:rStyle w:val="Hyperlink"/>
            <w:i/>
            <w:iCs/>
          </w:rPr>
          <w:t>Codium fragile</w:t>
        </w:r>
        <w:r w:rsidRPr="005F7F32">
          <w:rPr>
            <w:rStyle w:val="Hyperlink"/>
          </w:rPr>
          <w:t>: their invasion potential along a temperate coast</w:t>
        </w:r>
      </w:hyperlink>
      <w:r w:rsidRPr="005F7F32">
        <w:t xml:space="preserve">, </w:t>
      </w:r>
      <w:r w:rsidRPr="005F7F32">
        <w:rPr>
          <w:i/>
          <w:iCs/>
        </w:rPr>
        <w:t>Biological Invasions</w:t>
      </w:r>
      <w:r w:rsidRPr="005F7F32">
        <w:t>, vol. 16, pp. 2507-2527, DOI: 10.1007/s10530-014-0680-7.</w:t>
      </w:r>
    </w:p>
    <w:p w14:paraId="42138F06" w14:textId="19AE964B" w:rsidR="007075D7" w:rsidRPr="007075D7" w:rsidRDefault="007075D7" w:rsidP="00C80491">
      <w:pPr>
        <w:spacing w:line="240" w:lineRule="auto"/>
      </w:pPr>
      <w:r>
        <w:t xml:space="preserve">Joseph, MM &amp; </w:t>
      </w:r>
      <w:proofErr w:type="spellStart"/>
      <w:r>
        <w:t>Madhyastha</w:t>
      </w:r>
      <w:proofErr w:type="spellEnd"/>
      <w:r>
        <w:t>, MN 1984,</w:t>
      </w:r>
      <w:r w:rsidRPr="007075D7">
        <w:t xml:space="preserve"> </w:t>
      </w:r>
      <w:hyperlink r:id="rId479" w:history="1">
        <w:r w:rsidRPr="007075D7">
          <w:rPr>
            <w:rStyle w:val="Hyperlink"/>
          </w:rPr>
          <w:t xml:space="preserve">Annual reproductive cycle and sexuality of the oyster </w:t>
        </w:r>
        <w:r w:rsidRPr="007075D7">
          <w:rPr>
            <w:rStyle w:val="Hyperlink"/>
            <w:i/>
            <w:iCs/>
          </w:rPr>
          <w:t xml:space="preserve">Crassostrea </w:t>
        </w:r>
        <w:proofErr w:type="spellStart"/>
        <w:r w:rsidRPr="007075D7">
          <w:rPr>
            <w:rStyle w:val="Hyperlink"/>
            <w:i/>
            <w:iCs/>
          </w:rPr>
          <w:t>madrasensis</w:t>
        </w:r>
        <w:proofErr w:type="spellEnd"/>
        <w:r w:rsidRPr="007075D7">
          <w:rPr>
            <w:rStyle w:val="Hyperlink"/>
          </w:rPr>
          <w:t xml:space="preserve"> (Preston),</w:t>
        </w:r>
      </w:hyperlink>
      <w:r>
        <w:t xml:space="preserve"> </w:t>
      </w:r>
      <w:r>
        <w:rPr>
          <w:i/>
          <w:iCs/>
        </w:rPr>
        <w:t xml:space="preserve">Aquaculture, </w:t>
      </w:r>
      <w:r>
        <w:t xml:space="preserve">vol. 40, no. 3, pp. 223-31, DOI: </w:t>
      </w:r>
      <w:r w:rsidRPr="007075D7">
        <w:t>10.1016/0044-8486(84)90189-3</w:t>
      </w:r>
      <w:r>
        <w:t>.</w:t>
      </w:r>
    </w:p>
    <w:p w14:paraId="6241C3C2" w14:textId="3BAF1865" w:rsidR="006939E1" w:rsidRPr="005F7F32" w:rsidRDefault="00B5740F" w:rsidP="00C80491">
      <w:pPr>
        <w:spacing w:line="240" w:lineRule="auto"/>
        <w:rPr>
          <w:rFonts w:ascii="Calibri" w:hAnsi="Calibri" w:cs="Calibri"/>
        </w:rPr>
      </w:pPr>
      <w:r w:rsidRPr="005F7F32">
        <w:lastRenderedPageBreak/>
        <w:t xml:space="preserve">Kaehler, S &amp; McQuaid, CD 1999, </w:t>
      </w:r>
      <w:hyperlink r:id="rId480" w:history="1">
        <w:r w:rsidRPr="005F7F32">
          <w:rPr>
            <w:rStyle w:val="Hyperlink"/>
          </w:rPr>
          <w:t xml:space="preserve">Lethal and sub-lethal effects of phototrophic </w:t>
        </w:r>
        <w:proofErr w:type="spellStart"/>
        <w:r w:rsidRPr="005F7F32">
          <w:rPr>
            <w:rStyle w:val="Hyperlink"/>
          </w:rPr>
          <w:t>endoliths</w:t>
        </w:r>
        <w:proofErr w:type="spellEnd"/>
        <w:r w:rsidRPr="005F7F32">
          <w:rPr>
            <w:rStyle w:val="Hyperlink"/>
          </w:rPr>
          <w:t xml:space="preserve"> attacking the shell of the intertidal mussel </w:t>
        </w:r>
        <w:r w:rsidRPr="005F7F32">
          <w:rPr>
            <w:rStyle w:val="Hyperlink"/>
            <w:i/>
            <w:iCs/>
          </w:rPr>
          <w:t xml:space="preserve">Perna </w:t>
        </w:r>
        <w:proofErr w:type="spellStart"/>
        <w:r w:rsidRPr="005F7F32">
          <w:rPr>
            <w:rStyle w:val="Hyperlink"/>
            <w:i/>
            <w:iCs/>
          </w:rPr>
          <w:t>perna</w:t>
        </w:r>
        <w:proofErr w:type="spellEnd"/>
      </w:hyperlink>
      <w:r w:rsidRPr="005F7F32">
        <w:t xml:space="preserve">, </w:t>
      </w:r>
      <w:r w:rsidRPr="005F7F32">
        <w:rPr>
          <w:i/>
        </w:rPr>
        <w:t>Marine Biology</w:t>
      </w:r>
      <w:r w:rsidRPr="005F7F32">
        <w:t>, vol. 135, no. 3, pp. 497-503</w:t>
      </w:r>
      <w:r w:rsidR="005F7F32">
        <w:t xml:space="preserve">, DOI: </w:t>
      </w:r>
      <w:r w:rsidR="005F7F32" w:rsidRPr="005F7F32">
        <w:rPr>
          <w:rFonts w:ascii="Calibri" w:hAnsi="Calibri" w:cs="Calibri"/>
        </w:rPr>
        <w:t>10.1007/s002270050650</w:t>
      </w:r>
      <w:r w:rsidR="005F7F32">
        <w:rPr>
          <w:rFonts w:ascii="Calibri" w:hAnsi="Calibri" w:cs="Calibri"/>
        </w:rPr>
        <w:t>.</w:t>
      </w:r>
    </w:p>
    <w:p w14:paraId="64E8CA15" w14:textId="37458530" w:rsidR="006939E1" w:rsidRPr="005F7F32" w:rsidRDefault="00B5740F" w:rsidP="00C80491">
      <w:pPr>
        <w:pStyle w:val="EndNoteBibliography"/>
        <w:rPr>
          <w:noProof w:val="0"/>
          <w:lang w:val="en-AU"/>
        </w:rPr>
      </w:pPr>
      <w:r w:rsidRPr="005F7F32">
        <w:rPr>
          <w:noProof w:val="0"/>
          <w:lang w:val="en-AU"/>
        </w:rPr>
        <w:t xml:space="preserve">Kalyanasundaram, N 1975, Studies on the biology of </w:t>
      </w:r>
      <w:r w:rsidRPr="005F7F32">
        <w:rPr>
          <w:i/>
          <w:noProof w:val="0"/>
          <w:lang w:val="en-AU"/>
        </w:rPr>
        <w:t xml:space="preserve">Mytilopsis sallei </w:t>
      </w:r>
      <w:r w:rsidRPr="005F7F32">
        <w:rPr>
          <w:noProof w:val="0"/>
          <w:lang w:val="en-AU"/>
        </w:rPr>
        <w:t>(</w:t>
      </w:r>
      <w:proofErr w:type="spellStart"/>
      <w:r w:rsidRPr="005F7F32">
        <w:rPr>
          <w:noProof w:val="0"/>
          <w:lang w:val="en-AU"/>
        </w:rPr>
        <w:t>Recluz</w:t>
      </w:r>
      <w:proofErr w:type="spellEnd"/>
      <w:r w:rsidRPr="005F7F32">
        <w:rPr>
          <w:noProof w:val="0"/>
          <w:lang w:val="en-AU"/>
        </w:rPr>
        <w:t xml:space="preserve">), an important marine fouling mollusc, </w:t>
      </w:r>
      <w:r w:rsidRPr="005F7F32">
        <w:rPr>
          <w:i/>
          <w:noProof w:val="0"/>
          <w:lang w:val="en-AU"/>
        </w:rPr>
        <w:t>Bulletin of the Department of Marine Science, University of Cochin</w:t>
      </w:r>
      <w:r w:rsidRPr="005F7F32">
        <w:rPr>
          <w:iCs/>
          <w:noProof w:val="0"/>
          <w:lang w:val="en-AU"/>
        </w:rPr>
        <w:t>,</w:t>
      </w:r>
      <w:r w:rsidRPr="005F7F32">
        <w:rPr>
          <w:noProof w:val="0"/>
          <w:lang w:val="en-AU"/>
        </w:rPr>
        <w:t xml:space="preserve"> vol. 7, pp. 685-93.</w:t>
      </w:r>
    </w:p>
    <w:p w14:paraId="21ECB983" w14:textId="26096838" w:rsidR="006939E1" w:rsidRPr="005F7F32" w:rsidRDefault="00B5740F" w:rsidP="00C80491">
      <w:pPr>
        <w:pStyle w:val="EndNoteBibliography"/>
        <w:rPr>
          <w:noProof w:val="0"/>
          <w:lang w:val="en-AU"/>
        </w:rPr>
      </w:pPr>
      <w:proofErr w:type="spellStart"/>
      <w:r w:rsidRPr="005F7F32">
        <w:rPr>
          <w:noProof w:val="0"/>
          <w:lang w:val="en-AU"/>
        </w:rPr>
        <w:t>Karande</w:t>
      </w:r>
      <w:proofErr w:type="spellEnd"/>
      <w:r w:rsidRPr="005F7F32">
        <w:rPr>
          <w:noProof w:val="0"/>
          <w:lang w:val="en-AU"/>
        </w:rPr>
        <w:t xml:space="preserve">, A &amp; Menon, K 1975, </w:t>
      </w:r>
      <w:r w:rsidRPr="005F7F32">
        <w:rPr>
          <w:i/>
          <w:noProof w:val="0"/>
          <w:lang w:val="en-AU"/>
        </w:rPr>
        <w:t>Mytilopsis sallei</w:t>
      </w:r>
      <w:r w:rsidRPr="005F7F32">
        <w:rPr>
          <w:noProof w:val="0"/>
          <w:lang w:val="en-AU"/>
        </w:rPr>
        <w:t xml:space="preserve">, a fresh immigrant in Indian harbours, </w:t>
      </w:r>
      <w:r w:rsidRPr="005F7F32">
        <w:rPr>
          <w:i/>
          <w:noProof w:val="0"/>
          <w:lang w:val="en-AU"/>
        </w:rPr>
        <w:t>Bulletin of the Department of Marine Science, University of Cochin</w:t>
      </w:r>
      <w:r w:rsidRPr="005F7F32">
        <w:rPr>
          <w:noProof w:val="0"/>
          <w:lang w:val="en-AU"/>
        </w:rPr>
        <w:t>, vol. 7, pp. 455-66.</w:t>
      </w:r>
    </w:p>
    <w:p w14:paraId="33AFFF63" w14:textId="348D201B" w:rsidR="006939E1" w:rsidRDefault="00B5740F" w:rsidP="00C80491">
      <w:pPr>
        <w:pStyle w:val="EndNoteBibliography"/>
        <w:rPr>
          <w:noProof w:val="0"/>
          <w:lang w:val="en-AU"/>
        </w:rPr>
      </w:pPr>
      <w:proofErr w:type="spellStart"/>
      <w:r w:rsidRPr="005F7F32">
        <w:rPr>
          <w:noProof w:val="0"/>
          <w:lang w:val="en-AU"/>
        </w:rPr>
        <w:t>Keanly</w:t>
      </w:r>
      <w:proofErr w:type="spellEnd"/>
      <w:r w:rsidRPr="005F7F32">
        <w:rPr>
          <w:noProof w:val="0"/>
          <w:lang w:val="en-AU"/>
        </w:rPr>
        <w:t xml:space="preserve">, C &amp; Robinson, TB 2020, </w:t>
      </w:r>
      <w:hyperlink r:id="rId481" w:history="1">
        <w:r w:rsidRPr="005F7F32">
          <w:rPr>
            <w:rStyle w:val="Hyperlink"/>
            <w:noProof w:val="0"/>
            <w:lang w:val="en-AU"/>
          </w:rPr>
          <w:t>Encapsulation as a biosecurity tool for managing fouling on recreational vessels</w:t>
        </w:r>
      </w:hyperlink>
      <w:r w:rsidR="005F7F32" w:rsidRPr="005F7F32">
        <w:rPr>
          <w:noProof w:val="0"/>
          <w:lang w:val="en-AU"/>
        </w:rPr>
        <w:t xml:space="preserve">, </w:t>
      </w:r>
      <w:r w:rsidR="005F7F32" w:rsidRPr="005F7F32">
        <w:rPr>
          <w:i/>
          <w:iCs/>
          <w:noProof w:val="0"/>
          <w:lang w:val="en-AU"/>
        </w:rPr>
        <w:t xml:space="preserve">Aquatic Invasions, </w:t>
      </w:r>
      <w:r w:rsidR="005F7F32" w:rsidRPr="005F7F32">
        <w:rPr>
          <w:noProof w:val="0"/>
          <w:lang w:val="en-AU"/>
        </w:rPr>
        <w:t>vol. 15, no. 1, pp. 81-97, DOI: 10.3391/ai.2020.15.1.06.</w:t>
      </w:r>
    </w:p>
    <w:p w14:paraId="3F15CC44" w14:textId="53DCA718" w:rsidR="004E1C0D" w:rsidRPr="005F7F32" w:rsidRDefault="004E1C0D" w:rsidP="004E1C0D">
      <w:pPr>
        <w:pStyle w:val="EndNoteBibliography"/>
        <w:rPr>
          <w:noProof w:val="0"/>
          <w:lang w:val="en-AU"/>
        </w:rPr>
      </w:pPr>
      <w:r w:rsidRPr="004E1C0D">
        <w:rPr>
          <w:noProof w:val="0"/>
          <w:lang w:val="en-AU"/>
        </w:rPr>
        <w:t>Keating, J, Maidment, D, MacCallum, M, Christensen, R, Mason, V</w:t>
      </w:r>
      <w:r>
        <w:rPr>
          <w:noProof w:val="0"/>
          <w:lang w:val="en-AU"/>
        </w:rPr>
        <w:t>,</w:t>
      </w:r>
      <w:r w:rsidRPr="004E1C0D">
        <w:rPr>
          <w:noProof w:val="0"/>
          <w:lang w:val="en-AU"/>
        </w:rPr>
        <w:t xml:space="preserve"> Davies, H, Carter, G &amp; Proctor, M</w:t>
      </w:r>
      <w:r>
        <w:rPr>
          <w:noProof w:val="0"/>
          <w:lang w:val="en-AU"/>
        </w:rPr>
        <w:t xml:space="preserve"> </w:t>
      </w:r>
      <w:r w:rsidRPr="004E1C0D">
        <w:rPr>
          <w:noProof w:val="0"/>
          <w:lang w:val="en-AU"/>
        </w:rPr>
        <w:t>2010</w:t>
      </w:r>
      <w:r>
        <w:rPr>
          <w:noProof w:val="0"/>
          <w:lang w:val="en-AU"/>
        </w:rPr>
        <w:t xml:space="preserve">, </w:t>
      </w:r>
      <w:r w:rsidRPr="004E1C0D">
        <w:rPr>
          <w:i/>
          <w:iCs/>
          <w:noProof w:val="0"/>
          <w:lang w:val="en-AU"/>
        </w:rPr>
        <w:t>Smash it up! Partnership project to control Pacific pests</w:t>
      </w:r>
      <w:r>
        <w:rPr>
          <w:noProof w:val="0"/>
          <w:lang w:val="en-AU"/>
        </w:rPr>
        <w:t xml:space="preserve">, </w:t>
      </w:r>
      <w:r w:rsidRPr="004E1C0D">
        <w:rPr>
          <w:noProof w:val="0"/>
          <w:lang w:val="en-AU"/>
        </w:rPr>
        <w:t>Southern Rivers Catchment</w:t>
      </w:r>
      <w:r>
        <w:rPr>
          <w:noProof w:val="0"/>
          <w:lang w:val="en-AU"/>
        </w:rPr>
        <w:t xml:space="preserve"> </w:t>
      </w:r>
      <w:r w:rsidRPr="004E1C0D">
        <w:rPr>
          <w:noProof w:val="0"/>
          <w:lang w:val="en-AU"/>
        </w:rPr>
        <w:t>Management Authority, New South Wales, Australia.</w:t>
      </w:r>
    </w:p>
    <w:p w14:paraId="55CBD8D3" w14:textId="251583B4" w:rsidR="006939E1" w:rsidRPr="005F7F32" w:rsidRDefault="00B5740F" w:rsidP="00C80491">
      <w:pPr>
        <w:pStyle w:val="EndNoteBibliography"/>
        <w:rPr>
          <w:noProof w:val="0"/>
          <w:lang w:val="en-AU"/>
        </w:rPr>
      </w:pPr>
      <w:r w:rsidRPr="005F7F32">
        <w:rPr>
          <w:noProof w:val="0"/>
          <w:lang w:val="en-AU"/>
        </w:rPr>
        <w:t xml:space="preserve">Keen, S 2010, </w:t>
      </w:r>
      <w:bookmarkStart w:id="812" w:name="_Hlk117176753"/>
      <w:r w:rsidR="00C23E04" w:rsidRPr="005F7F32">
        <w:rPr>
          <w:noProof w:val="0"/>
          <w:lang w:val="en-AU"/>
        </w:rPr>
        <w:fldChar w:fldCharType="begin"/>
      </w:r>
      <w:r w:rsidR="00C23E04" w:rsidRPr="005F7F32">
        <w:rPr>
          <w:noProof w:val="0"/>
          <w:lang w:val="en-AU"/>
        </w:rPr>
        <w:instrText xml:space="preserve"> HYPERLINK "https://www.stockjournal.com.au/story/3652215/crackdown-on-wild-oysters/" </w:instrText>
      </w:r>
      <w:r w:rsidR="00C23E04" w:rsidRPr="005F7F32">
        <w:rPr>
          <w:noProof w:val="0"/>
          <w:lang w:val="en-AU"/>
        </w:rPr>
      </w:r>
      <w:r w:rsidR="00C23E04" w:rsidRPr="005F7F32">
        <w:rPr>
          <w:noProof w:val="0"/>
          <w:lang w:val="en-AU"/>
        </w:rPr>
        <w:fldChar w:fldCharType="separate"/>
      </w:r>
      <w:r w:rsidRPr="005F7F32">
        <w:rPr>
          <w:rStyle w:val="Hyperlink"/>
          <w:noProof w:val="0"/>
          <w:lang w:val="en-AU"/>
        </w:rPr>
        <w:t>Crackdown on wild oysters</w:t>
      </w:r>
      <w:r w:rsidR="00C23E04" w:rsidRPr="005F7F32">
        <w:rPr>
          <w:noProof w:val="0"/>
          <w:lang w:val="en-AU"/>
        </w:rPr>
        <w:fldChar w:fldCharType="end"/>
      </w:r>
      <w:r w:rsidRPr="005F7F32">
        <w:rPr>
          <w:noProof w:val="0"/>
          <w:lang w:val="en-AU"/>
        </w:rPr>
        <w:t xml:space="preserve">, </w:t>
      </w:r>
      <w:r w:rsidRPr="005F7F32">
        <w:rPr>
          <w:iCs/>
          <w:noProof w:val="0"/>
          <w:lang w:val="en-AU"/>
        </w:rPr>
        <w:t>Stockton Journal</w:t>
      </w:r>
      <w:r w:rsidR="00C23E04" w:rsidRPr="005F7F32">
        <w:rPr>
          <w:iCs/>
          <w:noProof w:val="0"/>
          <w:lang w:val="en-AU"/>
        </w:rPr>
        <w:t>,</w:t>
      </w:r>
      <w:r w:rsidR="00C23E04" w:rsidRPr="005F7F32">
        <w:rPr>
          <w:noProof w:val="0"/>
          <w:lang w:val="en-AU"/>
        </w:rPr>
        <w:t xml:space="preserve"> a</w:t>
      </w:r>
      <w:r w:rsidR="008F38AB" w:rsidRPr="005F7F32">
        <w:rPr>
          <w:noProof w:val="0"/>
          <w:lang w:val="en-AU"/>
        </w:rPr>
        <w:t>ccessed 5 June 2022</w:t>
      </w:r>
      <w:bookmarkEnd w:id="812"/>
      <w:r w:rsidR="005F7F32">
        <w:rPr>
          <w:noProof w:val="0"/>
          <w:lang w:val="en-AU"/>
        </w:rPr>
        <w:t>.</w:t>
      </w:r>
    </w:p>
    <w:p w14:paraId="1B02F344" w14:textId="7363C3CC" w:rsidR="006939E1" w:rsidRDefault="00B5740F" w:rsidP="00C80491">
      <w:pPr>
        <w:pStyle w:val="EndNoteBibliography"/>
        <w:rPr>
          <w:noProof w:val="0"/>
          <w:lang w:val="en-AU"/>
        </w:rPr>
      </w:pPr>
      <w:r w:rsidRPr="005F7F32">
        <w:rPr>
          <w:noProof w:val="0"/>
          <w:lang w:val="en-AU"/>
        </w:rPr>
        <w:t xml:space="preserve">Kerr, R, Ward, GM, Stentiford, GD, </w:t>
      </w:r>
      <w:proofErr w:type="spellStart"/>
      <w:r w:rsidRPr="005F7F32">
        <w:rPr>
          <w:noProof w:val="0"/>
          <w:lang w:val="en-AU"/>
        </w:rPr>
        <w:t>Alfjorden</w:t>
      </w:r>
      <w:proofErr w:type="spellEnd"/>
      <w:r w:rsidRPr="005F7F32">
        <w:rPr>
          <w:noProof w:val="0"/>
          <w:lang w:val="en-AU"/>
        </w:rPr>
        <w:t xml:space="preserve">, A, Mortensen, S, Bignell, JP, Feist, SW, Villalba, A, </w:t>
      </w:r>
      <w:proofErr w:type="spellStart"/>
      <w:r w:rsidRPr="005F7F32">
        <w:rPr>
          <w:noProof w:val="0"/>
          <w:lang w:val="en-AU"/>
        </w:rPr>
        <w:t>Carballal</w:t>
      </w:r>
      <w:proofErr w:type="spellEnd"/>
      <w:r w:rsidRPr="005F7F32">
        <w:rPr>
          <w:noProof w:val="0"/>
          <w:lang w:val="en-AU"/>
        </w:rPr>
        <w:t xml:space="preserve">, MJ &amp; Cao, A 2018, </w:t>
      </w:r>
      <w:hyperlink r:id="rId482" w:history="1">
        <w:proofErr w:type="spellStart"/>
        <w:r w:rsidRPr="005F7F32">
          <w:rPr>
            <w:rStyle w:val="Hyperlink"/>
            <w:i/>
            <w:noProof w:val="0"/>
            <w:lang w:val="en-AU"/>
          </w:rPr>
          <w:t>Marteilia</w:t>
        </w:r>
        <w:proofErr w:type="spellEnd"/>
        <w:r w:rsidRPr="005F7F32">
          <w:rPr>
            <w:rStyle w:val="Hyperlink"/>
            <w:i/>
            <w:noProof w:val="0"/>
            <w:lang w:val="en-AU"/>
          </w:rPr>
          <w:t xml:space="preserve"> </w:t>
        </w:r>
        <w:proofErr w:type="spellStart"/>
        <w:r w:rsidRPr="005F7F32">
          <w:rPr>
            <w:rStyle w:val="Hyperlink"/>
            <w:i/>
            <w:noProof w:val="0"/>
            <w:lang w:val="en-AU"/>
          </w:rPr>
          <w:t>refringens</w:t>
        </w:r>
        <w:proofErr w:type="spellEnd"/>
        <w:r w:rsidRPr="005F7F32">
          <w:rPr>
            <w:rStyle w:val="Hyperlink"/>
            <w:noProof w:val="0"/>
            <w:lang w:val="en-AU"/>
          </w:rPr>
          <w:t xml:space="preserve"> and </w:t>
        </w:r>
        <w:proofErr w:type="spellStart"/>
        <w:r w:rsidRPr="005F7F32">
          <w:rPr>
            <w:rStyle w:val="Hyperlink"/>
            <w:i/>
            <w:noProof w:val="0"/>
            <w:lang w:val="en-AU"/>
          </w:rPr>
          <w:t>Marteilia</w:t>
        </w:r>
        <w:proofErr w:type="spellEnd"/>
        <w:r w:rsidRPr="005F7F32">
          <w:rPr>
            <w:rStyle w:val="Hyperlink"/>
            <w:i/>
            <w:noProof w:val="0"/>
            <w:lang w:val="en-AU"/>
          </w:rPr>
          <w:t xml:space="preserve"> </w:t>
        </w:r>
        <w:proofErr w:type="spellStart"/>
        <w:r w:rsidRPr="005F7F32">
          <w:rPr>
            <w:rStyle w:val="Hyperlink"/>
            <w:i/>
            <w:noProof w:val="0"/>
            <w:lang w:val="en-AU"/>
          </w:rPr>
          <w:t>pararefringens</w:t>
        </w:r>
        <w:proofErr w:type="spellEnd"/>
        <w:r w:rsidRPr="005F7F32">
          <w:rPr>
            <w:rStyle w:val="Hyperlink"/>
            <w:i/>
            <w:noProof w:val="0"/>
            <w:lang w:val="en-AU"/>
          </w:rPr>
          <w:t xml:space="preserve"> </w:t>
        </w:r>
        <w:r w:rsidRPr="005F7F32">
          <w:rPr>
            <w:rStyle w:val="Hyperlink"/>
            <w:noProof w:val="0"/>
            <w:lang w:val="en-AU"/>
          </w:rPr>
          <w:t xml:space="preserve">sp. </w:t>
        </w:r>
        <w:proofErr w:type="spellStart"/>
        <w:r w:rsidRPr="005F7F32">
          <w:rPr>
            <w:rStyle w:val="Hyperlink"/>
            <w:noProof w:val="0"/>
            <w:lang w:val="en-AU"/>
          </w:rPr>
          <w:t>nov.</w:t>
        </w:r>
        <w:proofErr w:type="spellEnd"/>
        <w:r w:rsidRPr="005F7F32">
          <w:rPr>
            <w:rStyle w:val="Hyperlink"/>
            <w:noProof w:val="0"/>
            <w:lang w:val="en-AU"/>
          </w:rPr>
          <w:t xml:space="preserve"> are distinct parasites of bivalves and have different European distributions</w:t>
        </w:r>
      </w:hyperlink>
      <w:r w:rsidRPr="005F7F32">
        <w:rPr>
          <w:noProof w:val="0"/>
          <w:lang w:val="en-AU"/>
        </w:rPr>
        <w:t xml:space="preserve">, </w:t>
      </w:r>
      <w:r w:rsidRPr="005F7F32">
        <w:rPr>
          <w:i/>
          <w:noProof w:val="0"/>
          <w:lang w:val="en-AU"/>
        </w:rPr>
        <w:t>Parasitology</w:t>
      </w:r>
      <w:r w:rsidRPr="005F7F32">
        <w:rPr>
          <w:noProof w:val="0"/>
          <w:lang w:val="en-AU"/>
        </w:rPr>
        <w:t>, vol. 145, no. 11, pp. 1483-92</w:t>
      </w:r>
      <w:r w:rsidR="005F7F32">
        <w:rPr>
          <w:noProof w:val="0"/>
          <w:lang w:val="en-AU"/>
        </w:rPr>
        <w:t xml:space="preserve">, DOI: </w:t>
      </w:r>
      <w:r w:rsidR="005F7F32" w:rsidRPr="005F7F32">
        <w:rPr>
          <w:noProof w:val="0"/>
          <w:lang w:val="en-AU"/>
        </w:rPr>
        <w:t>10.1017/s003118201800063x</w:t>
      </w:r>
      <w:r w:rsidR="005F7F32">
        <w:rPr>
          <w:noProof w:val="0"/>
          <w:lang w:val="en-AU"/>
        </w:rPr>
        <w:t>.</w:t>
      </w:r>
    </w:p>
    <w:p w14:paraId="679331AE" w14:textId="3394A085" w:rsidR="007F3FF4" w:rsidRPr="007F3FF4" w:rsidRDefault="007F3FF4" w:rsidP="007F3FF4">
      <w:pPr>
        <w:rPr>
          <w:rFonts w:ascii="Calibri" w:hAnsi="Calibri" w:cs="Calibri"/>
        </w:rPr>
      </w:pPr>
      <w:r w:rsidRPr="007F3FF4">
        <w:rPr>
          <w:rFonts w:ascii="Calibri" w:hAnsi="Calibri" w:cs="Calibri"/>
        </w:rPr>
        <w:t xml:space="preserve">Kikuchi, T &amp; Tanaka, M 1978, Ecological studies on benthic macro fauna in Tomoe Cove, Amakusa, Japan Part 1. Community structure and seasonal change of biomass, </w:t>
      </w:r>
      <w:r w:rsidRPr="007F3FF4">
        <w:rPr>
          <w:rFonts w:ascii="Calibri" w:hAnsi="Calibri" w:cs="Calibri"/>
          <w:i/>
          <w:iCs/>
        </w:rPr>
        <w:t>Publications from the Amakusa Marine Biological Laboratory Kyushu University</w:t>
      </w:r>
      <w:r w:rsidRPr="007F3FF4">
        <w:rPr>
          <w:rFonts w:ascii="Calibri" w:hAnsi="Calibri" w:cs="Calibri"/>
        </w:rPr>
        <w:t>, vol. 4, no. 3, pp. 189-214</w:t>
      </w:r>
      <w:r>
        <w:rPr>
          <w:rFonts w:ascii="Calibri" w:hAnsi="Calibri" w:cs="Calibri"/>
        </w:rPr>
        <w:t>.</w:t>
      </w:r>
    </w:p>
    <w:p w14:paraId="091F47F0" w14:textId="6B5F5163" w:rsidR="006939E1" w:rsidRDefault="00B5740F" w:rsidP="00C80491">
      <w:pPr>
        <w:pStyle w:val="EndNoteBibliography"/>
        <w:rPr>
          <w:noProof w:val="0"/>
          <w:lang w:val="en-AU"/>
        </w:rPr>
      </w:pPr>
      <w:r w:rsidRPr="005F7F32">
        <w:rPr>
          <w:noProof w:val="0"/>
          <w:lang w:val="en-AU"/>
        </w:rPr>
        <w:t xml:space="preserve">Kimmerer, WJ, Gartside, E &amp; Orsi, JJ 1994, </w:t>
      </w:r>
      <w:hyperlink r:id="rId483" w:history="1">
        <w:r w:rsidRPr="005F7F32">
          <w:rPr>
            <w:rStyle w:val="Hyperlink"/>
            <w:noProof w:val="0"/>
            <w:lang w:val="en-AU"/>
          </w:rPr>
          <w:t>Predation by an introduced clam as the likely cause of substantial declines in zooplankton of San Francisco Bay</w:t>
        </w:r>
      </w:hyperlink>
      <w:r w:rsidRPr="005F7F32">
        <w:rPr>
          <w:noProof w:val="0"/>
          <w:lang w:val="en-AU"/>
        </w:rPr>
        <w:t xml:space="preserve">, </w:t>
      </w:r>
      <w:r w:rsidRPr="005F7F32">
        <w:rPr>
          <w:i/>
          <w:noProof w:val="0"/>
          <w:lang w:val="en-AU"/>
        </w:rPr>
        <w:t>Marine Ecology Progress Series</w:t>
      </w:r>
      <w:r w:rsidRPr="005F7F32">
        <w:rPr>
          <w:noProof w:val="0"/>
          <w:lang w:val="en-AU"/>
        </w:rPr>
        <w:t xml:space="preserve">, </w:t>
      </w:r>
      <w:r w:rsidR="005F7F32" w:rsidRPr="005F7F32">
        <w:rPr>
          <w:noProof w:val="0"/>
          <w:lang w:val="en-AU"/>
        </w:rPr>
        <w:t xml:space="preserve">vol. 113, </w:t>
      </w:r>
      <w:r w:rsidRPr="005F7F32">
        <w:rPr>
          <w:noProof w:val="0"/>
          <w:lang w:val="en-AU"/>
        </w:rPr>
        <w:t>pp. 81-93</w:t>
      </w:r>
      <w:r w:rsidR="005F7F32" w:rsidRPr="005F7F32">
        <w:rPr>
          <w:noProof w:val="0"/>
          <w:lang w:val="en-AU"/>
        </w:rPr>
        <w:t>, DOI: 10.3354/MEPS113081.</w:t>
      </w:r>
    </w:p>
    <w:p w14:paraId="607781E1" w14:textId="7D753050" w:rsidR="007F3FF4" w:rsidRDefault="007F3FF4" w:rsidP="00C80491">
      <w:pPr>
        <w:pStyle w:val="EndNoteBibliography"/>
        <w:rPr>
          <w:noProof w:val="0"/>
          <w:lang w:val="en-AU"/>
        </w:rPr>
      </w:pPr>
      <w:r w:rsidRPr="007F3FF4">
        <w:rPr>
          <w:noProof w:val="0"/>
          <w:lang w:val="en-AU"/>
        </w:rPr>
        <w:t>Kimura, T</w:t>
      </w:r>
      <w:r>
        <w:rPr>
          <w:noProof w:val="0"/>
          <w:lang w:val="en-AU"/>
        </w:rPr>
        <w:t xml:space="preserve"> &amp; </w:t>
      </w:r>
      <w:r w:rsidRPr="007F3FF4">
        <w:rPr>
          <w:noProof w:val="0"/>
          <w:lang w:val="en-AU"/>
        </w:rPr>
        <w:t>Sekiguchi, H</w:t>
      </w:r>
      <w:r>
        <w:rPr>
          <w:noProof w:val="0"/>
          <w:lang w:val="en-AU"/>
        </w:rPr>
        <w:t xml:space="preserve"> </w:t>
      </w:r>
      <w:r w:rsidRPr="007F3FF4">
        <w:rPr>
          <w:noProof w:val="0"/>
          <w:lang w:val="en-AU"/>
        </w:rPr>
        <w:t>1994</w:t>
      </w:r>
      <w:r>
        <w:rPr>
          <w:noProof w:val="0"/>
          <w:lang w:val="en-AU"/>
        </w:rPr>
        <w:t xml:space="preserve">, </w:t>
      </w:r>
      <w:hyperlink r:id="rId484" w:history="1">
        <w:r w:rsidRPr="007F3FF4">
          <w:rPr>
            <w:rStyle w:val="Hyperlink"/>
            <w:noProof w:val="0"/>
            <w:lang w:val="en-AU"/>
          </w:rPr>
          <w:t xml:space="preserve">Larval and post-larval shell morphology of two </w:t>
        </w:r>
        <w:proofErr w:type="spellStart"/>
        <w:r w:rsidRPr="007F3FF4">
          <w:rPr>
            <w:rStyle w:val="Hyperlink"/>
            <w:noProof w:val="0"/>
            <w:lang w:val="en-AU"/>
          </w:rPr>
          <w:t>Mytilid</w:t>
        </w:r>
        <w:proofErr w:type="spellEnd"/>
        <w:r w:rsidRPr="007F3FF4">
          <w:rPr>
            <w:rStyle w:val="Hyperlink"/>
            <w:noProof w:val="0"/>
            <w:lang w:val="en-AU"/>
          </w:rPr>
          <w:t xml:space="preserve"> species </w:t>
        </w:r>
        <w:proofErr w:type="spellStart"/>
        <w:r w:rsidRPr="007F3FF4">
          <w:rPr>
            <w:rStyle w:val="Hyperlink"/>
            <w:i/>
            <w:iCs/>
            <w:noProof w:val="0"/>
            <w:lang w:val="en-AU"/>
          </w:rPr>
          <w:t>Musculista</w:t>
        </w:r>
        <w:proofErr w:type="spellEnd"/>
        <w:r w:rsidRPr="007F3FF4">
          <w:rPr>
            <w:rStyle w:val="Hyperlink"/>
            <w:i/>
            <w:iCs/>
            <w:noProof w:val="0"/>
            <w:lang w:val="en-AU"/>
          </w:rPr>
          <w:t xml:space="preserve"> senhousia</w:t>
        </w:r>
        <w:r w:rsidRPr="007F3FF4">
          <w:rPr>
            <w:rStyle w:val="Hyperlink"/>
            <w:noProof w:val="0"/>
            <w:lang w:val="en-AU"/>
          </w:rPr>
          <w:t xml:space="preserve"> (Benson) and </w:t>
        </w:r>
        <w:proofErr w:type="spellStart"/>
        <w:r w:rsidRPr="007F3FF4">
          <w:rPr>
            <w:rStyle w:val="Hyperlink"/>
            <w:i/>
            <w:iCs/>
            <w:noProof w:val="0"/>
            <w:lang w:val="en-AU"/>
          </w:rPr>
          <w:t>Limnopuerna</w:t>
        </w:r>
        <w:proofErr w:type="spellEnd"/>
        <w:r w:rsidRPr="007F3FF4">
          <w:rPr>
            <w:rStyle w:val="Hyperlink"/>
            <w:i/>
            <w:iCs/>
            <w:noProof w:val="0"/>
            <w:lang w:val="en-AU"/>
          </w:rPr>
          <w:t xml:space="preserve"> </w:t>
        </w:r>
        <w:proofErr w:type="spellStart"/>
        <w:r w:rsidRPr="007F3FF4">
          <w:rPr>
            <w:rStyle w:val="Hyperlink"/>
            <w:i/>
            <w:iCs/>
            <w:noProof w:val="0"/>
            <w:lang w:val="en-AU"/>
          </w:rPr>
          <w:t>fortunei</w:t>
        </w:r>
        <w:proofErr w:type="spellEnd"/>
        <w:r w:rsidRPr="007F3FF4">
          <w:rPr>
            <w:rStyle w:val="Hyperlink"/>
            <w:i/>
            <w:iCs/>
            <w:noProof w:val="0"/>
            <w:lang w:val="en-AU"/>
          </w:rPr>
          <w:t xml:space="preserve"> </w:t>
        </w:r>
        <w:proofErr w:type="spellStart"/>
        <w:r w:rsidRPr="007F3FF4">
          <w:rPr>
            <w:rStyle w:val="Hyperlink"/>
            <w:i/>
            <w:iCs/>
            <w:noProof w:val="0"/>
            <w:lang w:val="en-AU"/>
          </w:rPr>
          <w:t>kikuchii</w:t>
        </w:r>
        <w:proofErr w:type="spellEnd"/>
        <w:r w:rsidRPr="007F3FF4">
          <w:rPr>
            <w:rStyle w:val="Hyperlink"/>
            <w:noProof w:val="0"/>
            <w:lang w:val="en-AU"/>
          </w:rPr>
          <w:t xml:space="preserve"> Habe</w:t>
        </w:r>
      </w:hyperlink>
      <w:r>
        <w:rPr>
          <w:noProof w:val="0"/>
          <w:lang w:val="en-AU"/>
        </w:rPr>
        <w:t>,</w:t>
      </w:r>
      <w:r w:rsidRPr="007F3FF4">
        <w:rPr>
          <w:noProof w:val="0"/>
          <w:lang w:val="en-AU"/>
        </w:rPr>
        <w:t xml:space="preserve"> </w:t>
      </w:r>
      <w:r w:rsidRPr="007F3FF4">
        <w:rPr>
          <w:i/>
          <w:iCs/>
          <w:noProof w:val="0"/>
          <w:lang w:val="en-AU"/>
        </w:rPr>
        <w:t>VENUS (The Japanese Journals of Malacology),</w:t>
      </w:r>
      <w:r>
        <w:rPr>
          <w:noProof w:val="0"/>
          <w:lang w:val="en-AU"/>
        </w:rPr>
        <w:t xml:space="preserve"> vol. </w:t>
      </w:r>
      <w:r w:rsidRPr="007F3FF4">
        <w:rPr>
          <w:noProof w:val="0"/>
          <w:lang w:val="en-AU"/>
        </w:rPr>
        <w:t>53</w:t>
      </w:r>
      <w:r>
        <w:rPr>
          <w:noProof w:val="0"/>
          <w:lang w:val="en-AU"/>
        </w:rPr>
        <w:t xml:space="preserve">, no. </w:t>
      </w:r>
      <w:r w:rsidRPr="007F3FF4">
        <w:rPr>
          <w:noProof w:val="0"/>
          <w:lang w:val="en-AU"/>
        </w:rPr>
        <w:t>4</w:t>
      </w:r>
      <w:r>
        <w:rPr>
          <w:noProof w:val="0"/>
          <w:lang w:val="en-AU"/>
        </w:rPr>
        <w:t xml:space="preserve">, pp. </w:t>
      </w:r>
      <w:r w:rsidRPr="007F3FF4">
        <w:rPr>
          <w:noProof w:val="0"/>
          <w:lang w:val="en-AU"/>
        </w:rPr>
        <w:t>307</w:t>
      </w:r>
      <w:r>
        <w:rPr>
          <w:noProof w:val="0"/>
          <w:lang w:val="en-AU"/>
        </w:rPr>
        <w:t>-</w:t>
      </w:r>
      <w:r w:rsidRPr="007F3FF4">
        <w:rPr>
          <w:noProof w:val="0"/>
          <w:lang w:val="en-AU"/>
        </w:rPr>
        <w:t>318.</w:t>
      </w:r>
    </w:p>
    <w:p w14:paraId="4789D70D" w14:textId="08A6F52F" w:rsidR="000D4121" w:rsidRPr="005F7F32" w:rsidRDefault="000D4121" w:rsidP="00C80491">
      <w:pPr>
        <w:pStyle w:val="EndNoteBibliography"/>
        <w:rPr>
          <w:noProof w:val="0"/>
          <w:lang w:val="en-AU"/>
        </w:rPr>
      </w:pPr>
      <w:r>
        <w:rPr>
          <w:noProof w:val="0"/>
          <w:lang w:val="en-AU"/>
        </w:rPr>
        <w:t xml:space="preserve">Kinch, J, </w:t>
      </w:r>
      <w:proofErr w:type="spellStart"/>
      <w:r>
        <w:rPr>
          <w:noProof w:val="0"/>
          <w:lang w:val="en-AU"/>
        </w:rPr>
        <w:t>Vitukawalu</w:t>
      </w:r>
      <w:proofErr w:type="spellEnd"/>
      <w:r>
        <w:rPr>
          <w:noProof w:val="0"/>
          <w:lang w:val="en-AU"/>
        </w:rPr>
        <w:t xml:space="preserve">, B, Nalasi, U, </w:t>
      </w:r>
      <w:proofErr w:type="spellStart"/>
      <w:r>
        <w:rPr>
          <w:noProof w:val="0"/>
          <w:lang w:val="en-AU"/>
        </w:rPr>
        <w:t>Waqainabete</w:t>
      </w:r>
      <w:proofErr w:type="spellEnd"/>
      <w:r>
        <w:rPr>
          <w:noProof w:val="0"/>
          <w:lang w:val="en-AU"/>
        </w:rPr>
        <w:t xml:space="preserve">, P &amp; Bermudes, M 2019, </w:t>
      </w:r>
      <w:hyperlink r:id="rId485" w:history="1">
        <w:r w:rsidRPr="000D4121">
          <w:rPr>
            <w:rStyle w:val="Hyperlink"/>
            <w:noProof w:val="0"/>
            <w:lang w:val="en-AU"/>
          </w:rPr>
          <w:t>Socioeconomic aspects of oyster harvesting in the Rewa River delta area, Fiji,</w:t>
        </w:r>
      </w:hyperlink>
      <w:r>
        <w:rPr>
          <w:noProof w:val="0"/>
          <w:lang w:val="en-AU"/>
        </w:rPr>
        <w:t xml:space="preserve"> pp. 45-54, accessed on 23 July 2024. </w:t>
      </w:r>
    </w:p>
    <w:p w14:paraId="6DFB9895" w14:textId="6E63BF2C" w:rsidR="006939E1" w:rsidRPr="005F7F32" w:rsidRDefault="00B5740F" w:rsidP="00C80491">
      <w:pPr>
        <w:pStyle w:val="EndNoteBibliography"/>
        <w:rPr>
          <w:noProof w:val="0"/>
          <w:lang w:val="en-AU"/>
        </w:rPr>
      </w:pPr>
      <w:r w:rsidRPr="005F7F32">
        <w:rPr>
          <w:noProof w:val="0"/>
          <w:lang w:val="en-AU"/>
        </w:rPr>
        <w:t xml:space="preserve">Knott, DM, Wenner, EL &amp; King, RA 2008, </w:t>
      </w:r>
      <w:hyperlink r:id="rId486" w:history="1">
        <w:r w:rsidRPr="005F7F32">
          <w:rPr>
            <w:rStyle w:val="Hyperlink"/>
            <w:noProof w:val="0"/>
            <w:lang w:val="en-AU"/>
          </w:rPr>
          <w:t xml:space="preserve">A Preliminary Assessment of the Occurrence of the Invasive Asian Green Mussel, </w:t>
        </w:r>
        <w:r w:rsidRPr="005F7F32">
          <w:rPr>
            <w:rStyle w:val="Hyperlink"/>
            <w:i/>
            <w:iCs/>
            <w:noProof w:val="0"/>
            <w:lang w:val="en-AU"/>
          </w:rPr>
          <w:t>Perna viridis</w:t>
        </w:r>
        <w:r w:rsidRPr="005F7F32">
          <w:rPr>
            <w:rStyle w:val="Hyperlink"/>
            <w:noProof w:val="0"/>
            <w:lang w:val="en-AU"/>
          </w:rPr>
          <w:t>, in South Carolina</w:t>
        </w:r>
      </w:hyperlink>
      <w:r w:rsidR="00F50B70" w:rsidRPr="005F7F32">
        <w:rPr>
          <w:noProof w:val="0"/>
          <w:lang w:val="en-AU"/>
        </w:rPr>
        <w:t>, Report to the South Caroline Sea Grant Consortium, South Carolina, USA. NOAA NA06OAR4170015 p. 25.</w:t>
      </w:r>
    </w:p>
    <w:p w14:paraId="7B8C15D5" w14:textId="3F96FEF9" w:rsidR="007F3FF4" w:rsidRDefault="007F3FF4" w:rsidP="00C80491">
      <w:pPr>
        <w:pStyle w:val="EndNoteBibliography"/>
        <w:rPr>
          <w:noProof w:val="0"/>
          <w:lang w:val="en-AU"/>
        </w:rPr>
      </w:pPr>
      <w:r w:rsidRPr="007F3FF4">
        <w:rPr>
          <w:noProof w:val="0"/>
          <w:lang w:val="en-AU"/>
        </w:rPr>
        <w:t xml:space="preserve">Kovalev, EA, </w:t>
      </w:r>
      <w:proofErr w:type="spellStart"/>
      <w:r w:rsidRPr="007F3FF4">
        <w:rPr>
          <w:noProof w:val="0"/>
          <w:lang w:val="en-AU"/>
        </w:rPr>
        <w:t>Zhivoglyadova</w:t>
      </w:r>
      <w:proofErr w:type="spellEnd"/>
      <w:r w:rsidRPr="007F3FF4">
        <w:rPr>
          <w:noProof w:val="0"/>
          <w:lang w:val="en-AU"/>
        </w:rPr>
        <w:t xml:space="preserve">, LA, </w:t>
      </w:r>
      <w:proofErr w:type="spellStart"/>
      <w:r w:rsidRPr="007F3FF4">
        <w:rPr>
          <w:noProof w:val="0"/>
          <w:lang w:val="en-AU"/>
        </w:rPr>
        <w:t>Revkov</w:t>
      </w:r>
      <w:proofErr w:type="spellEnd"/>
      <w:r w:rsidRPr="007F3FF4">
        <w:rPr>
          <w:noProof w:val="0"/>
          <w:lang w:val="en-AU"/>
        </w:rPr>
        <w:t>, NK</w:t>
      </w:r>
      <w:r>
        <w:rPr>
          <w:noProof w:val="0"/>
          <w:lang w:val="en-AU"/>
        </w:rPr>
        <w:t xml:space="preserve">, </w:t>
      </w:r>
      <w:proofErr w:type="spellStart"/>
      <w:r>
        <w:rPr>
          <w:noProof w:val="0"/>
          <w:lang w:val="en-AU"/>
        </w:rPr>
        <w:t>Frolenko</w:t>
      </w:r>
      <w:proofErr w:type="spellEnd"/>
      <w:r>
        <w:rPr>
          <w:noProof w:val="0"/>
          <w:lang w:val="en-AU"/>
        </w:rPr>
        <w:t>, LN &amp; Afanasyev, DF</w:t>
      </w:r>
      <w:r w:rsidRPr="007F3FF4">
        <w:rPr>
          <w:noProof w:val="0"/>
          <w:lang w:val="en-AU"/>
        </w:rPr>
        <w:t xml:space="preserve"> 2017</w:t>
      </w:r>
      <w:r>
        <w:rPr>
          <w:noProof w:val="0"/>
          <w:lang w:val="en-AU"/>
        </w:rPr>
        <w:t xml:space="preserve">, </w:t>
      </w:r>
      <w:hyperlink r:id="rId487" w:history="1">
        <w:r w:rsidRPr="007F3FF4">
          <w:rPr>
            <w:rStyle w:val="Hyperlink"/>
            <w:noProof w:val="0"/>
            <w:lang w:val="en-AU"/>
          </w:rPr>
          <w:t xml:space="preserve">First record of the bivalve </w:t>
        </w:r>
        <w:r w:rsidRPr="007F3FF4">
          <w:rPr>
            <w:rStyle w:val="Hyperlink"/>
            <w:i/>
            <w:iCs/>
            <w:noProof w:val="0"/>
            <w:lang w:val="en-AU"/>
          </w:rPr>
          <w:t>Arcuatula senhousia</w:t>
        </w:r>
        <w:r w:rsidRPr="007F3FF4">
          <w:rPr>
            <w:rStyle w:val="Hyperlink"/>
            <w:noProof w:val="0"/>
            <w:lang w:val="en-AU"/>
          </w:rPr>
          <w:t xml:space="preserve"> (Benson, 1842) in the Russian part of the Azov-Black Sea basin</w:t>
        </w:r>
      </w:hyperlink>
      <w:r>
        <w:rPr>
          <w:noProof w:val="0"/>
          <w:lang w:val="en-AU"/>
        </w:rPr>
        <w:t xml:space="preserve">, </w:t>
      </w:r>
      <w:r w:rsidRPr="007F3FF4">
        <w:rPr>
          <w:i/>
          <w:iCs/>
          <w:noProof w:val="0"/>
          <w:lang w:val="en-AU"/>
        </w:rPr>
        <w:t>Russian Journal of Biological Invasions</w:t>
      </w:r>
      <w:r>
        <w:rPr>
          <w:noProof w:val="0"/>
          <w:lang w:val="en-AU"/>
        </w:rPr>
        <w:t xml:space="preserve">, vol. </w:t>
      </w:r>
      <w:r w:rsidRPr="007F3FF4">
        <w:rPr>
          <w:noProof w:val="0"/>
          <w:lang w:val="en-AU"/>
        </w:rPr>
        <w:t xml:space="preserve">8, </w:t>
      </w:r>
      <w:r>
        <w:rPr>
          <w:noProof w:val="0"/>
          <w:lang w:val="en-AU"/>
        </w:rPr>
        <w:t xml:space="preserve">pp. </w:t>
      </w:r>
      <w:r w:rsidRPr="007F3FF4">
        <w:rPr>
          <w:noProof w:val="0"/>
          <w:lang w:val="en-AU"/>
        </w:rPr>
        <w:t>316</w:t>
      </w:r>
      <w:r>
        <w:rPr>
          <w:noProof w:val="0"/>
          <w:lang w:val="en-AU"/>
        </w:rPr>
        <w:t>-</w:t>
      </w:r>
      <w:r w:rsidRPr="007F3FF4">
        <w:rPr>
          <w:noProof w:val="0"/>
          <w:lang w:val="en-AU"/>
        </w:rPr>
        <w:t>320</w:t>
      </w:r>
      <w:r>
        <w:rPr>
          <w:noProof w:val="0"/>
          <w:lang w:val="en-AU"/>
        </w:rPr>
        <w:t xml:space="preserve">, DOI: </w:t>
      </w:r>
      <w:r w:rsidRPr="007F3FF4">
        <w:rPr>
          <w:noProof w:val="0"/>
          <w:lang w:val="en-AU"/>
        </w:rPr>
        <w:t>10.1134/S2075111717040051</w:t>
      </w:r>
      <w:r>
        <w:rPr>
          <w:noProof w:val="0"/>
          <w:lang w:val="en-AU"/>
        </w:rPr>
        <w:t xml:space="preserve">. </w:t>
      </w:r>
    </w:p>
    <w:p w14:paraId="40D142D7" w14:textId="48AEF8D0" w:rsidR="0056697E" w:rsidRDefault="00B5740F" w:rsidP="00C80491">
      <w:pPr>
        <w:pStyle w:val="EndNoteBibliography"/>
        <w:rPr>
          <w:noProof w:val="0"/>
          <w:lang w:val="en-AU"/>
        </w:rPr>
      </w:pPr>
      <w:proofErr w:type="spellStart"/>
      <w:r w:rsidRPr="005F7F32">
        <w:rPr>
          <w:noProof w:val="0"/>
          <w:lang w:val="en-AU"/>
        </w:rPr>
        <w:t>Krassoi</w:t>
      </w:r>
      <w:proofErr w:type="spellEnd"/>
      <w:r w:rsidRPr="005F7F32">
        <w:rPr>
          <w:noProof w:val="0"/>
          <w:lang w:val="en-AU"/>
        </w:rPr>
        <w:t xml:space="preserve">, FR, Brown, KR, Bishop, MJ, Kelaher, BP &amp; Summerhayes, S 2008, </w:t>
      </w:r>
      <w:hyperlink r:id="rId488" w:history="1">
        <w:r w:rsidRPr="005F7F32">
          <w:rPr>
            <w:rStyle w:val="Hyperlink"/>
            <w:noProof w:val="0"/>
            <w:lang w:val="en-AU"/>
          </w:rPr>
          <w:t>Condition-specific competition allows coexistence of competitively superior exotic oysters with native oysters</w:t>
        </w:r>
      </w:hyperlink>
      <w:r w:rsidRPr="005F7F32">
        <w:rPr>
          <w:noProof w:val="0"/>
          <w:lang w:val="en-AU"/>
        </w:rPr>
        <w:t xml:space="preserve">, </w:t>
      </w:r>
      <w:r w:rsidRPr="005F7F32">
        <w:rPr>
          <w:i/>
          <w:noProof w:val="0"/>
          <w:lang w:val="en-AU"/>
        </w:rPr>
        <w:t>Journal of Animal Ecology</w:t>
      </w:r>
      <w:r w:rsidRPr="005F7F32">
        <w:rPr>
          <w:noProof w:val="0"/>
          <w:lang w:val="en-AU"/>
        </w:rPr>
        <w:t>,</w:t>
      </w:r>
      <w:r w:rsidR="00B32D1B" w:rsidRPr="005F7F32">
        <w:rPr>
          <w:noProof w:val="0"/>
          <w:lang w:val="en-AU"/>
        </w:rPr>
        <w:t xml:space="preserve"> vol. 77, no. 1,</w:t>
      </w:r>
      <w:r w:rsidRPr="005F7F32">
        <w:rPr>
          <w:noProof w:val="0"/>
          <w:lang w:val="en-AU"/>
        </w:rPr>
        <w:t xml:space="preserve"> pp. 5-15</w:t>
      </w:r>
      <w:r w:rsidR="005F7F32">
        <w:rPr>
          <w:noProof w:val="0"/>
          <w:lang w:val="en-AU"/>
        </w:rPr>
        <w:t xml:space="preserve">, DOI: </w:t>
      </w:r>
      <w:r w:rsidR="005F7F32" w:rsidRPr="005F7F32">
        <w:rPr>
          <w:noProof w:val="0"/>
          <w:lang w:val="en-AU"/>
        </w:rPr>
        <w:t>10.1111/j.1365-2656.2007.01316.x</w:t>
      </w:r>
      <w:r w:rsidR="005F7F32">
        <w:rPr>
          <w:noProof w:val="0"/>
          <w:lang w:val="en-AU"/>
        </w:rPr>
        <w:t>.</w:t>
      </w:r>
    </w:p>
    <w:p w14:paraId="2D0EF831" w14:textId="7BE778E4" w:rsidR="00C80491" w:rsidRDefault="00C80491" w:rsidP="00C80491">
      <w:pPr>
        <w:pStyle w:val="EndNoteBibliography"/>
        <w:rPr>
          <w:noProof w:val="0"/>
          <w:lang w:val="en-AU"/>
        </w:rPr>
      </w:pPr>
      <w:r>
        <w:rPr>
          <w:noProof w:val="0"/>
          <w:lang w:val="en-AU"/>
        </w:rPr>
        <w:t xml:space="preserve">Kruger, H, Ticehurst, J &amp; Van der Meer Simo, A 2022, </w:t>
      </w:r>
      <w:hyperlink r:id="rId489" w:history="1">
        <w:r w:rsidRPr="00C80491">
          <w:rPr>
            <w:rStyle w:val="Hyperlink"/>
            <w:noProof w:val="0"/>
            <w:lang w:val="en-AU"/>
          </w:rPr>
          <w:t>Making general surveillance programs work – Lessons from nine case studies</w:t>
        </w:r>
      </w:hyperlink>
      <w:r>
        <w:rPr>
          <w:noProof w:val="0"/>
          <w:lang w:val="en-AU"/>
        </w:rPr>
        <w:t xml:space="preserve">, ABARES, Research Report 22.10, Canberra, April, CC BY 4.0, DOI: </w:t>
      </w:r>
      <w:r w:rsidRPr="00C80491">
        <w:rPr>
          <w:noProof w:val="0"/>
          <w:lang w:val="en-AU"/>
        </w:rPr>
        <w:t>10.25814/j4wh-1639</w:t>
      </w:r>
      <w:r>
        <w:rPr>
          <w:noProof w:val="0"/>
          <w:lang w:val="en-AU"/>
        </w:rPr>
        <w:t>.</w:t>
      </w:r>
    </w:p>
    <w:p w14:paraId="792A5849" w14:textId="4BEA2031" w:rsidR="00246AE3" w:rsidRPr="005F7F32" w:rsidRDefault="00246AE3" w:rsidP="00C80491">
      <w:pPr>
        <w:pStyle w:val="EndNoteBibliography"/>
        <w:rPr>
          <w:noProof w:val="0"/>
          <w:lang w:val="en-AU"/>
        </w:rPr>
      </w:pPr>
      <w:proofErr w:type="spellStart"/>
      <w:r w:rsidRPr="00246AE3">
        <w:rPr>
          <w:noProof w:val="0"/>
          <w:lang w:val="en-AU"/>
        </w:rPr>
        <w:lastRenderedPageBreak/>
        <w:t>Lamprell</w:t>
      </w:r>
      <w:proofErr w:type="spellEnd"/>
      <w:r w:rsidRPr="00246AE3">
        <w:rPr>
          <w:noProof w:val="0"/>
          <w:lang w:val="en-AU"/>
        </w:rPr>
        <w:t xml:space="preserve">, K &amp; Healy, J 1998, </w:t>
      </w:r>
      <w:hyperlink r:id="rId490" w:history="1">
        <w:r w:rsidRPr="00246AE3">
          <w:rPr>
            <w:rStyle w:val="Hyperlink"/>
            <w:noProof w:val="0"/>
            <w:lang w:val="en-AU"/>
          </w:rPr>
          <w:t>Bivalves of Australia. Volume 2</w:t>
        </w:r>
      </w:hyperlink>
      <w:r w:rsidRPr="00246AE3">
        <w:rPr>
          <w:noProof w:val="0"/>
          <w:lang w:val="en-AU"/>
        </w:rPr>
        <w:t xml:space="preserve">, </w:t>
      </w:r>
      <w:proofErr w:type="spellStart"/>
      <w:r w:rsidRPr="00246AE3">
        <w:rPr>
          <w:noProof w:val="0"/>
          <w:lang w:val="en-AU"/>
        </w:rPr>
        <w:t>Backhuys</w:t>
      </w:r>
      <w:proofErr w:type="spellEnd"/>
      <w:r w:rsidRPr="00246AE3">
        <w:rPr>
          <w:noProof w:val="0"/>
          <w:lang w:val="en-AU"/>
        </w:rPr>
        <w:t xml:space="preserve"> Publishers, Netherlands</w:t>
      </w:r>
      <w:r>
        <w:rPr>
          <w:noProof w:val="0"/>
          <w:lang w:val="en-AU"/>
        </w:rPr>
        <w:t xml:space="preserve">, accessed on 23 July 2024. </w:t>
      </w:r>
    </w:p>
    <w:p w14:paraId="37A7E4F0" w14:textId="38CBE9AC" w:rsidR="006939E1" w:rsidRPr="005F7F32" w:rsidRDefault="00B5740F" w:rsidP="00C80491">
      <w:pPr>
        <w:pStyle w:val="EndNoteBibliography"/>
        <w:rPr>
          <w:noProof w:val="0"/>
          <w:lang w:val="en-AU"/>
        </w:rPr>
      </w:pPr>
      <w:r w:rsidRPr="005F7F32">
        <w:rPr>
          <w:noProof w:val="0"/>
          <w:lang w:val="en-AU"/>
        </w:rPr>
        <w:t xml:space="preserve">Lane, HS, Webb, SC &amp; Duncan J, 2016, </w:t>
      </w:r>
      <w:hyperlink r:id="rId491" w:history="1">
        <w:proofErr w:type="spellStart"/>
        <w:r w:rsidRPr="005F7F32">
          <w:rPr>
            <w:rStyle w:val="Hyperlink"/>
            <w:i/>
            <w:iCs/>
            <w:noProof w:val="0"/>
            <w:lang w:val="en-AU"/>
          </w:rPr>
          <w:t>Bonamia</w:t>
        </w:r>
        <w:proofErr w:type="spellEnd"/>
        <w:r w:rsidRPr="005F7F32">
          <w:rPr>
            <w:rStyle w:val="Hyperlink"/>
            <w:i/>
            <w:iCs/>
            <w:noProof w:val="0"/>
            <w:lang w:val="en-AU"/>
          </w:rPr>
          <w:t xml:space="preserve"> </w:t>
        </w:r>
        <w:proofErr w:type="spellStart"/>
        <w:r w:rsidRPr="005F7F32">
          <w:rPr>
            <w:rStyle w:val="Hyperlink"/>
            <w:i/>
            <w:iCs/>
            <w:noProof w:val="0"/>
            <w:lang w:val="en-AU"/>
          </w:rPr>
          <w:t>ostreae</w:t>
        </w:r>
        <w:proofErr w:type="spellEnd"/>
        <w:r w:rsidRPr="005F7F32">
          <w:rPr>
            <w:rStyle w:val="Hyperlink"/>
            <w:i/>
            <w:iCs/>
            <w:noProof w:val="0"/>
            <w:lang w:val="en-AU"/>
          </w:rPr>
          <w:t xml:space="preserve"> </w:t>
        </w:r>
        <w:r w:rsidRPr="005F7F32">
          <w:rPr>
            <w:rStyle w:val="Hyperlink"/>
            <w:noProof w:val="0"/>
            <w:lang w:val="en-AU"/>
          </w:rPr>
          <w:t xml:space="preserve">in the New Zealand oyster </w:t>
        </w:r>
        <w:r w:rsidRPr="005F7F32">
          <w:rPr>
            <w:rStyle w:val="Hyperlink"/>
            <w:i/>
            <w:iCs/>
            <w:noProof w:val="0"/>
            <w:lang w:val="en-AU"/>
          </w:rPr>
          <w:t>Ostrea chilensis</w:t>
        </w:r>
        <w:r w:rsidRPr="005F7F32">
          <w:rPr>
            <w:rStyle w:val="Hyperlink"/>
            <w:noProof w:val="0"/>
            <w:lang w:val="en-AU"/>
          </w:rPr>
          <w:t xml:space="preserve">: a new host and geographic record for this </w:t>
        </w:r>
        <w:proofErr w:type="spellStart"/>
        <w:r w:rsidRPr="005F7F32">
          <w:rPr>
            <w:rStyle w:val="Hyperlink"/>
            <w:noProof w:val="0"/>
            <w:lang w:val="en-AU"/>
          </w:rPr>
          <w:t>haplosporidian</w:t>
        </w:r>
        <w:proofErr w:type="spellEnd"/>
        <w:r w:rsidRPr="005F7F32">
          <w:rPr>
            <w:rStyle w:val="Hyperlink"/>
            <w:noProof w:val="0"/>
            <w:lang w:val="en-AU"/>
          </w:rPr>
          <w:t xml:space="preserve"> parasite</w:t>
        </w:r>
      </w:hyperlink>
      <w:r w:rsidRPr="005F7F32">
        <w:rPr>
          <w:noProof w:val="0"/>
          <w:lang w:val="en-AU"/>
        </w:rPr>
        <w:t xml:space="preserve">, </w:t>
      </w:r>
      <w:r w:rsidRPr="005F7F32">
        <w:rPr>
          <w:i/>
          <w:iCs/>
          <w:noProof w:val="0"/>
          <w:lang w:val="en-AU"/>
        </w:rPr>
        <w:t>Diseases of Aquatic Organisms</w:t>
      </w:r>
      <w:r w:rsidRPr="005F7F32">
        <w:rPr>
          <w:noProof w:val="0"/>
          <w:lang w:val="en-AU"/>
        </w:rPr>
        <w:t>, vol. 118, pp. 53-60</w:t>
      </w:r>
      <w:r w:rsidR="005F7F32">
        <w:rPr>
          <w:noProof w:val="0"/>
          <w:lang w:val="en-AU"/>
        </w:rPr>
        <w:t xml:space="preserve">, DOI: </w:t>
      </w:r>
      <w:r w:rsidR="005F7F32" w:rsidRPr="005F7F32">
        <w:rPr>
          <w:noProof w:val="0"/>
          <w:lang w:val="en-AU"/>
        </w:rPr>
        <w:t>10.3354/dao02960</w:t>
      </w:r>
      <w:r w:rsidR="005F7F32">
        <w:rPr>
          <w:noProof w:val="0"/>
          <w:lang w:val="en-AU"/>
        </w:rPr>
        <w:t>.</w:t>
      </w:r>
    </w:p>
    <w:p w14:paraId="5B149F0F" w14:textId="71928EA1" w:rsidR="00B25DD3" w:rsidRDefault="00B25DD3" w:rsidP="00C80491">
      <w:pPr>
        <w:spacing w:line="240" w:lineRule="auto"/>
      </w:pPr>
      <w:r>
        <w:t xml:space="preserve">Langdon, CJ &amp; Robinson, AM 1996, </w:t>
      </w:r>
      <w:hyperlink r:id="rId492" w:history="1">
        <w:r w:rsidRPr="00B25DD3">
          <w:rPr>
            <w:rStyle w:val="Hyperlink"/>
          </w:rPr>
          <w:t>Aquaculture potential of the Suminoe oyster (</w:t>
        </w:r>
        <w:r w:rsidRPr="00B25DD3">
          <w:rPr>
            <w:rStyle w:val="Hyperlink"/>
            <w:i/>
            <w:iCs/>
          </w:rPr>
          <w:t xml:space="preserve">Crassostrea ariakensis </w:t>
        </w:r>
        <w:proofErr w:type="spellStart"/>
        <w:r w:rsidRPr="00B25DD3">
          <w:rPr>
            <w:rStyle w:val="Hyperlink"/>
          </w:rPr>
          <w:t>Fugita</w:t>
        </w:r>
        <w:proofErr w:type="spellEnd"/>
        <w:r w:rsidRPr="00B25DD3">
          <w:rPr>
            <w:rStyle w:val="Hyperlink"/>
          </w:rPr>
          <w:t xml:space="preserve"> 1913)</w:t>
        </w:r>
      </w:hyperlink>
      <w:r>
        <w:t xml:space="preserve">, </w:t>
      </w:r>
      <w:r>
        <w:rPr>
          <w:i/>
          <w:iCs/>
        </w:rPr>
        <w:t xml:space="preserve">Aquaculture, </w:t>
      </w:r>
      <w:r>
        <w:t xml:space="preserve">vol. 144, no. 4, pp. 321-338, DOI: </w:t>
      </w:r>
      <w:r w:rsidRPr="00B25DD3">
        <w:t>10.1016/0044-8486(96)01302-6</w:t>
      </w:r>
      <w:r>
        <w:t>.</w:t>
      </w:r>
    </w:p>
    <w:p w14:paraId="6E81F7D1" w14:textId="3C8F61D8" w:rsidR="000D4121" w:rsidRPr="000D4121" w:rsidRDefault="000D4121" w:rsidP="00C80491">
      <w:pPr>
        <w:spacing w:line="240" w:lineRule="auto"/>
      </w:pPr>
      <w:r>
        <w:t xml:space="preserve">Lau, SCY, Thomas, M, Hancock, B &amp; Russell, BD 2020, </w:t>
      </w:r>
      <w:hyperlink r:id="rId493" w:history="1">
        <w:r w:rsidRPr="000D4121">
          <w:rPr>
            <w:rStyle w:val="Hyperlink"/>
          </w:rPr>
          <w:t>Restoration potential of Asian oysters on heavily developed coastlines</w:t>
        </w:r>
      </w:hyperlink>
      <w:r>
        <w:t xml:space="preserve">, </w:t>
      </w:r>
      <w:r>
        <w:rPr>
          <w:i/>
          <w:iCs/>
        </w:rPr>
        <w:t xml:space="preserve">Restoration Ecology, </w:t>
      </w:r>
      <w:r>
        <w:t xml:space="preserve">vol. 28, no. 6, pp. 1643-53, DOI: </w:t>
      </w:r>
      <w:r w:rsidRPr="000D4121">
        <w:t>10.1111/rec.13267</w:t>
      </w:r>
      <w:r>
        <w:t xml:space="preserve">. </w:t>
      </w:r>
    </w:p>
    <w:p w14:paraId="569CBDE8" w14:textId="2FF81399" w:rsidR="00C80491" w:rsidRPr="00C80491" w:rsidRDefault="00C80491" w:rsidP="00C80491">
      <w:pPr>
        <w:spacing w:line="240" w:lineRule="auto"/>
      </w:pPr>
      <w:bookmarkStart w:id="813" w:name="_Hlk189214738"/>
      <w:r w:rsidRPr="00271FA5">
        <w:t>Leach</w:t>
      </w:r>
      <w:r w:rsidRPr="00581E99">
        <w:t>,</w:t>
      </w:r>
      <w:r w:rsidRPr="00271FA5">
        <w:t xml:space="preserve"> A 2011, </w:t>
      </w:r>
      <w:hyperlink r:id="rId494" w:history="1">
        <w:r w:rsidRPr="00581E99">
          <w:rPr>
            <w:rStyle w:val="Hyperlink"/>
          </w:rPr>
          <w:t>Testing the efficacy of heated seawater for managing biofouling in ship’s sea chests. Honours thesis</w:t>
        </w:r>
      </w:hyperlink>
      <w:r w:rsidRPr="00271FA5">
        <w:t>, University of Wollongong</w:t>
      </w:r>
      <w:r w:rsidRPr="00581E99">
        <w:t>, accessed 21 March 2023.</w:t>
      </w:r>
    </w:p>
    <w:bookmarkEnd w:id="813"/>
    <w:p w14:paraId="38B76788" w14:textId="03749AEA" w:rsidR="006939E1" w:rsidRPr="005F7F32" w:rsidRDefault="00B5740F" w:rsidP="00C80491">
      <w:pPr>
        <w:pStyle w:val="EndNoteBibliography"/>
        <w:rPr>
          <w:noProof w:val="0"/>
          <w:lang w:val="en-AU"/>
        </w:rPr>
      </w:pPr>
      <w:r w:rsidRPr="005F7F32">
        <w:rPr>
          <w:noProof w:val="0"/>
          <w:lang w:val="en-AU"/>
        </w:rPr>
        <w:t xml:space="preserve">Lee, H 1987, </w:t>
      </w:r>
      <w:hyperlink r:id="rId495" w:history="1">
        <w:r w:rsidRPr="005F7F32">
          <w:rPr>
            <w:rStyle w:val="Hyperlink"/>
            <w:noProof w:val="0"/>
            <w:lang w:val="en-AU"/>
          </w:rPr>
          <w:t>Immigrant mussel settles in Northside generator</w:t>
        </w:r>
      </w:hyperlink>
      <w:r w:rsidRPr="005F7F32">
        <w:rPr>
          <w:noProof w:val="0"/>
          <w:lang w:val="en-AU"/>
        </w:rPr>
        <w:t xml:space="preserve">, </w:t>
      </w:r>
      <w:r w:rsidRPr="005F7F32">
        <w:rPr>
          <w:i/>
          <w:noProof w:val="0"/>
          <w:lang w:val="en-AU"/>
        </w:rPr>
        <w:t>The Shell-O-Gram</w:t>
      </w:r>
      <w:r w:rsidRPr="005F7F32">
        <w:rPr>
          <w:noProof w:val="0"/>
          <w:lang w:val="en-AU"/>
        </w:rPr>
        <w:t>, vol. 28, pp. 7-9.</w:t>
      </w:r>
    </w:p>
    <w:p w14:paraId="1FF88259" w14:textId="7F862C3A" w:rsidR="00F30C17" w:rsidRDefault="00F30C17" w:rsidP="00C80491">
      <w:pPr>
        <w:pStyle w:val="EndNoteBibliography"/>
        <w:rPr>
          <w:noProof w:val="0"/>
          <w:lang w:val="en-AU"/>
        </w:rPr>
      </w:pPr>
      <w:r w:rsidRPr="005F7F32">
        <w:rPr>
          <w:noProof w:val="0"/>
          <w:lang w:val="en-AU"/>
        </w:rPr>
        <w:t xml:space="preserve">Lee, T, Yam, WC, Tam, TY, Ho, BS, Ng, MH, Broom, MJ 1999, </w:t>
      </w:r>
      <w:hyperlink r:id="rId496" w:history="1">
        <w:r w:rsidRPr="005F7F32">
          <w:rPr>
            <w:rStyle w:val="Hyperlink"/>
            <w:noProof w:val="0"/>
            <w:lang w:val="en-AU"/>
          </w:rPr>
          <w:t xml:space="preserve">Occurrence of </w:t>
        </w:r>
        <w:r w:rsidR="005F7F32" w:rsidRPr="005F7F32">
          <w:rPr>
            <w:rStyle w:val="Hyperlink"/>
            <w:noProof w:val="0"/>
            <w:lang w:val="en-AU"/>
          </w:rPr>
          <w:t>hepatitis</w:t>
        </w:r>
        <w:r w:rsidRPr="005F7F32">
          <w:rPr>
            <w:rStyle w:val="Hyperlink"/>
            <w:noProof w:val="0"/>
            <w:lang w:val="en-AU"/>
          </w:rPr>
          <w:t xml:space="preserve"> A virus in green-lipped mussels (</w:t>
        </w:r>
        <w:r w:rsidRPr="005F7F32">
          <w:rPr>
            <w:rStyle w:val="Hyperlink"/>
            <w:i/>
            <w:iCs/>
            <w:noProof w:val="0"/>
            <w:lang w:val="en-AU"/>
          </w:rPr>
          <w:t>Perna viridis</w:t>
        </w:r>
        <w:r w:rsidRPr="005F7F32">
          <w:rPr>
            <w:rStyle w:val="Hyperlink"/>
            <w:noProof w:val="0"/>
            <w:lang w:val="en-AU"/>
          </w:rPr>
          <w:t>)</w:t>
        </w:r>
      </w:hyperlink>
      <w:r w:rsidRPr="005F7F32">
        <w:rPr>
          <w:noProof w:val="0"/>
          <w:lang w:val="en-AU"/>
        </w:rPr>
        <w:t xml:space="preserve">, </w:t>
      </w:r>
      <w:r w:rsidRPr="005F7F32">
        <w:rPr>
          <w:i/>
          <w:iCs/>
          <w:noProof w:val="0"/>
          <w:lang w:val="en-AU"/>
        </w:rPr>
        <w:t>Water Research</w:t>
      </w:r>
      <w:r w:rsidRPr="005F7F32">
        <w:rPr>
          <w:noProof w:val="0"/>
          <w:lang w:val="en-AU"/>
        </w:rPr>
        <w:t>, vol. 33, no. 3, pp. 885-89</w:t>
      </w:r>
      <w:r w:rsidR="005F7F32" w:rsidRPr="005F7F32">
        <w:rPr>
          <w:noProof w:val="0"/>
          <w:lang w:val="en-AU"/>
        </w:rPr>
        <w:t>, DOI: 10.1016/S0043-1354(98)00269-3.</w:t>
      </w:r>
    </w:p>
    <w:p w14:paraId="6F9D644C" w14:textId="144C0476" w:rsidR="006939E1" w:rsidRDefault="00B5740F" w:rsidP="00C80491">
      <w:pPr>
        <w:pStyle w:val="EndNoteBibliography"/>
        <w:rPr>
          <w:noProof w:val="0"/>
          <w:lang w:val="en-AU"/>
        </w:rPr>
      </w:pPr>
      <w:proofErr w:type="spellStart"/>
      <w:r w:rsidRPr="005F7F32">
        <w:rPr>
          <w:noProof w:val="0"/>
          <w:lang w:val="en-AU"/>
        </w:rPr>
        <w:t>Leppäkoski</w:t>
      </w:r>
      <w:proofErr w:type="spellEnd"/>
      <w:r w:rsidRPr="005F7F32">
        <w:rPr>
          <w:noProof w:val="0"/>
          <w:lang w:val="en-AU"/>
        </w:rPr>
        <w:t xml:space="preserve">, E, </w:t>
      </w:r>
      <w:proofErr w:type="spellStart"/>
      <w:r w:rsidRPr="005F7F32">
        <w:rPr>
          <w:noProof w:val="0"/>
          <w:lang w:val="en-AU"/>
        </w:rPr>
        <w:t>Gollasch</w:t>
      </w:r>
      <w:proofErr w:type="spellEnd"/>
      <w:r w:rsidRPr="005F7F32">
        <w:rPr>
          <w:noProof w:val="0"/>
          <w:lang w:val="en-AU"/>
        </w:rPr>
        <w:t xml:space="preserve">, S &amp; </w:t>
      </w:r>
      <w:proofErr w:type="spellStart"/>
      <w:r w:rsidRPr="005F7F32">
        <w:rPr>
          <w:noProof w:val="0"/>
          <w:lang w:val="en-AU"/>
        </w:rPr>
        <w:t>Olenin</w:t>
      </w:r>
      <w:proofErr w:type="spellEnd"/>
      <w:r w:rsidRPr="005F7F32">
        <w:rPr>
          <w:noProof w:val="0"/>
          <w:lang w:val="en-AU"/>
        </w:rPr>
        <w:t xml:space="preserve">, S 2013, </w:t>
      </w:r>
      <w:hyperlink r:id="rId497" w:history="1">
        <w:r w:rsidRPr="005F7F32">
          <w:rPr>
            <w:rStyle w:val="Hyperlink"/>
            <w:iCs/>
            <w:noProof w:val="0"/>
            <w:lang w:val="en-AU"/>
          </w:rPr>
          <w:t xml:space="preserve">Invasive aquatic species of Europe. </w:t>
        </w:r>
        <w:proofErr w:type="gramStart"/>
        <w:r w:rsidRPr="005F7F32">
          <w:rPr>
            <w:rStyle w:val="Hyperlink"/>
            <w:iCs/>
            <w:noProof w:val="0"/>
            <w:lang w:val="en-AU"/>
          </w:rPr>
          <w:t>Distribution,</w:t>
        </w:r>
        <w:proofErr w:type="gramEnd"/>
        <w:r w:rsidRPr="005F7F32">
          <w:rPr>
            <w:rStyle w:val="Hyperlink"/>
            <w:iCs/>
            <w:noProof w:val="0"/>
            <w:lang w:val="en-AU"/>
          </w:rPr>
          <w:t xml:space="preserve"> impacts and management</w:t>
        </w:r>
      </w:hyperlink>
      <w:r w:rsidRPr="005F7F32">
        <w:rPr>
          <w:noProof w:val="0"/>
          <w:lang w:val="en-AU"/>
        </w:rPr>
        <w:t xml:space="preserve">, </w:t>
      </w:r>
      <w:bookmarkStart w:id="814" w:name="_Hlk117176780"/>
      <w:proofErr w:type="spellStart"/>
      <w:r w:rsidR="00B32D1B" w:rsidRPr="005F7F32">
        <w:rPr>
          <w:noProof w:val="0"/>
          <w:lang w:val="en-AU"/>
        </w:rPr>
        <w:t>Kluewer</w:t>
      </w:r>
      <w:proofErr w:type="spellEnd"/>
      <w:r w:rsidR="00B32D1B" w:rsidRPr="005F7F32">
        <w:rPr>
          <w:noProof w:val="0"/>
          <w:lang w:val="en-AU"/>
        </w:rPr>
        <w:t xml:space="preserve"> Academic Publishers Dordrecht, the Netherlands, p. 583</w:t>
      </w:r>
      <w:bookmarkEnd w:id="814"/>
      <w:r w:rsidR="00B32D1B" w:rsidRPr="005F7F32">
        <w:rPr>
          <w:noProof w:val="0"/>
          <w:lang w:val="en-AU"/>
        </w:rPr>
        <w:t xml:space="preserve">. </w:t>
      </w:r>
    </w:p>
    <w:p w14:paraId="594EB78C" w14:textId="4717F5A0" w:rsidR="00F47511" w:rsidRDefault="00F47511" w:rsidP="00C80491">
      <w:pPr>
        <w:spacing w:line="240" w:lineRule="auto"/>
      </w:pPr>
      <w:r w:rsidRPr="00271FA5">
        <w:t>Leung</w:t>
      </w:r>
      <w:r w:rsidRPr="00581E99">
        <w:t>,</w:t>
      </w:r>
      <w:r w:rsidRPr="00271FA5">
        <w:t xml:space="preserve"> B, Lodge</w:t>
      </w:r>
      <w:r w:rsidRPr="00581E99">
        <w:t>,</w:t>
      </w:r>
      <w:r w:rsidRPr="00271FA5">
        <w:t xml:space="preserve"> DM, </w:t>
      </w:r>
      <w:proofErr w:type="spellStart"/>
      <w:r w:rsidRPr="00271FA5">
        <w:t>Finnoff</w:t>
      </w:r>
      <w:proofErr w:type="spellEnd"/>
      <w:r w:rsidRPr="00581E99">
        <w:t>,</w:t>
      </w:r>
      <w:r w:rsidRPr="00271FA5">
        <w:t xml:space="preserve"> D, Shogren</w:t>
      </w:r>
      <w:r w:rsidRPr="00581E99">
        <w:t>,</w:t>
      </w:r>
      <w:r w:rsidRPr="00271FA5">
        <w:t xml:space="preserve"> JF, Lewis</w:t>
      </w:r>
      <w:r w:rsidRPr="00581E99">
        <w:t>,</w:t>
      </w:r>
      <w:r w:rsidRPr="00271FA5">
        <w:t xml:space="preserve"> MA &amp; Lamberti</w:t>
      </w:r>
      <w:r w:rsidRPr="00581E99">
        <w:t>,</w:t>
      </w:r>
      <w:r w:rsidRPr="00271FA5">
        <w:t xml:space="preserve"> G 2002, </w:t>
      </w:r>
      <w:hyperlink r:id="rId498" w:history="1">
        <w:r w:rsidRPr="00581E99">
          <w:rPr>
            <w:rStyle w:val="Hyperlink"/>
          </w:rPr>
          <w:t>An ounce of prevention or a pound of cure: bioeconomic risk analysis of invasive species</w:t>
        </w:r>
      </w:hyperlink>
      <w:r>
        <w:t>,</w:t>
      </w:r>
      <w:r w:rsidRPr="00271FA5">
        <w:t xml:space="preserve"> </w:t>
      </w:r>
      <w:r w:rsidRPr="00F47511">
        <w:rPr>
          <w:i/>
          <w:iCs/>
        </w:rPr>
        <w:t>Proceedings of the Royal Society B</w:t>
      </w:r>
      <w:r w:rsidRPr="00581E99">
        <w:t>, vol.</w:t>
      </w:r>
      <w:r w:rsidRPr="00271FA5">
        <w:t xml:space="preserve"> 269, </w:t>
      </w:r>
      <w:r w:rsidRPr="00581E99">
        <w:t xml:space="preserve">no. 1508, </w:t>
      </w:r>
      <w:r>
        <w:t xml:space="preserve">pp. </w:t>
      </w:r>
      <w:r w:rsidRPr="00271FA5">
        <w:t>2407</w:t>
      </w:r>
      <w:r>
        <w:t>-</w:t>
      </w:r>
      <w:r w:rsidRPr="00271FA5">
        <w:t>13</w:t>
      </w:r>
      <w:r>
        <w:t xml:space="preserve">, DOI: </w:t>
      </w:r>
      <w:r w:rsidRPr="00F47511">
        <w:t>10.1098/rspb.2002.2179</w:t>
      </w:r>
      <w:r>
        <w:t>.</w:t>
      </w:r>
    </w:p>
    <w:p w14:paraId="6DA59AA5" w14:textId="3A8C8394" w:rsidR="00F47511" w:rsidRPr="005F7F32" w:rsidRDefault="00F47511" w:rsidP="00C80491">
      <w:pPr>
        <w:spacing w:line="240" w:lineRule="auto"/>
      </w:pPr>
      <w:r>
        <w:t xml:space="preserve">Leung, B, Cacho, O &amp; Spring, D 2010, </w:t>
      </w:r>
      <w:hyperlink r:id="rId499" w:history="1">
        <w:r w:rsidRPr="00EF1612">
          <w:rPr>
            <w:rStyle w:val="Hyperlink"/>
          </w:rPr>
          <w:t>Searching for non-indigenous species: rapidly delimiting the invasion boundary</w:t>
        </w:r>
      </w:hyperlink>
      <w:r>
        <w:t>,</w:t>
      </w:r>
      <w:r w:rsidRPr="001D310A">
        <w:t xml:space="preserve"> </w:t>
      </w:r>
      <w:r w:rsidRPr="001D310A">
        <w:rPr>
          <w:i/>
          <w:iCs/>
        </w:rPr>
        <w:t>Diversity and Distributions</w:t>
      </w:r>
      <w:r>
        <w:t xml:space="preserve">, vol. 16, no. 3, pp. 451-460, DOI: </w:t>
      </w:r>
      <w:r w:rsidRPr="00EF1612">
        <w:t>10.1111/j.1472-4642.2010.00653.x</w:t>
      </w:r>
      <w:r>
        <w:t>.</w:t>
      </w:r>
    </w:p>
    <w:p w14:paraId="5001F01F" w14:textId="72C279C0" w:rsidR="006939E1" w:rsidRPr="005F7F32" w:rsidRDefault="00B5740F" w:rsidP="00C80491">
      <w:pPr>
        <w:pStyle w:val="EndNoteBibliography"/>
        <w:rPr>
          <w:rFonts w:asciiTheme="minorHAnsi" w:hAnsiTheme="minorHAnsi" w:cstheme="minorHAnsi"/>
          <w:noProof w:val="0"/>
          <w:lang w:val="en-AU"/>
        </w:rPr>
      </w:pPr>
      <w:r w:rsidRPr="005F7F32">
        <w:rPr>
          <w:rFonts w:asciiTheme="minorHAnsi" w:hAnsiTheme="minorHAnsi" w:cstheme="minorHAnsi"/>
          <w:noProof w:val="0"/>
          <w:lang w:val="en-AU"/>
        </w:rPr>
        <w:t xml:space="preserve">Lewis, JA, Dimas, J 2007, </w:t>
      </w:r>
      <w:hyperlink r:id="rId500" w:history="1">
        <w:r w:rsidRPr="005F7F32">
          <w:rPr>
            <w:rStyle w:val="Hyperlink"/>
            <w:rFonts w:asciiTheme="minorHAnsi" w:hAnsiTheme="minorHAnsi" w:cstheme="minorHAnsi"/>
            <w:noProof w:val="0"/>
            <w:lang w:val="en-AU"/>
          </w:rPr>
          <w:t>Treatment of biofouling in internal seawater systems – phase 2</w:t>
        </w:r>
      </w:hyperlink>
      <w:r w:rsidRPr="005F7F32">
        <w:rPr>
          <w:rFonts w:asciiTheme="minorHAnsi" w:hAnsiTheme="minorHAnsi" w:cstheme="minorHAnsi"/>
          <w:noProof w:val="0"/>
          <w:lang w:val="en-AU"/>
        </w:rPr>
        <w:t>, Report DSTO-CR-2006-0441,</w:t>
      </w:r>
      <w:r w:rsidRPr="005F7F32">
        <w:rPr>
          <w:rFonts w:asciiTheme="minorHAnsi" w:hAnsiTheme="minorHAnsi" w:cstheme="minorHAnsi"/>
          <w:i/>
          <w:iCs/>
          <w:noProof w:val="0"/>
          <w:lang w:val="en-AU"/>
        </w:rPr>
        <w:t xml:space="preserve"> </w:t>
      </w:r>
      <w:r w:rsidRPr="005F7F32">
        <w:rPr>
          <w:rFonts w:asciiTheme="minorHAnsi" w:hAnsiTheme="minorHAnsi" w:cstheme="minorHAnsi"/>
          <w:noProof w:val="0"/>
          <w:lang w:val="en-AU"/>
        </w:rPr>
        <w:t>Maritime Platforms Division, DSTO, Melbourne, pp. 22.</w:t>
      </w:r>
    </w:p>
    <w:p w14:paraId="5AB5F633" w14:textId="7A51971D" w:rsidR="006939E1" w:rsidRPr="005F7F32" w:rsidRDefault="00B5740F" w:rsidP="00C80491">
      <w:pPr>
        <w:pStyle w:val="EndNoteBibliography"/>
        <w:rPr>
          <w:noProof w:val="0"/>
          <w:lang w:val="en-AU"/>
        </w:rPr>
      </w:pPr>
      <w:r w:rsidRPr="005F7F32">
        <w:rPr>
          <w:noProof w:val="0"/>
          <w:lang w:val="en-AU"/>
        </w:rPr>
        <w:t xml:space="preserve">Liao, CM, Ju, YR, Chio, CP &amp; Chen, WY 2010, </w:t>
      </w:r>
      <w:hyperlink r:id="rId501" w:history="1">
        <w:r w:rsidRPr="005F7F32">
          <w:rPr>
            <w:rStyle w:val="Hyperlink"/>
            <w:noProof w:val="0"/>
            <w:lang w:val="en-AU"/>
          </w:rPr>
          <w:t>Risk‐</w:t>
        </w:r>
        <w:r w:rsidR="005F7F32" w:rsidRPr="005F7F32">
          <w:rPr>
            <w:rStyle w:val="Hyperlink"/>
            <w:noProof w:val="0"/>
            <w:lang w:val="en-AU"/>
          </w:rPr>
          <w:t>b</w:t>
        </w:r>
        <w:r w:rsidRPr="005F7F32">
          <w:rPr>
            <w:rStyle w:val="Hyperlink"/>
            <w:noProof w:val="0"/>
            <w:lang w:val="en-AU"/>
          </w:rPr>
          <w:t xml:space="preserve">ased </w:t>
        </w:r>
        <w:r w:rsidR="005F7F32" w:rsidRPr="005F7F32">
          <w:rPr>
            <w:rStyle w:val="Hyperlink"/>
            <w:noProof w:val="0"/>
            <w:lang w:val="en-AU"/>
          </w:rPr>
          <w:t>p</w:t>
        </w:r>
        <w:r w:rsidRPr="005F7F32">
          <w:rPr>
            <w:rStyle w:val="Hyperlink"/>
            <w:noProof w:val="0"/>
            <w:lang w:val="en-AU"/>
          </w:rPr>
          <w:t xml:space="preserve">robabilistic </w:t>
        </w:r>
        <w:r w:rsidR="005F7F32" w:rsidRPr="005F7F32">
          <w:rPr>
            <w:rStyle w:val="Hyperlink"/>
            <w:noProof w:val="0"/>
            <w:lang w:val="en-AU"/>
          </w:rPr>
          <w:t>a</w:t>
        </w:r>
        <w:r w:rsidRPr="005F7F32">
          <w:rPr>
            <w:rStyle w:val="Hyperlink"/>
            <w:noProof w:val="0"/>
            <w:lang w:val="en-AU"/>
          </w:rPr>
          <w:t xml:space="preserve">pproach to </w:t>
        </w:r>
        <w:r w:rsidR="005F7F32" w:rsidRPr="005F7F32">
          <w:rPr>
            <w:rStyle w:val="Hyperlink"/>
            <w:noProof w:val="0"/>
            <w:lang w:val="en-AU"/>
          </w:rPr>
          <w:t>a</w:t>
        </w:r>
        <w:r w:rsidRPr="005F7F32">
          <w:rPr>
            <w:rStyle w:val="Hyperlink"/>
            <w:noProof w:val="0"/>
            <w:lang w:val="en-AU"/>
          </w:rPr>
          <w:t xml:space="preserve">ssess the </w:t>
        </w:r>
        <w:r w:rsidR="005F7F32" w:rsidRPr="005F7F32">
          <w:rPr>
            <w:rStyle w:val="Hyperlink"/>
            <w:noProof w:val="0"/>
            <w:lang w:val="en-AU"/>
          </w:rPr>
          <w:t>i</w:t>
        </w:r>
        <w:r w:rsidRPr="005F7F32">
          <w:rPr>
            <w:rStyle w:val="Hyperlink"/>
            <w:noProof w:val="0"/>
            <w:lang w:val="en-AU"/>
          </w:rPr>
          <w:t xml:space="preserve">mpact of </w:t>
        </w:r>
        <w:r w:rsidR="005F7F32" w:rsidRPr="005F7F32">
          <w:rPr>
            <w:rStyle w:val="Hyperlink"/>
            <w:noProof w:val="0"/>
            <w:lang w:val="en-AU"/>
          </w:rPr>
          <w:t>f</w:t>
        </w:r>
        <w:r w:rsidRPr="005F7F32">
          <w:rPr>
            <w:rStyle w:val="Hyperlink"/>
            <w:noProof w:val="0"/>
            <w:lang w:val="en-AU"/>
          </w:rPr>
          <w:t xml:space="preserve">alse </w:t>
        </w:r>
        <w:r w:rsidR="005F7F32" w:rsidRPr="005F7F32">
          <w:rPr>
            <w:rStyle w:val="Hyperlink"/>
            <w:noProof w:val="0"/>
            <w:lang w:val="en-AU"/>
          </w:rPr>
          <w:t>m</w:t>
        </w:r>
        <w:r w:rsidRPr="005F7F32">
          <w:rPr>
            <w:rStyle w:val="Hyperlink"/>
            <w:noProof w:val="0"/>
            <w:lang w:val="en-AU"/>
          </w:rPr>
          <w:t xml:space="preserve">ussel </w:t>
        </w:r>
        <w:r w:rsidR="005F7F32" w:rsidRPr="005F7F32">
          <w:rPr>
            <w:rStyle w:val="Hyperlink"/>
            <w:noProof w:val="0"/>
            <w:lang w:val="en-AU"/>
          </w:rPr>
          <w:t>i</w:t>
        </w:r>
        <w:r w:rsidRPr="005F7F32">
          <w:rPr>
            <w:rStyle w:val="Hyperlink"/>
            <w:noProof w:val="0"/>
            <w:lang w:val="en-AU"/>
          </w:rPr>
          <w:t xml:space="preserve">nvasions on </w:t>
        </w:r>
        <w:r w:rsidR="005F7F32" w:rsidRPr="005F7F32">
          <w:rPr>
            <w:rStyle w:val="Hyperlink"/>
            <w:noProof w:val="0"/>
            <w:lang w:val="en-AU"/>
          </w:rPr>
          <w:t>f</w:t>
        </w:r>
        <w:r w:rsidRPr="005F7F32">
          <w:rPr>
            <w:rStyle w:val="Hyperlink"/>
            <w:noProof w:val="0"/>
            <w:lang w:val="en-AU"/>
          </w:rPr>
          <w:t xml:space="preserve">armed </w:t>
        </w:r>
        <w:r w:rsidR="005F7F32" w:rsidRPr="005F7F32">
          <w:rPr>
            <w:rStyle w:val="Hyperlink"/>
            <w:noProof w:val="0"/>
            <w:lang w:val="en-AU"/>
          </w:rPr>
          <w:t>h</w:t>
        </w:r>
        <w:r w:rsidRPr="005F7F32">
          <w:rPr>
            <w:rStyle w:val="Hyperlink"/>
            <w:noProof w:val="0"/>
            <w:lang w:val="en-AU"/>
          </w:rPr>
          <w:t xml:space="preserve">ard </w:t>
        </w:r>
        <w:r w:rsidR="005F7F32" w:rsidRPr="005F7F32">
          <w:rPr>
            <w:rStyle w:val="Hyperlink"/>
            <w:noProof w:val="0"/>
            <w:lang w:val="en-AU"/>
          </w:rPr>
          <w:t>c</w:t>
        </w:r>
        <w:r w:rsidRPr="005F7F32">
          <w:rPr>
            <w:rStyle w:val="Hyperlink"/>
            <w:noProof w:val="0"/>
            <w:lang w:val="en-AU"/>
          </w:rPr>
          <w:t>lams</w:t>
        </w:r>
      </w:hyperlink>
      <w:r w:rsidRPr="005F7F32">
        <w:rPr>
          <w:noProof w:val="0"/>
          <w:lang w:val="en-AU"/>
        </w:rPr>
        <w:t xml:space="preserve">, </w:t>
      </w:r>
      <w:r w:rsidRPr="005F7F32">
        <w:rPr>
          <w:i/>
          <w:noProof w:val="0"/>
          <w:lang w:val="en-AU"/>
        </w:rPr>
        <w:t>Risk Analysis: An International Journal</w:t>
      </w:r>
      <w:r w:rsidRPr="005F7F32">
        <w:rPr>
          <w:noProof w:val="0"/>
          <w:lang w:val="en-AU"/>
        </w:rPr>
        <w:t>, vol. 30, no. 2, pp. 310-23</w:t>
      </w:r>
      <w:r w:rsidR="005F7F32" w:rsidRPr="005F7F32">
        <w:rPr>
          <w:noProof w:val="0"/>
          <w:lang w:val="en-AU"/>
        </w:rPr>
        <w:t>, DOI: 10.1111/j.1539-6924.2009.01315.x.</w:t>
      </w:r>
    </w:p>
    <w:p w14:paraId="05B34BCE" w14:textId="7A7298A2" w:rsidR="000A4182" w:rsidRDefault="00B5740F" w:rsidP="00C80491">
      <w:pPr>
        <w:pStyle w:val="EndNoteBibliography"/>
        <w:rPr>
          <w:noProof w:val="0"/>
          <w:lang w:val="en-AU"/>
        </w:rPr>
      </w:pPr>
      <w:r w:rsidRPr="005F7F32">
        <w:rPr>
          <w:noProof w:val="0"/>
          <w:lang w:val="en-AU"/>
        </w:rPr>
        <w:t xml:space="preserve">Lim, JY, Tay, TS, Lim, CS, Lee, SSC, Teo, SLM &amp; Tan, KS 2018, </w:t>
      </w:r>
      <w:hyperlink r:id="rId502" w:history="1">
        <w:r w:rsidRPr="005F7F32">
          <w:rPr>
            <w:rStyle w:val="Hyperlink"/>
            <w:i/>
            <w:noProof w:val="0"/>
            <w:lang w:val="en-AU"/>
          </w:rPr>
          <w:t>Mytella strigata</w:t>
        </w:r>
        <w:r w:rsidRPr="005F7F32">
          <w:rPr>
            <w:rStyle w:val="Hyperlink"/>
            <w:noProof w:val="0"/>
            <w:lang w:val="en-AU"/>
          </w:rPr>
          <w:t xml:space="preserve"> (Bivalvia: Mytilidae): an alien mussel recently introduced to Singapore and spreading rapidly</w:t>
        </w:r>
      </w:hyperlink>
      <w:r w:rsidRPr="005F7F32">
        <w:rPr>
          <w:noProof w:val="0"/>
          <w:lang w:val="en-AU"/>
        </w:rPr>
        <w:t xml:space="preserve">, </w:t>
      </w:r>
      <w:r w:rsidRPr="005F7F32">
        <w:rPr>
          <w:i/>
          <w:noProof w:val="0"/>
          <w:lang w:val="en-AU"/>
        </w:rPr>
        <w:t>Molluscan Research</w:t>
      </w:r>
      <w:r w:rsidRPr="005F7F32">
        <w:rPr>
          <w:noProof w:val="0"/>
          <w:lang w:val="en-AU"/>
        </w:rPr>
        <w:t>, vol. 38, no. 3, pp. 170-86</w:t>
      </w:r>
      <w:r w:rsidR="005F7F32">
        <w:rPr>
          <w:noProof w:val="0"/>
          <w:lang w:val="en-AU"/>
        </w:rPr>
        <w:t xml:space="preserve">, DOI: </w:t>
      </w:r>
      <w:r w:rsidR="005F7F32" w:rsidRPr="005F7F32">
        <w:rPr>
          <w:noProof w:val="0"/>
          <w:lang w:val="en-AU"/>
        </w:rPr>
        <w:t>10.1080/13235818.2018.1423858</w:t>
      </w:r>
      <w:r w:rsidR="005F7F32">
        <w:rPr>
          <w:noProof w:val="0"/>
          <w:lang w:val="en-AU"/>
        </w:rPr>
        <w:t>.</w:t>
      </w:r>
    </w:p>
    <w:p w14:paraId="4785B4EA" w14:textId="2355D507" w:rsidR="006769FF" w:rsidRPr="006769FF" w:rsidRDefault="006769FF" w:rsidP="00C80491">
      <w:pPr>
        <w:pStyle w:val="EndNoteBibliography"/>
        <w:rPr>
          <w:noProof w:val="0"/>
          <w:lang w:val="en-AU"/>
        </w:rPr>
      </w:pPr>
      <w:r w:rsidRPr="006769FF">
        <w:rPr>
          <w:noProof w:val="0"/>
          <w:lang w:val="en-AU"/>
        </w:rPr>
        <w:t>Lourenço</w:t>
      </w:r>
      <w:r>
        <w:rPr>
          <w:noProof w:val="0"/>
          <w:lang w:val="en-AU"/>
        </w:rPr>
        <w:t xml:space="preserve">, PM, Henriques, M, </w:t>
      </w:r>
      <w:proofErr w:type="spellStart"/>
      <w:r>
        <w:rPr>
          <w:noProof w:val="0"/>
          <w:lang w:val="en-AU"/>
        </w:rPr>
        <w:t>Catry</w:t>
      </w:r>
      <w:proofErr w:type="spellEnd"/>
      <w:r>
        <w:rPr>
          <w:noProof w:val="0"/>
          <w:lang w:val="en-AU"/>
        </w:rPr>
        <w:t xml:space="preserve">, I, </w:t>
      </w:r>
      <w:proofErr w:type="spellStart"/>
      <w:r>
        <w:rPr>
          <w:noProof w:val="0"/>
          <w:lang w:val="en-AU"/>
        </w:rPr>
        <w:t>Granadeiro</w:t>
      </w:r>
      <w:proofErr w:type="spellEnd"/>
      <w:r>
        <w:rPr>
          <w:noProof w:val="0"/>
          <w:lang w:val="en-AU"/>
        </w:rPr>
        <w:t xml:space="preserve">, JP &amp; </w:t>
      </w:r>
      <w:proofErr w:type="spellStart"/>
      <w:r>
        <w:rPr>
          <w:noProof w:val="0"/>
          <w:lang w:val="en-AU"/>
        </w:rPr>
        <w:t>Catry</w:t>
      </w:r>
      <w:proofErr w:type="spellEnd"/>
      <w:r>
        <w:rPr>
          <w:noProof w:val="0"/>
          <w:lang w:val="en-AU"/>
        </w:rPr>
        <w:t xml:space="preserve">, T 2018, </w:t>
      </w:r>
      <w:hyperlink r:id="rId503" w:history="1">
        <w:r w:rsidRPr="006769FF">
          <w:rPr>
            <w:rStyle w:val="Hyperlink"/>
            <w:noProof w:val="0"/>
            <w:lang w:val="en-AU"/>
          </w:rPr>
          <w:t xml:space="preserve">First record of the invasive Asian date mussel </w:t>
        </w:r>
        <w:r w:rsidRPr="006769FF">
          <w:rPr>
            <w:rStyle w:val="Hyperlink"/>
            <w:i/>
            <w:iCs/>
            <w:noProof w:val="0"/>
            <w:lang w:val="en-AU"/>
          </w:rPr>
          <w:t>Arcuatula senhousia</w:t>
        </w:r>
        <w:r w:rsidRPr="006769FF">
          <w:rPr>
            <w:rStyle w:val="Hyperlink"/>
            <w:noProof w:val="0"/>
            <w:lang w:val="en-AU"/>
          </w:rPr>
          <w:t xml:space="preserve"> (Benson, 1842) (Mollusca: Bivalvia: Mytilidae) in West Africa</w:t>
        </w:r>
      </w:hyperlink>
      <w:r>
        <w:rPr>
          <w:noProof w:val="0"/>
          <w:lang w:val="en-AU"/>
        </w:rPr>
        <w:t xml:space="preserve">, </w:t>
      </w:r>
      <w:r>
        <w:rPr>
          <w:i/>
          <w:iCs/>
          <w:noProof w:val="0"/>
          <w:lang w:val="en-AU"/>
        </w:rPr>
        <w:t xml:space="preserve">Journal of Natural History, </w:t>
      </w:r>
      <w:r>
        <w:rPr>
          <w:noProof w:val="0"/>
          <w:lang w:val="en-AU"/>
        </w:rPr>
        <w:t xml:space="preserve">vol. 52, no. 39-40, pp. 2567-71, DOI: </w:t>
      </w:r>
      <w:r w:rsidRPr="006769FF">
        <w:rPr>
          <w:noProof w:val="0"/>
          <w:lang w:val="en-AU"/>
        </w:rPr>
        <w:t>10.1080/00222933.2018.1545058</w:t>
      </w:r>
      <w:r>
        <w:rPr>
          <w:noProof w:val="0"/>
          <w:lang w:val="en-AU"/>
        </w:rPr>
        <w:t>.</w:t>
      </w:r>
    </w:p>
    <w:p w14:paraId="184C3656" w14:textId="1928CA97" w:rsidR="006939E1" w:rsidRPr="005F7F32" w:rsidRDefault="00B5740F" w:rsidP="00C80491">
      <w:pPr>
        <w:pStyle w:val="EndNoteBibliography"/>
        <w:rPr>
          <w:noProof w:val="0"/>
          <w:lang w:val="en-AU"/>
        </w:rPr>
      </w:pPr>
      <w:r w:rsidRPr="005F7F32">
        <w:rPr>
          <w:noProof w:val="0"/>
          <w:lang w:val="en-AU"/>
        </w:rPr>
        <w:t xml:space="preserve">Lynch, SA, </w:t>
      </w:r>
      <w:proofErr w:type="spellStart"/>
      <w:r w:rsidRPr="005F7F32">
        <w:rPr>
          <w:noProof w:val="0"/>
          <w:lang w:val="en-AU"/>
        </w:rPr>
        <w:t>Abollo</w:t>
      </w:r>
      <w:proofErr w:type="spellEnd"/>
      <w:r w:rsidRPr="005F7F32">
        <w:rPr>
          <w:noProof w:val="0"/>
          <w:lang w:val="en-AU"/>
        </w:rPr>
        <w:t xml:space="preserve">, E, Ramilo, A, Cao, A, </w:t>
      </w:r>
      <w:proofErr w:type="spellStart"/>
      <w:r w:rsidRPr="005F7F32">
        <w:rPr>
          <w:noProof w:val="0"/>
          <w:lang w:val="en-AU"/>
        </w:rPr>
        <w:t>Culloty</w:t>
      </w:r>
      <w:proofErr w:type="spellEnd"/>
      <w:r w:rsidRPr="005F7F32">
        <w:rPr>
          <w:noProof w:val="0"/>
          <w:lang w:val="en-AU"/>
        </w:rPr>
        <w:t xml:space="preserve">, SC, Villalba, A 2010, </w:t>
      </w:r>
      <w:hyperlink r:id="rId504" w:history="1">
        <w:r w:rsidRPr="005F7F32">
          <w:rPr>
            <w:rStyle w:val="Hyperlink"/>
            <w:noProof w:val="0"/>
            <w:lang w:val="en-AU"/>
          </w:rPr>
          <w:t xml:space="preserve">Observations raise the question if the Pacific oyster, </w:t>
        </w:r>
        <w:r w:rsidRPr="005F7F32">
          <w:rPr>
            <w:rStyle w:val="Hyperlink"/>
            <w:i/>
            <w:iCs/>
            <w:noProof w:val="0"/>
            <w:lang w:val="en-AU"/>
          </w:rPr>
          <w:t>Crassostrea gigas</w:t>
        </w:r>
        <w:r w:rsidRPr="005F7F32">
          <w:rPr>
            <w:rStyle w:val="Hyperlink"/>
            <w:noProof w:val="0"/>
            <w:lang w:val="en-AU"/>
          </w:rPr>
          <w:t xml:space="preserve">, can act as either a carrier or a reservoir for </w:t>
        </w:r>
        <w:proofErr w:type="spellStart"/>
        <w:r w:rsidRPr="005F7F32">
          <w:rPr>
            <w:rStyle w:val="Hyperlink"/>
            <w:i/>
            <w:iCs/>
            <w:noProof w:val="0"/>
            <w:lang w:val="en-AU"/>
          </w:rPr>
          <w:t>Bonamia</w:t>
        </w:r>
        <w:proofErr w:type="spellEnd"/>
        <w:r w:rsidRPr="005F7F32">
          <w:rPr>
            <w:rStyle w:val="Hyperlink"/>
            <w:i/>
            <w:iCs/>
            <w:noProof w:val="0"/>
            <w:lang w:val="en-AU"/>
          </w:rPr>
          <w:t xml:space="preserve"> </w:t>
        </w:r>
        <w:proofErr w:type="spellStart"/>
        <w:r w:rsidRPr="005F7F32">
          <w:rPr>
            <w:rStyle w:val="Hyperlink"/>
            <w:i/>
            <w:iCs/>
            <w:noProof w:val="0"/>
            <w:lang w:val="en-AU"/>
          </w:rPr>
          <w:t>ostreae</w:t>
        </w:r>
        <w:proofErr w:type="spellEnd"/>
        <w:r w:rsidRPr="005F7F32">
          <w:rPr>
            <w:rStyle w:val="Hyperlink"/>
            <w:i/>
            <w:iCs/>
            <w:noProof w:val="0"/>
            <w:lang w:val="en-AU"/>
          </w:rPr>
          <w:t xml:space="preserve"> </w:t>
        </w:r>
        <w:r w:rsidRPr="005F7F32">
          <w:rPr>
            <w:rStyle w:val="Hyperlink"/>
            <w:noProof w:val="0"/>
            <w:lang w:val="en-AU"/>
          </w:rPr>
          <w:t xml:space="preserve">or </w:t>
        </w:r>
        <w:proofErr w:type="spellStart"/>
        <w:r w:rsidRPr="005F7F32">
          <w:rPr>
            <w:rStyle w:val="Hyperlink"/>
            <w:i/>
            <w:iCs/>
            <w:noProof w:val="0"/>
            <w:lang w:val="en-AU"/>
          </w:rPr>
          <w:t>Bonamia</w:t>
        </w:r>
        <w:proofErr w:type="spellEnd"/>
        <w:r w:rsidRPr="005F7F32">
          <w:rPr>
            <w:rStyle w:val="Hyperlink"/>
            <w:i/>
            <w:iCs/>
            <w:noProof w:val="0"/>
            <w:lang w:val="en-AU"/>
          </w:rPr>
          <w:t xml:space="preserve"> </w:t>
        </w:r>
        <w:proofErr w:type="spellStart"/>
        <w:r w:rsidRPr="005F7F32">
          <w:rPr>
            <w:rStyle w:val="Hyperlink"/>
            <w:i/>
            <w:iCs/>
            <w:noProof w:val="0"/>
            <w:lang w:val="en-AU"/>
          </w:rPr>
          <w:t>exitiosa</w:t>
        </w:r>
        <w:proofErr w:type="spellEnd"/>
      </w:hyperlink>
      <w:r w:rsidRPr="005F7F32">
        <w:rPr>
          <w:noProof w:val="0"/>
          <w:lang w:val="en-AU"/>
        </w:rPr>
        <w:t xml:space="preserve">, </w:t>
      </w:r>
      <w:r w:rsidRPr="005F7F32">
        <w:rPr>
          <w:i/>
          <w:iCs/>
          <w:noProof w:val="0"/>
          <w:lang w:val="en-AU"/>
        </w:rPr>
        <w:t>Parasitology</w:t>
      </w:r>
      <w:r w:rsidRPr="005F7F32">
        <w:rPr>
          <w:noProof w:val="0"/>
          <w:lang w:val="en-AU"/>
        </w:rPr>
        <w:t>, vol. 137, pp. 1515-26</w:t>
      </w:r>
      <w:r w:rsidR="005F7F32">
        <w:rPr>
          <w:noProof w:val="0"/>
          <w:lang w:val="en-AU"/>
        </w:rPr>
        <w:t xml:space="preserve">, DOI: </w:t>
      </w:r>
      <w:r w:rsidR="005F7F32" w:rsidRPr="005F7F32">
        <w:rPr>
          <w:noProof w:val="0"/>
          <w:lang w:val="en-AU"/>
        </w:rPr>
        <w:t>10.1017/s0031182010000326</w:t>
      </w:r>
      <w:r w:rsidR="005F7F32">
        <w:rPr>
          <w:noProof w:val="0"/>
          <w:lang w:val="en-AU"/>
        </w:rPr>
        <w:t>.</w:t>
      </w:r>
    </w:p>
    <w:p w14:paraId="644667AA" w14:textId="6245562E" w:rsidR="006939E1" w:rsidRPr="005F7F32" w:rsidRDefault="00B5740F" w:rsidP="00C80491">
      <w:pPr>
        <w:pStyle w:val="EndNoteBibliography"/>
        <w:rPr>
          <w:noProof w:val="0"/>
          <w:lang w:val="en-AU"/>
        </w:rPr>
      </w:pPr>
      <w:r w:rsidRPr="005F7F32">
        <w:rPr>
          <w:noProof w:val="0"/>
          <w:lang w:val="en-AU"/>
        </w:rPr>
        <w:lastRenderedPageBreak/>
        <w:t xml:space="preserve">Mann, RL, Burreson, EM &amp; Baker, PK 1991, </w:t>
      </w:r>
      <w:hyperlink r:id="rId505" w:history="1">
        <w:r w:rsidRPr="005F7F32">
          <w:rPr>
            <w:rStyle w:val="Hyperlink"/>
            <w:noProof w:val="0"/>
            <w:lang w:val="en-AU"/>
          </w:rPr>
          <w:t xml:space="preserve">The decline of the Virginia Oyster fishery in Chesapeake Bay considerations for introduction of a non-endemic species, </w:t>
        </w:r>
        <w:r w:rsidRPr="005F7F32">
          <w:rPr>
            <w:rStyle w:val="Hyperlink"/>
            <w:i/>
            <w:iCs/>
            <w:noProof w:val="0"/>
            <w:lang w:val="en-AU"/>
          </w:rPr>
          <w:t>Crassostrea gigas</w:t>
        </w:r>
        <w:r w:rsidRPr="005F7F32">
          <w:rPr>
            <w:rStyle w:val="Hyperlink"/>
            <w:noProof w:val="0"/>
            <w:lang w:val="en-AU"/>
          </w:rPr>
          <w:t xml:space="preserve"> (Thunberg, 1793)</w:t>
        </w:r>
      </w:hyperlink>
      <w:r w:rsidRPr="005F7F32">
        <w:rPr>
          <w:noProof w:val="0"/>
          <w:lang w:val="en-AU"/>
        </w:rPr>
        <w:t xml:space="preserve">, </w:t>
      </w:r>
      <w:r w:rsidRPr="005F7F32">
        <w:rPr>
          <w:i/>
          <w:noProof w:val="0"/>
          <w:lang w:val="en-AU"/>
        </w:rPr>
        <w:t>Journal of Shellfish Research</w:t>
      </w:r>
      <w:r w:rsidRPr="005F7F32">
        <w:rPr>
          <w:noProof w:val="0"/>
          <w:lang w:val="en-AU"/>
        </w:rPr>
        <w:t>, vol. 10, no. 2, p. 379.</w:t>
      </w:r>
    </w:p>
    <w:p w14:paraId="6F9AECA5" w14:textId="55BA4F44" w:rsidR="005F7F32" w:rsidRPr="005F7F32" w:rsidRDefault="005F7F32" w:rsidP="00C80491">
      <w:pPr>
        <w:pStyle w:val="EndNoteBibliography"/>
        <w:rPr>
          <w:noProof w:val="0"/>
          <w:lang w:val="en-AU"/>
        </w:rPr>
      </w:pPr>
      <w:r w:rsidRPr="005F7F32">
        <w:rPr>
          <w:noProof w:val="0"/>
          <w:lang w:val="en-AU"/>
        </w:rPr>
        <w:t>Marelli, D</w:t>
      </w:r>
      <w:r w:rsidR="00446F36">
        <w:rPr>
          <w:noProof w:val="0"/>
          <w:lang w:val="en-AU"/>
        </w:rPr>
        <w:t>C</w:t>
      </w:r>
      <w:r w:rsidRPr="005F7F32">
        <w:rPr>
          <w:noProof w:val="0"/>
          <w:lang w:val="en-AU"/>
        </w:rPr>
        <w:t xml:space="preserve"> &amp; Gray, S 1983, </w:t>
      </w:r>
      <w:hyperlink r:id="rId506" w:anchor="page/303/mode/1up" w:history="1">
        <w:r w:rsidRPr="005F7F32">
          <w:rPr>
            <w:rStyle w:val="Hyperlink"/>
            <w:noProof w:val="0"/>
            <w:lang w:val="en-AU"/>
          </w:rPr>
          <w:t xml:space="preserve">Conchological redescriptions of </w:t>
        </w:r>
        <w:r w:rsidRPr="005F7F32">
          <w:rPr>
            <w:rStyle w:val="Hyperlink"/>
            <w:i/>
            <w:iCs/>
            <w:noProof w:val="0"/>
            <w:lang w:val="en-AU"/>
          </w:rPr>
          <w:t xml:space="preserve">Mytilopsis sallei </w:t>
        </w:r>
        <w:r w:rsidRPr="005F7F32">
          <w:rPr>
            <w:rStyle w:val="Hyperlink"/>
            <w:noProof w:val="0"/>
            <w:lang w:val="en-AU"/>
          </w:rPr>
          <w:t xml:space="preserve">and </w:t>
        </w:r>
        <w:r w:rsidRPr="005F7F32">
          <w:rPr>
            <w:rStyle w:val="Hyperlink"/>
            <w:i/>
            <w:iCs/>
            <w:noProof w:val="0"/>
            <w:lang w:val="en-AU"/>
          </w:rPr>
          <w:t xml:space="preserve">Mytilopsis </w:t>
        </w:r>
        <w:proofErr w:type="spellStart"/>
        <w:r w:rsidRPr="005F7F32">
          <w:rPr>
            <w:rStyle w:val="Hyperlink"/>
            <w:i/>
            <w:iCs/>
            <w:noProof w:val="0"/>
            <w:lang w:val="en-AU"/>
          </w:rPr>
          <w:t>leucophaeata</w:t>
        </w:r>
        <w:proofErr w:type="spellEnd"/>
        <w:r w:rsidRPr="005F7F32">
          <w:rPr>
            <w:rStyle w:val="Hyperlink"/>
            <w:noProof w:val="0"/>
            <w:lang w:val="en-AU"/>
          </w:rPr>
          <w:t xml:space="preserve"> of brackish Western Atlantic</w:t>
        </w:r>
      </w:hyperlink>
      <w:r w:rsidRPr="005F7F32">
        <w:rPr>
          <w:noProof w:val="0"/>
          <w:lang w:val="en-AU"/>
        </w:rPr>
        <w:t xml:space="preserve">, </w:t>
      </w:r>
      <w:r w:rsidRPr="005F7F32">
        <w:rPr>
          <w:i/>
          <w:iCs/>
          <w:noProof w:val="0"/>
          <w:lang w:val="en-AU"/>
        </w:rPr>
        <w:t>Veliger</w:t>
      </w:r>
      <w:r w:rsidRPr="005F7F32">
        <w:rPr>
          <w:noProof w:val="0"/>
          <w:lang w:val="en-AU"/>
        </w:rPr>
        <w:t>, vol. 25, pp.185-93</w:t>
      </w:r>
      <w:r>
        <w:rPr>
          <w:noProof w:val="0"/>
          <w:lang w:val="en-AU"/>
        </w:rPr>
        <w:t>.</w:t>
      </w:r>
    </w:p>
    <w:p w14:paraId="3ABE96B2" w14:textId="2805158A" w:rsidR="006939E1" w:rsidRDefault="00B5740F" w:rsidP="00C80491">
      <w:pPr>
        <w:pStyle w:val="EndNoteBibliography"/>
        <w:rPr>
          <w:noProof w:val="0"/>
          <w:lang w:val="en-AU"/>
        </w:rPr>
      </w:pPr>
      <w:r w:rsidRPr="005F7F32">
        <w:rPr>
          <w:noProof w:val="0"/>
          <w:lang w:val="en-AU"/>
        </w:rPr>
        <w:t>Marelli, D</w:t>
      </w:r>
      <w:r w:rsidR="00446F36">
        <w:rPr>
          <w:noProof w:val="0"/>
          <w:lang w:val="en-AU"/>
        </w:rPr>
        <w:t>C</w:t>
      </w:r>
      <w:r w:rsidRPr="005F7F32">
        <w:rPr>
          <w:noProof w:val="0"/>
          <w:lang w:val="en-AU"/>
        </w:rPr>
        <w:t xml:space="preserve"> 1985, Comments on the status of recent members of the genus </w:t>
      </w:r>
      <w:r w:rsidRPr="005F7F32">
        <w:rPr>
          <w:i/>
          <w:noProof w:val="0"/>
          <w:lang w:val="en-AU"/>
        </w:rPr>
        <w:t xml:space="preserve">Mytilopsis </w:t>
      </w:r>
      <w:r w:rsidRPr="005F7F32">
        <w:rPr>
          <w:noProof w:val="0"/>
          <w:lang w:val="en-AU"/>
        </w:rPr>
        <w:t xml:space="preserve">(Bivalvia: </w:t>
      </w:r>
      <w:proofErr w:type="spellStart"/>
      <w:r w:rsidRPr="005F7F32">
        <w:rPr>
          <w:noProof w:val="0"/>
          <w:lang w:val="en-AU"/>
        </w:rPr>
        <w:t>Dreissenidae</w:t>
      </w:r>
      <w:proofErr w:type="spellEnd"/>
      <w:r w:rsidRPr="005F7F32">
        <w:rPr>
          <w:noProof w:val="0"/>
          <w:lang w:val="en-AU"/>
        </w:rPr>
        <w:t xml:space="preserve">), </w:t>
      </w:r>
      <w:r w:rsidRPr="005F7F32">
        <w:rPr>
          <w:i/>
          <w:noProof w:val="0"/>
          <w:lang w:val="en-AU"/>
        </w:rPr>
        <w:t>Malacological Review</w:t>
      </w:r>
      <w:r w:rsidRPr="005F7F32">
        <w:rPr>
          <w:noProof w:val="0"/>
          <w:lang w:val="en-AU"/>
        </w:rPr>
        <w:t>, vol. 18, pp. 117-22.</w:t>
      </w:r>
    </w:p>
    <w:p w14:paraId="50475AB9" w14:textId="78828492" w:rsidR="00446F36" w:rsidRPr="00446F36" w:rsidRDefault="00446F36" w:rsidP="00C80491">
      <w:pPr>
        <w:pStyle w:val="EndNoteBibliography"/>
        <w:rPr>
          <w:noProof w:val="0"/>
          <w:lang w:val="en-AU"/>
        </w:rPr>
      </w:pPr>
      <w:r>
        <w:rPr>
          <w:noProof w:val="0"/>
          <w:lang w:val="en-AU"/>
        </w:rPr>
        <w:t xml:space="preserve">Marelli, DC 2021, </w:t>
      </w:r>
      <w:hyperlink r:id="rId507" w:history="1">
        <w:r w:rsidRPr="00446F36">
          <w:rPr>
            <w:rStyle w:val="Hyperlink"/>
            <w:noProof w:val="0"/>
            <w:lang w:val="en-AU"/>
          </w:rPr>
          <w:t xml:space="preserve">Incorrect identification of invasive Indo-Pacific member of the bivalve genus </w:t>
        </w:r>
        <w:r w:rsidRPr="00A04E26">
          <w:rPr>
            <w:rStyle w:val="Hyperlink"/>
            <w:i/>
            <w:iCs/>
          </w:rPr>
          <w:t xml:space="preserve">Mytilopsis </w:t>
        </w:r>
        <w:r w:rsidRPr="00446F36">
          <w:rPr>
            <w:rStyle w:val="Hyperlink"/>
            <w:noProof w:val="0"/>
            <w:lang w:val="en-AU"/>
          </w:rPr>
          <w:t>can affect construction of molecular phylogenies</w:t>
        </w:r>
      </w:hyperlink>
      <w:r>
        <w:rPr>
          <w:noProof w:val="0"/>
          <w:lang w:val="en-AU"/>
        </w:rPr>
        <w:t xml:space="preserve">, </w:t>
      </w:r>
      <w:r>
        <w:rPr>
          <w:i/>
          <w:iCs/>
          <w:noProof w:val="0"/>
          <w:lang w:val="en-AU"/>
        </w:rPr>
        <w:t xml:space="preserve">Journal of Shellfish Research, </w:t>
      </w:r>
      <w:r>
        <w:rPr>
          <w:noProof w:val="0"/>
          <w:lang w:val="en-AU"/>
        </w:rPr>
        <w:t xml:space="preserve">vol. 175, pp. 102084, DOI: </w:t>
      </w:r>
      <w:r w:rsidRPr="00446F36">
        <w:rPr>
          <w:noProof w:val="0"/>
          <w:lang w:val="en-AU"/>
        </w:rPr>
        <w:t>10.1016/j.seares.2021.102084</w:t>
      </w:r>
      <w:r>
        <w:rPr>
          <w:noProof w:val="0"/>
          <w:lang w:val="en-AU"/>
        </w:rPr>
        <w:t xml:space="preserve">. </w:t>
      </w:r>
    </w:p>
    <w:p w14:paraId="1F996E0A" w14:textId="07F63344" w:rsidR="00341E8D" w:rsidRPr="00341E8D" w:rsidRDefault="00341E8D" w:rsidP="00C80491">
      <w:pPr>
        <w:pStyle w:val="EndNoteBibliography"/>
        <w:rPr>
          <w:noProof w:val="0"/>
          <w:lang w:val="en-AU"/>
        </w:rPr>
      </w:pPr>
      <w:r w:rsidRPr="002039BE">
        <w:t>Mart</w:t>
      </w:r>
      <w:r w:rsidRPr="002039BE">
        <w:rPr>
          <w:rFonts w:cstheme="minorHAnsi"/>
        </w:rPr>
        <w:t>ínez-</w:t>
      </w:r>
      <w:r w:rsidRPr="002039BE">
        <w:t>Garc</w:t>
      </w:r>
      <w:r w:rsidRPr="002039BE">
        <w:rPr>
          <w:rFonts w:cstheme="minorHAnsi"/>
        </w:rPr>
        <w:t>í</w:t>
      </w:r>
      <w:r w:rsidRPr="002039BE">
        <w:t>a, MF, Ruesink, JL, Grijalva-Chon, JM, Lodeiros, C, Arreola-Lizárraga, JA, Re-Vega, EDL, Varela-Romero, A</w:t>
      </w:r>
      <w:r>
        <w:t xml:space="preserve">, </w:t>
      </w:r>
      <w:r w:rsidRPr="00341E8D">
        <w:t>Chávez-Villalba</w:t>
      </w:r>
      <w:r>
        <w:t xml:space="preserve">, J 2021, </w:t>
      </w:r>
      <w:hyperlink r:id="rId508" w:history="1">
        <w:r w:rsidRPr="002039BE">
          <w:rPr>
            <w:rStyle w:val="Hyperlink"/>
          </w:rPr>
          <w:t>Socioecological factors related to aquaculture introductions and production of Pacific oysters (</w:t>
        </w:r>
        <w:r w:rsidRPr="002039BE">
          <w:rPr>
            <w:rStyle w:val="Hyperlink"/>
            <w:i/>
            <w:iCs/>
          </w:rPr>
          <w:t>Crassostrea gigas</w:t>
        </w:r>
        <w:r w:rsidRPr="002039BE">
          <w:rPr>
            <w:rStyle w:val="Hyperlink"/>
          </w:rPr>
          <w:t>) worldwide</w:t>
        </w:r>
      </w:hyperlink>
      <w:r>
        <w:t xml:space="preserve">, </w:t>
      </w:r>
      <w:r>
        <w:rPr>
          <w:i/>
          <w:iCs/>
        </w:rPr>
        <w:t xml:space="preserve">Reviews in Aquaculture, </w:t>
      </w:r>
      <w:r>
        <w:t xml:space="preserve">vol. 14, no. 2, pp. 613-29, DOI: </w:t>
      </w:r>
      <w:r w:rsidRPr="00341E8D">
        <w:t>10.1111/raq.12615</w:t>
      </w:r>
      <w:r>
        <w:t>.</w:t>
      </w:r>
    </w:p>
    <w:p w14:paraId="03E08F95" w14:textId="319EDBA9" w:rsidR="006769FF" w:rsidRPr="006769FF" w:rsidRDefault="006769FF" w:rsidP="006769FF">
      <w:pPr>
        <w:pStyle w:val="EndNoteBibliography"/>
        <w:rPr>
          <w:noProof w:val="0"/>
          <w:lang w:val="en-AU"/>
        </w:rPr>
      </w:pPr>
      <w:r>
        <w:rPr>
          <w:noProof w:val="0"/>
          <w:lang w:val="en-AU"/>
        </w:rPr>
        <w:t>Mass</w:t>
      </w:r>
      <w:r w:rsidRPr="006769FF">
        <w:t>é</w:t>
      </w:r>
      <w:r>
        <w:rPr>
          <w:noProof w:val="0"/>
          <w:lang w:val="en-AU"/>
        </w:rPr>
        <w:t xml:space="preserve">, C, </w:t>
      </w:r>
      <w:proofErr w:type="spellStart"/>
      <w:r>
        <w:rPr>
          <w:noProof w:val="0"/>
          <w:lang w:val="en-AU"/>
        </w:rPr>
        <w:t>Jourde</w:t>
      </w:r>
      <w:proofErr w:type="spellEnd"/>
      <w:r>
        <w:rPr>
          <w:noProof w:val="0"/>
          <w:lang w:val="en-AU"/>
        </w:rPr>
        <w:t xml:space="preserve">, J, Fichet, D, </w:t>
      </w:r>
      <w:proofErr w:type="spellStart"/>
      <w:r>
        <w:rPr>
          <w:noProof w:val="0"/>
          <w:lang w:val="en-AU"/>
        </w:rPr>
        <w:t>Sauriau</w:t>
      </w:r>
      <w:proofErr w:type="spellEnd"/>
      <w:r>
        <w:rPr>
          <w:noProof w:val="0"/>
          <w:lang w:val="en-AU"/>
        </w:rPr>
        <w:t xml:space="preserve">, PG, </w:t>
      </w:r>
      <w:proofErr w:type="spellStart"/>
      <w:r>
        <w:rPr>
          <w:noProof w:val="0"/>
          <w:lang w:val="en-AU"/>
        </w:rPr>
        <w:t>Dartois</w:t>
      </w:r>
      <w:proofErr w:type="spellEnd"/>
      <w:r>
        <w:rPr>
          <w:noProof w:val="0"/>
          <w:lang w:val="en-AU"/>
        </w:rPr>
        <w:t xml:space="preserve">, M, </w:t>
      </w:r>
      <w:proofErr w:type="spellStart"/>
      <w:r>
        <w:rPr>
          <w:noProof w:val="0"/>
          <w:lang w:val="en-AU"/>
        </w:rPr>
        <w:t>Ghillebaert</w:t>
      </w:r>
      <w:proofErr w:type="spellEnd"/>
      <w:r>
        <w:rPr>
          <w:noProof w:val="0"/>
          <w:lang w:val="en-AU"/>
        </w:rPr>
        <w:t xml:space="preserve">, F &amp; </w:t>
      </w:r>
      <w:proofErr w:type="spellStart"/>
      <w:r>
        <w:rPr>
          <w:noProof w:val="0"/>
          <w:lang w:val="en-AU"/>
        </w:rPr>
        <w:t>Dancie</w:t>
      </w:r>
      <w:proofErr w:type="spellEnd"/>
      <w:r>
        <w:rPr>
          <w:noProof w:val="0"/>
          <w:lang w:val="en-AU"/>
        </w:rPr>
        <w:t xml:space="preserve">, C 2022, </w:t>
      </w:r>
      <w:hyperlink r:id="rId509" w:history="1">
        <w:r w:rsidRPr="006769FF">
          <w:rPr>
            <w:rStyle w:val="Hyperlink"/>
            <w:noProof w:val="0"/>
            <w:lang w:val="en-AU"/>
          </w:rPr>
          <w:t xml:space="preserve">Northern range expansion of the Asian mussel </w:t>
        </w:r>
        <w:r w:rsidRPr="006769FF">
          <w:rPr>
            <w:rStyle w:val="Hyperlink"/>
            <w:i/>
            <w:iCs/>
            <w:noProof w:val="0"/>
            <w:lang w:val="en-AU"/>
          </w:rPr>
          <w:t>Arcuatula senhousia</w:t>
        </w:r>
        <w:r w:rsidRPr="006769FF">
          <w:rPr>
            <w:rStyle w:val="Hyperlink"/>
            <w:noProof w:val="0"/>
            <w:lang w:val="en-AU"/>
          </w:rPr>
          <w:t xml:space="preserve"> (Benson, 1842) along the French Atlantic coasts</w:t>
        </w:r>
      </w:hyperlink>
      <w:r>
        <w:rPr>
          <w:noProof w:val="0"/>
          <w:lang w:val="en-AU"/>
        </w:rPr>
        <w:t xml:space="preserve">, </w:t>
      </w:r>
      <w:proofErr w:type="spellStart"/>
      <w:r>
        <w:rPr>
          <w:i/>
          <w:iCs/>
          <w:noProof w:val="0"/>
          <w:lang w:val="en-AU"/>
        </w:rPr>
        <w:t>BioInvasions</w:t>
      </w:r>
      <w:proofErr w:type="spellEnd"/>
      <w:r>
        <w:rPr>
          <w:i/>
          <w:iCs/>
          <w:noProof w:val="0"/>
          <w:lang w:val="en-AU"/>
        </w:rPr>
        <w:t xml:space="preserve"> Records, </w:t>
      </w:r>
      <w:r>
        <w:rPr>
          <w:noProof w:val="0"/>
          <w:lang w:val="en-AU"/>
        </w:rPr>
        <w:t xml:space="preserve">vol. 11, no. 3, pp. 700-709, DOI: </w:t>
      </w:r>
      <w:r w:rsidRPr="006769FF">
        <w:rPr>
          <w:noProof w:val="0"/>
          <w:lang w:val="en-AU"/>
        </w:rPr>
        <w:t>10.3391/bir.2022.11.3.12</w:t>
      </w:r>
      <w:r>
        <w:rPr>
          <w:noProof w:val="0"/>
          <w:lang w:val="en-AU"/>
        </w:rPr>
        <w:t>.</w:t>
      </w:r>
    </w:p>
    <w:p w14:paraId="7AA03F7F" w14:textId="3CDAA3E1" w:rsidR="005F7F32" w:rsidRPr="005F7F32" w:rsidRDefault="005F7F32" w:rsidP="00C80491">
      <w:pPr>
        <w:pStyle w:val="EndNoteBibliography"/>
        <w:rPr>
          <w:noProof w:val="0"/>
          <w:lang w:val="en-AU"/>
        </w:rPr>
      </w:pPr>
      <w:r w:rsidRPr="005F7F32">
        <w:rPr>
          <w:noProof w:val="0"/>
          <w:lang w:val="en-AU"/>
        </w:rPr>
        <w:t>McDonald, JI &amp; Wells, FE</w:t>
      </w:r>
      <w:r>
        <w:rPr>
          <w:noProof w:val="0"/>
          <w:lang w:val="en-AU"/>
        </w:rPr>
        <w:t xml:space="preserve"> </w:t>
      </w:r>
      <w:r w:rsidRPr="005F7F32">
        <w:rPr>
          <w:noProof w:val="0"/>
          <w:lang w:val="en-AU"/>
        </w:rPr>
        <w:t>2010</w:t>
      </w:r>
      <w:r>
        <w:rPr>
          <w:noProof w:val="0"/>
          <w:lang w:val="en-AU"/>
        </w:rPr>
        <w:t xml:space="preserve">, </w:t>
      </w:r>
      <w:hyperlink r:id="rId510" w:history="1">
        <w:r w:rsidRPr="005F7F32">
          <w:rPr>
            <w:rStyle w:val="Hyperlink"/>
            <w:noProof w:val="0"/>
            <w:lang w:val="en-AU"/>
          </w:rPr>
          <w:t xml:space="preserve">The apparent demise of the Asian date mussel </w:t>
        </w:r>
        <w:proofErr w:type="spellStart"/>
        <w:r w:rsidRPr="005F7F32">
          <w:rPr>
            <w:rStyle w:val="Hyperlink"/>
            <w:i/>
            <w:iCs/>
            <w:noProof w:val="0"/>
            <w:lang w:val="en-AU"/>
          </w:rPr>
          <w:t>Musculista</w:t>
        </w:r>
        <w:proofErr w:type="spellEnd"/>
        <w:r w:rsidRPr="005F7F32">
          <w:rPr>
            <w:rStyle w:val="Hyperlink"/>
            <w:i/>
            <w:iCs/>
            <w:noProof w:val="0"/>
            <w:lang w:val="en-AU"/>
          </w:rPr>
          <w:t xml:space="preserve"> senhousia</w:t>
        </w:r>
        <w:r w:rsidRPr="005F7F32">
          <w:rPr>
            <w:rStyle w:val="Hyperlink"/>
            <w:noProof w:val="0"/>
            <w:lang w:val="en-AU"/>
          </w:rPr>
          <w:t xml:space="preserve"> in Western Australia: or using acts of God as an eradication tool</w:t>
        </w:r>
      </w:hyperlink>
      <w:r>
        <w:rPr>
          <w:noProof w:val="0"/>
          <w:lang w:val="en-AU"/>
        </w:rPr>
        <w:t xml:space="preserve">, </w:t>
      </w:r>
      <w:r w:rsidRPr="005F7F32">
        <w:rPr>
          <w:i/>
          <w:iCs/>
          <w:noProof w:val="0"/>
          <w:lang w:val="en-AU"/>
        </w:rPr>
        <w:t>Biological Invasions</w:t>
      </w:r>
      <w:r w:rsidRPr="005F7F32">
        <w:rPr>
          <w:noProof w:val="0"/>
          <w:lang w:val="en-AU"/>
        </w:rPr>
        <w:t xml:space="preserve">, </w:t>
      </w:r>
      <w:r>
        <w:rPr>
          <w:noProof w:val="0"/>
          <w:lang w:val="en-AU"/>
        </w:rPr>
        <w:t xml:space="preserve">vol. </w:t>
      </w:r>
      <w:r w:rsidRPr="005F7F32">
        <w:rPr>
          <w:noProof w:val="0"/>
          <w:lang w:val="en-AU"/>
        </w:rPr>
        <w:t xml:space="preserve">12, </w:t>
      </w:r>
      <w:r>
        <w:rPr>
          <w:noProof w:val="0"/>
          <w:lang w:val="en-AU"/>
        </w:rPr>
        <w:t xml:space="preserve">pp. </w:t>
      </w:r>
      <w:r w:rsidRPr="005F7F32">
        <w:rPr>
          <w:noProof w:val="0"/>
          <w:lang w:val="en-AU"/>
        </w:rPr>
        <w:t>715-719</w:t>
      </w:r>
      <w:r>
        <w:rPr>
          <w:noProof w:val="0"/>
          <w:lang w:val="en-AU"/>
        </w:rPr>
        <w:t xml:space="preserve">, DOI: </w:t>
      </w:r>
      <w:r w:rsidRPr="005F7F32">
        <w:rPr>
          <w:noProof w:val="0"/>
          <w:lang w:val="en-AU"/>
        </w:rPr>
        <w:t>10.1007/s10530-009-9478-4</w:t>
      </w:r>
      <w:r>
        <w:rPr>
          <w:noProof w:val="0"/>
          <w:lang w:val="en-AU"/>
        </w:rPr>
        <w:t>.</w:t>
      </w:r>
    </w:p>
    <w:p w14:paraId="2AD69C6A" w14:textId="455CE416" w:rsidR="006939E1" w:rsidRDefault="62909FD1" w:rsidP="00C80491">
      <w:pPr>
        <w:pStyle w:val="EndNoteBibliography"/>
        <w:rPr>
          <w:noProof w:val="0"/>
          <w:lang w:val="en-AU"/>
        </w:rPr>
      </w:pPr>
      <w:r w:rsidRPr="005F7F32">
        <w:rPr>
          <w:noProof w:val="0"/>
          <w:lang w:val="en-AU"/>
        </w:rPr>
        <w:t xml:space="preserve">McDonald, JI, Teo, S, </w:t>
      </w:r>
      <w:r w:rsidR="46A4C896" w:rsidRPr="005F7F32">
        <w:rPr>
          <w:noProof w:val="0"/>
          <w:lang w:val="en-AU"/>
        </w:rPr>
        <w:t xml:space="preserve">Siew Chen, SL, Coupland, GT, McKirdy, SJ, </w:t>
      </w:r>
      <w:proofErr w:type="spellStart"/>
      <w:r w:rsidR="46A4C896" w:rsidRPr="005F7F32">
        <w:rPr>
          <w:noProof w:val="0"/>
          <w:lang w:val="en-AU"/>
        </w:rPr>
        <w:t>deLestang</w:t>
      </w:r>
      <w:proofErr w:type="spellEnd"/>
      <w:r w:rsidR="46A4C896" w:rsidRPr="005F7F32">
        <w:rPr>
          <w:noProof w:val="0"/>
          <w:lang w:val="en-AU"/>
        </w:rPr>
        <w:t>, P &amp; van der Merwe, J 20</w:t>
      </w:r>
      <w:r w:rsidR="7B111261" w:rsidRPr="005F7F32">
        <w:rPr>
          <w:noProof w:val="0"/>
          <w:lang w:val="en-AU"/>
        </w:rPr>
        <w:t>18</w:t>
      </w:r>
      <w:r w:rsidR="005F7F32">
        <w:rPr>
          <w:noProof w:val="0"/>
          <w:lang w:val="en-AU"/>
        </w:rPr>
        <w:t xml:space="preserve">, </w:t>
      </w:r>
      <w:hyperlink r:id="rId511" w:history="1">
        <w:r w:rsidR="7B111261" w:rsidRPr="005F7F32">
          <w:rPr>
            <w:rStyle w:val="Hyperlink"/>
            <w:noProof w:val="0"/>
            <w:lang w:val="en-AU"/>
          </w:rPr>
          <w:t xml:space="preserve">It is all in the looks: a rapid field-based visual assessment tool for evaluating the spawning likelihood of the Asian green mussel, </w:t>
        </w:r>
        <w:r w:rsidR="7B111261" w:rsidRPr="005F7F32">
          <w:rPr>
            <w:rStyle w:val="Hyperlink"/>
            <w:i/>
            <w:iCs/>
            <w:noProof w:val="0"/>
            <w:lang w:val="en-AU"/>
          </w:rPr>
          <w:t>Perna viridis</w:t>
        </w:r>
        <w:r w:rsidR="7B111261" w:rsidRPr="005F7F32">
          <w:rPr>
            <w:rStyle w:val="Hyperlink"/>
            <w:noProof w:val="0"/>
            <w:lang w:val="en-AU"/>
          </w:rPr>
          <w:t xml:space="preserve"> (Linnaeus, 1758)</w:t>
        </w:r>
      </w:hyperlink>
      <w:r w:rsidR="7B111261" w:rsidRPr="005F7F32">
        <w:rPr>
          <w:noProof w:val="0"/>
          <w:lang w:val="en-AU"/>
        </w:rPr>
        <w:t xml:space="preserve">, </w:t>
      </w:r>
      <w:r w:rsidR="7B111261" w:rsidRPr="005F7F32">
        <w:rPr>
          <w:i/>
          <w:iCs/>
          <w:noProof w:val="0"/>
          <w:lang w:val="en-AU"/>
        </w:rPr>
        <w:t xml:space="preserve">Management of Biological Invasions, </w:t>
      </w:r>
      <w:r w:rsidR="7B111261" w:rsidRPr="005F7F32">
        <w:rPr>
          <w:noProof w:val="0"/>
          <w:lang w:val="en-AU"/>
        </w:rPr>
        <w:t>vol</w:t>
      </w:r>
      <w:r w:rsidR="372752A7" w:rsidRPr="005F7F32">
        <w:rPr>
          <w:noProof w:val="0"/>
          <w:lang w:val="en-AU"/>
        </w:rPr>
        <w:t>. 9, no. 2, pp, 91-99</w:t>
      </w:r>
      <w:r w:rsidR="005F7F32">
        <w:rPr>
          <w:noProof w:val="0"/>
          <w:lang w:val="en-AU"/>
        </w:rPr>
        <w:t xml:space="preserve">, DOI: </w:t>
      </w:r>
      <w:r w:rsidR="005F7F32" w:rsidRPr="005F7F32">
        <w:rPr>
          <w:noProof w:val="0"/>
          <w:lang w:val="en-AU"/>
        </w:rPr>
        <w:t>10.3391/mbi.2018.9.2.03</w:t>
      </w:r>
      <w:r w:rsidR="005F7F32">
        <w:rPr>
          <w:noProof w:val="0"/>
          <w:lang w:val="en-AU"/>
        </w:rPr>
        <w:t>.</w:t>
      </w:r>
    </w:p>
    <w:p w14:paraId="5A2D2E9D" w14:textId="280D3B04" w:rsidR="00125EBD" w:rsidRPr="00125EBD" w:rsidRDefault="00125EBD" w:rsidP="00C80491">
      <w:pPr>
        <w:pStyle w:val="EndNoteBibliography"/>
        <w:rPr>
          <w:noProof w:val="0"/>
          <w:lang w:val="en-AU"/>
        </w:rPr>
      </w:pPr>
      <w:r>
        <w:rPr>
          <w:noProof w:val="0"/>
          <w:lang w:val="en-AU"/>
        </w:rPr>
        <w:t xml:space="preserve">McDonald, JI, Wellington, CM, Coupland, GT, Pedersen, D, Kitchen, B, Bridgwood, SD, Hewitt, M, Duggan, R &amp; Abdo, DA 2019, </w:t>
      </w:r>
      <w:hyperlink r:id="rId512" w:history="1">
        <w:r w:rsidRPr="00125EBD">
          <w:rPr>
            <w:rStyle w:val="Hyperlink"/>
            <w:noProof w:val="0"/>
            <w:lang w:val="en-AU"/>
          </w:rPr>
          <w:t>A united front against marine invaders: Developing a cost-effective marine biosecurity surveillance partnership between government and industry</w:t>
        </w:r>
      </w:hyperlink>
      <w:r>
        <w:rPr>
          <w:noProof w:val="0"/>
          <w:lang w:val="en-AU"/>
        </w:rPr>
        <w:t xml:space="preserve">, </w:t>
      </w:r>
      <w:r>
        <w:rPr>
          <w:i/>
          <w:iCs/>
          <w:noProof w:val="0"/>
          <w:lang w:val="en-AU"/>
        </w:rPr>
        <w:t xml:space="preserve">Journal of Applied Ecology, </w:t>
      </w:r>
      <w:r>
        <w:rPr>
          <w:noProof w:val="0"/>
          <w:lang w:val="en-AU"/>
        </w:rPr>
        <w:t xml:space="preserve">vol. 57, no. 1, pp. 77-84, DOI: </w:t>
      </w:r>
      <w:r w:rsidRPr="00125EBD">
        <w:rPr>
          <w:noProof w:val="0"/>
          <w:lang w:val="en-AU"/>
        </w:rPr>
        <w:t>10.1111/1365-2664.13557</w:t>
      </w:r>
      <w:r>
        <w:rPr>
          <w:noProof w:val="0"/>
          <w:lang w:val="en-AU"/>
        </w:rPr>
        <w:t>.</w:t>
      </w:r>
    </w:p>
    <w:p w14:paraId="0701F819" w14:textId="77777777" w:rsidR="00DD01E4" w:rsidRPr="00557DCA" w:rsidRDefault="00DD01E4" w:rsidP="00C80491">
      <w:pPr>
        <w:spacing w:line="240" w:lineRule="auto"/>
      </w:pPr>
      <w:proofErr w:type="spellStart"/>
      <w:r w:rsidRPr="008F3CF7">
        <w:t>McEnnulty</w:t>
      </w:r>
      <w:proofErr w:type="spellEnd"/>
      <w:r w:rsidRPr="008F3CF7">
        <w:t xml:space="preserve">, FR, Bax, N, </w:t>
      </w:r>
      <w:proofErr w:type="spellStart"/>
      <w:r w:rsidRPr="008F3CF7">
        <w:t>Schaffelke</w:t>
      </w:r>
      <w:proofErr w:type="spellEnd"/>
      <w:r w:rsidRPr="008F3CF7">
        <w:t xml:space="preserve">, B &amp; Campbell, ML 2001, </w:t>
      </w:r>
      <w:hyperlink r:id="rId513" w:history="1">
        <w:r w:rsidRPr="008F3CF7">
          <w:rPr>
            <w:rStyle w:val="Hyperlink"/>
          </w:rPr>
          <w:t>A review of rapid response options for the control of ABWMAC listed introduced marine pest species and related taxa in Australian waters</w:t>
        </w:r>
      </w:hyperlink>
      <w:r w:rsidRPr="008F3CF7">
        <w:t xml:space="preserve">, </w:t>
      </w:r>
      <w:r w:rsidRPr="002712CD">
        <w:t>Centre for Research on Introduced Marine Pests Technical Report</w:t>
      </w:r>
      <w:r w:rsidRPr="008F3CF7">
        <w:t xml:space="preserve"> no. 23, CSIRO Marine Research, </w:t>
      </w:r>
      <w:r w:rsidRPr="00557DCA">
        <w:t>Hobart, accessed 21 March 2023.</w:t>
      </w:r>
    </w:p>
    <w:p w14:paraId="71979C50" w14:textId="77777777" w:rsidR="00DD01E4" w:rsidRDefault="00DD01E4" w:rsidP="00C80491">
      <w:pPr>
        <w:spacing w:line="240" w:lineRule="auto"/>
        <w:rPr>
          <w:lang w:eastAsia="ja-JP"/>
        </w:rPr>
      </w:pPr>
      <w:proofErr w:type="spellStart"/>
      <w:r w:rsidRPr="001D310A">
        <w:rPr>
          <w:lang w:eastAsia="ja-JP"/>
        </w:rPr>
        <w:t>McEnnulty</w:t>
      </w:r>
      <w:proofErr w:type="spellEnd"/>
      <w:r w:rsidRPr="001D310A">
        <w:rPr>
          <w:lang w:eastAsia="ja-JP"/>
        </w:rPr>
        <w:t xml:space="preserve">, FR, Jones, TE &amp; Bax, NJ 2001, </w:t>
      </w:r>
      <w:r w:rsidRPr="001D310A">
        <w:rPr>
          <w:rStyle w:val="Emphasis"/>
          <w:lang w:eastAsia="ja-JP"/>
        </w:rPr>
        <w:t>The Web</w:t>
      </w:r>
      <w:r w:rsidRPr="001D310A">
        <w:rPr>
          <w:rStyle w:val="Emphasis"/>
          <w:lang w:eastAsia="ja-JP"/>
        </w:rPr>
        <w:noBreakHyphen/>
        <w:t>Based Rapid Response Toolbox</w:t>
      </w:r>
      <w:r w:rsidRPr="001D310A">
        <w:rPr>
          <w:lang w:eastAsia="ja-JP"/>
        </w:rPr>
        <w:t>, CSIRO Marine Research, Hobart.</w:t>
      </w:r>
    </w:p>
    <w:p w14:paraId="01F42687" w14:textId="13227A2C" w:rsidR="00E50272" w:rsidRPr="00E50272" w:rsidRDefault="00E50272" w:rsidP="00C80491">
      <w:pPr>
        <w:spacing w:line="240" w:lineRule="auto"/>
        <w:rPr>
          <w:lang w:eastAsia="ja-JP"/>
        </w:rPr>
      </w:pPr>
      <w:r>
        <w:rPr>
          <w:lang w:eastAsia="ja-JP"/>
        </w:rPr>
        <w:t xml:space="preserve">McFarland, K, Baker, S, Baker, P, </w:t>
      </w:r>
      <w:proofErr w:type="spellStart"/>
      <w:r>
        <w:rPr>
          <w:lang w:eastAsia="ja-JP"/>
        </w:rPr>
        <w:t>Rybovich</w:t>
      </w:r>
      <w:proofErr w:type="spellEnd"/>
      <w:r>
        <w:rPr>
          <w:lang w:eastAsia="ja-JP"/>
        </w:rPr>
        <w:t xml:space="preserve">, M &amp; </w:t>
      </w:r>
      <w:proofErr w:type="spellStart"/>
      <w:r>
        <w:rPr>
          <w:lang w:eastAsia="ja-JP"/>
        </w:rPr>
        <w:t>Volety</w:t>
      </w:r>
      <w:proofErr w:type="spellEnd"/>
      <w:r>
        <w:rPr>
          <w:lang w:eastAsia="ja-JP"/>
        </w:rPr>
        <w:t xml:space="preserve">, AK 2015, </w:t>
      </w:r>
      <w:hyperlink r:id="rId514" w:history="1">
        <w:r w:rsidRPr="00E50272">
          <w:rPr>
            <w:rStyle w:val="Hyperlink"/>
            <w:lang w:eastAsia="ja-JP"/>
          </w:rPr>
          <w:t xml:space="preserve">Temperature, salinity, and aerial exposure tolerance of the invasive mussel, </w:t>
        </w:r>
        <w:r w:rsidRPr="00E50272">
          <w:rPr>
            <w:rStyle w:val="Hyperlink"/>
            <w:i/>
            <w:iCs/>
            <w:lang w:eastAsia="ja-JP"/>
          </w:rPr>
          <w:t>Perna viridis</w:t>
        </w:r>
        <w:r w:rsidRPr="00E50272">
          <w:rPr>
            <w:rStyle w:val="Hyperlink"/>
            <w:lang w:eastAsia="ja-JP"/>
          </w:rPr>
          <w:t xml:space="preserve">, in estuarine habitats: Implications for spread and competition with native oysters, </w:t>
        </w:r>
        <w:r w:rsidRPr="00E50272">
          <w:rPr>
            <w:rStyle w:val="Hyperlink"/>
            <w:i/>
            <w:iCs/>
            <w:lang w:eastAsia="ja-JP"/>
          </w:rPr>
          <w:t>Crassostrea virginica</w:t>
        </w:r>
      </w:hyperlink>
      <w:r>
        <w:rPr>
          <w:i/>
          <w:iCs/>
          <w:lang w:eastAsia="ja-JP"/>
        </w:rPr>
        <w:t xml:space="preserve">, Estuaries and Coasts, </w:t>
      </w:r>
      <w:r>
        <w:rPr>
          <w:lang w:eastAsia="ja-JP"/>
        </w:rPr>
        <w:t>vol. 38, no. 5, pp. 1619-1628.</w:t>
      </w:r>
    </w:p>
    <w:p w14:paraId="6462DBA7" w14:textId="48F4B2D5" w:rsidR="00CC2DEE" w:rsidRPr="00DD01E4" w:rsidRDefault="00CC2DEE" w:rsidP="00C80491">
      <w:pPr>
        <w:spacing w:line="240" w:lineRule="auto"/>
        <w:rPr>
          <w:lang w:eastAsia="ja-JP"/>
        </w:rPr>
      </w:pPr>
      <w:r w:rsidRPr="00DD01E4">
        <w:rPr>
          <w:lang w:eastAsia="ja-JP"/>
        </w:rPr>
        <w:t xml:space="preserve">Melo-Merino, SM, Reyes-Bonilla, H &amp; Lira-Noriega, A 2020, </w:t>
      </w:r>
      <w:hyperlink r:id="rId515" w:history="1">
        <w:r w:rsidRPr="00DD01E4">
          <w:rPr>
            <w:rStyle w:val="Hyperlink"/>
            <w:lang w:eastAsia="ja-JP"/>
          </w:rPr>
          <w:t>Ecological niche models and species distribution models in marine environments: A literature review and spatial analysis of evidence</w:t>
        </w:r>
      </w:hyperlink>
      <w:r w:rsidRPr="00DD01E4">
        <w:rPr>
          <w:lang w:eastAsia="ja-JP"/>
        </w:rPr>
        <w:t xml:space="preserve">, </w:t>
      </w:r>
      <w:r w:rsidRPr="00DD01E4">
        <w:rPr>
          <w:i/>
          <w:iCs/>
          <w:lang w:eastAsia="ja-JP"/>
        </w:rPr>
        <w:t>Ecological Modelling</w:t>
      </w:r>
      <w:r w:rsidRPr="00DD01E4">
        <w:rPr>
          <w:lang w:eastAsia="ja-JP"/>
        </w:rPr>
        <w:t>, vol. 415, 108837, DOI:</w:t>
      </w:r>
      <w:r w:rsidRPr="00DD01E4">
        <w:t xml:space="preserve"> </w:t>
      </w:r>
      <w:r w:rsidRPr="00DD01E4">
        <w:rPr>
          <w:lang w:eastAsia="ja-JP"/>
        </w:rPr>
        <w:t>10.1016/j.ecolmodel.2019.108837.</w:t>
      </w:r>
    </w:p>
    <w:p w14:paraId="1A67B917" w14:textId="250FFA54" w:rsidR="006939E1" w:rsidRDefault="00B5740F" w:rsidP="00C80491">
      <w:pPr>
        <w:pStyle w:val="EndNoteBibliography"/>
        <w:rPr>
          <w:noProof w:val="0"/>
          <w:lang w:val="en-AU"/>
        </w:rPr>
      </w:pPr>
      <w:r w:rsidRPr="00DD01E4">
        <w:rPr>
          <w:noProof w:val="0"/>
          <w:lang w:val="en-AU"/>
        </w:rPr>
        <w:lastRenderedPageBreak/>
        <w:t xml:space="preserve">Metzger, MJ, Villalba, A, </w:t>
      </w:r>
      <w:proofErr w:type="spellStart"/>
      <w:r w:rsidRPr="00DD01E4">
        <w:rPr>
          <w:noProof w:val="0"/>
          <w:lang w:val="en-AU"/>
        </w:rPr>
        <w:t>Carballal</w:t>
      </w:r>
      <w:proofErr w:type="spellEnd"/>
      <w:r w:rsidRPr="00DD01E4">
        <w:rPr>
          <w:noProof w:val="0"/>
          <w:lang w:val="en-AU"/>
        </w:rPr>
        <w:t xml:space="preserve">, MJ, Iglesias, D, Sherry, J, Reinisch, C, </w:t>
      </w:r>
      <w:proofErr w:type="spellStart"/>
      <w:r w:rsidRPr="00DD01E4">
        <w:rPr>
          <w:noProof w:val="0"/>
          <w:lang w:val="en-AU"/>
        </w:rPr>
        <w:t>Muttray</w:t>
      </w:r>
      <w:proofErr w:type="spellEnd"/>
      <w:r w:rsidRPr="00DD01E4">
        <w:rPr>
          <w:noProof w:val="0"/>
          <w:lang w:val="en-AU"/>
        </w:rPr>
        <w:t xml:space="preserve">, AF, Baldwin, SA &amp; Goff, SP 2016, </w:t>
      </w:r>
      <w:hyperlink r:id="rId516" w:anchor="citeas" w:history="1">
        <w:r w:rsidRPr="00DD01E4">
          <w:rPr>
            <w:rStyle w:val="Hyperlink"/>
            <w:noProof w:val="0"/>
            <w:lang w:val="en-AU"/>
          </w:rPr>
          <w:t>Widespread transmission of independent cancer lineages within multiple bivalve species</w:t>
        </w:r>
      </w:hyperlink>
      <w:r w:rsidRPr="00DD01E4">
        <w:rPr>
          <w:noProof w:val="0"/>
          <w:lang w:val="en-AU"/>
        </w:rPr>
        <w:t xml:space="preserve">, </w:t>
      </w:r>
      <w:r w:rsidRPr="00DD01E4">
        <w:rPr>
          <w:i/>
          <w:noProof w:val="0"/>
          <w:lang w:val="en-AU"/>
        </w:rPr>
        <w:t>Nature</w:t>
      </w:r>
      <w:r w:rsidRPr="00DD01E4">
        <w:rPr>
          <w:noProof w:val="0"/>
          <w:lang w:val="en-AU"/>
        </w:rPr>
        <w:t>, vol. 534, no. 7609, pp. 705-9</w:t>
      </w:r>
      <w:r w:rsidR="00DD01E4" w:rsidRPr="00DD01E4">
        <w:rPr>
          <w:noProof w:val="0"/>
          <w:lang w:val="en-AU"/>
        </w:rPr>
        <w:t xml:space="preserve">, DOI: 10.1038/nature18599. </w:t>
      </w:r>
    </w:p>
    <w:p w14:paraId="348F0B83" w14:textId="5D900997" w:rsidR="00D17D77" w:rsidRPr="00D17D77" w:rsidRDefault="00D17D77" w:rsidP="00C80491">
      <w:pPr>
        <w:pStyle w:val="EndNoteBibliography"/>
        <w:rPr>
          <w:noProof w:val="0"/>
          <w:lang w:val="en-AU"/>
        </w:rPr>
      </w:pPr>
      <w:r>
        <w:rPr>
          <w:noProof w:val="0"/>
          <w:lang w:val="en-AU"/>
        </w:rPr>
        <w:t xml:space="preserve">Michalek, K, Ventura, A &amp; Sanders, T 2016, </w:t>
      </w:r>
      <w:hyperlink r:id="rId517" w:anchor="bb0015" w:history="1">
        <w:r w:rsidRPr="00D17D77">
          <w:rPr>
            <w:rStyle w:val="Hyperlink"/>
            <w:i/>
            <w:iCs/>
            <w:noProof w:val="0"/>
            <w:lang w:val="en-AU"/>
          </w:rPr>
          <w:t xml:space="preserve">Mytilus </w:t>
        </w:r>
        <w:r w:rsidRPr="00D17D77">
          <w:rPr>
            <w:rStyle w:val="Hyperlink"/>
            <w:noProof w:val="0"/>
            <w:lang w:val="en-AU"/>
          </w:rPr>
          <w:t>hybridisation and impact on aquaculture: A minireview</w:t>
        </w:r>
      </w:hyperlink>
      <w:r>
        <w:rPr>
          <w:noProof w:val="0"/>
          <w:lang w:val="en-AU"/>
        </w:rPr>
        <w:t xml:space="preserve">, </w:t>
      </w:r>
      <w:r>
        <w:rPr>
          <w:i/>
          <w:iCs/>
          <w:noProof w:val="0"/>
          <w:lang w:val="en-AU"/>
        </w:rPr>
        <w:t xml:space="preserve">Marine Genomics, </w:t>
      </w:r>
      <w:r>
        <w:rPr>
          <w:noProof w:val="0"/>
          <w:lang w:val="en-AU"/>
        </w:rPr>
        <w:t xml:space="preserve">vol. 27, pp. 3-7, DOI: </w:t>
      </w:r>
      <w:r w:rsidRPr="00D17D77">
        <w:rPr>
          <w:noProof w:val="0"/>
          <w:lang w:val="en-AU"/>
        </w:rPr>
        <w:t>10.1016/j.margen.2016.04.008</w:t>
      </w:r>
      <w:r>
        <w:rPr>
          <w:noProof w:val="0"/>
          <w:lang w:val="en-AU"/>
        </w:rPr>
        <w:t xml:space="preserve">. </w:t>
      </w:r>
    </w:p>
    <w:p w14:paraId="0A34E66E" w14:textId="295B77BD" w:rsidR="00B26DBE" w:rsidRPr="00B26DBE" w:rsidRDefault="00B26DBE" w:rsidP="00C80491">
      <w:pPr>
        <w:pStyle w:val="EndNoteBibliography"/>
        <w:rPr>
          <w:noProof w:val="0"/>
          <w:lang w:val="en-AU"/>
        </w:rPr>
      </w:pPr>
      <w:r>
        <w:rPr>
          <w:noProof w:val="0"/>
          <w:lang w:val="en-AU"/>
        </w:rPr>
        <w:t xml:space="preserve">Micklem, JM, Griffiths, CL, Ntuli, N &amp; Mwale, M 2016, </w:t>
      </w:r>
      <w:hyperlink r:id="rId518" w:history="1">
        <w:r w:rsidRPr="00B26DBE">
          <w:rPr>
            <w:rStyle w:val="Hyperlink"/>
            <w:noProof w:val="0"/>
            <w:lang w:val="en-AU"/>
          </w:rPr>
          <w:t xml:space="preserve">The invasive Asian green mussel </w:t>
        </w:r>
        <w:r w:rsidRPr="00B26DBE">
          <w:rPr>
            <w:rStyle w:val="Hyperlink"/>
            <w:i/>
            <w:iCs/>
            <w:noProof w:val="0"/>
            <w:lang w:val="en-AU"/>
          </w:rPr>
          <w:t>Perna viridis</w:t>
        </w:r>
        <w:r w:rsidRPr="00B26DBE">
          <w:rPr>
            <w:rStyle w:val="Hyperlink"/>
            <w:noProof w:val="0"/>
            <w:lang w:val="en-AU"/>
          </w:rPr>
          <w:t xml:space="preserve"> in South Africa: all that is green is not viridis</w:t>
        </w:r>
      </w:hyperlink>
      <w:r>
        <w:rPr>
          <w:noProof w:val="0"/>
          <w:lang w:val="en-AU"/>
        </w:rPr>
        <w:t xml:space="preserve">, </w:t>
      </w:r>
      <w:r>
        <w:rPr>
          <w:i/>
          <w:iCs/>
          <w:noProof w:val="0"/>
          <w:lang w:val="en-AU"/>
        </w:rPr>
        <w:t xml:space="preserve">African Journal of Marine Science, </w:t>
      </w:r>
      <w:r>
        <w:rPr>
          <w:noProof w:val="0"/>
          <w:lang w:val="en-AU"/>
        </w:rPr>
        <w:t xml:space="preserve">vol. 38, no. 2, pp. 207-215, DOI: </w:t>
      </w:r>
      <w:r w:rsidRPr="00B26DBE">
        <w:rPr>
          <w:noProof w:val="0"/>
          <w:lang w:val="en-AU"/>
        </w:rPr>
        <w:t>10.2989/1814232X.2016.1180323</w:t>
      </w:r>
      <w:r>
        <w:rPr>
          <w:noProof w:val="0"/>
          <w:lang w:val="en-AU"/>
        </w:rPr>
        <w:t>.</w:t>
      </w:r>
    </w:p>
    <w:p w14:paraId="19FE8586" w14:textId="4DA1F61F" w:rsidR="00C44569" w:rsidRPr="00C44569" w:rsidRDefault="00C44569" w:rsidP="00C80491">
      <w:pPr>
        <w:pStyle w:val="EndNoteBibliography"/>
        <w:rPr>
          <w:noProof w:val="0"/>
          <w:lang w:val="en-AU"/>
        </w:rPr>
      </w:pPr>
      <w:r>
        <w:rPr>
          <w:noProof w:val="0"/>
          <w:lang w:val="en-AU"/>
        </w:rPr>
        <w:t xml:space="preserve">Miller, A, Inglis, GJ &amp; Poulin, R 2008, </w:t>
      </w:r>
      <w:hyperlink r:id="rId519" w:history="1">
        <w:r w:rsidRPr="00C44569">
          <w:rPr>
            <w:rStyle w:val="Hyperlink"/>
            <w:noProof w:val="0"/>
            <w:lang w:val="en-AU"/>
          </w:rPr>
          <w:t xml:space="preserve">Use of the introduced bivalve, </w:t>
        </w:r>
        <w:proofErr w:type="spellStart"/>
        <w:r w:rsidRPr="00C44569">
          <w:rPr>
            <w:rStyle w:val="Hyperlink"/>
            <w:i/>
            <w:iCs/>
            <w:noProof w:val="0"/>
            <w:lang w:val="en-AU"/>
          </w:rPr>
          <w:t>Musculista</w:t>
        </w:r>
        <w:proofErr w:type="spellEnd"/>
        <w:r w:rsidRPr="00C44569">
          <w:rPr>
            <w:rStyle w:val="Hyperlink"/>
            <w:i/>
            <w:iCs/>
            <w:noProof w:val="0"/>
            <w:lang w:val="en-AU"/>
          </w:rPr>
          <w:t xml:space="preserve"> senhousia</w:t>
        </w:r>
        <w:r w:rsidRPr="00C44569">
          <w:rPr>
            <w:rStyle w:val="Hyperlink"/>
            <w:noProof w:val="0"/>
            <w:lang w:val="en-AU"/>
          </w:rPr>
          <w:t>, by generalist parasites of native New Zealand bivalves</w:t>
        </w:r>
      </w:hyperlink>
      <w:r>
        <w:rPr>
          <w:noProof w:val="0"/>
          <w:lang w:val="en-AU"/>
        </w:rPr>
        <w:t xml:space="preserve">, </w:t>
      </w:r>
      <w:r>
        <w:rPr>
          <w:i/>
          <w:iCs/>
          <w:noProof w:val="0"/>
          <w:lang w:val="en-AU"/>
        </w:rPr>
        <w:t xml:space="preserve">New Zealand Journal of Marine and Freshwater Research, </w:t>
      </w:r>
      <w:r>
        <w:rPr>
          <w:noProof w:val="0"/>
          <w:lang w:val="en-AU"/>
        </w:rPr>
        <w:t xml:space="preserve">vol. 42, no. 2, pp. 143-151, DOI: </w:t>
      </w:r>
      <w:r w:rsidRPr="00C44569">
        <w:rPr>
          <w:noProof w:val="0"/>
          <w:lang w:val="en-AU"/>
        </w:rPr>
        <w:t>10.1080/00288330809509944</w:t>
      </w:r>
      <w:r>
        <w:rPr>
          <w:noProof w:val="0"/>
          <w:lang w:val="en-AU"/>
        </w:rPr>
        <w:t>.</w:t>
      </w:r>
    </w:p>
    <w:p w14:paraId="2C45E345" w14:textId="1B942812" w:rsidR="00DD01E4" w:rsidRDefault="00B5740F" w:rsidP="00C80491">
      <w:pPr>
        <w:pStyle w:val="EndNoteBibliography"/>
        <w:spacing w:after="240"/>
        <w:rPr>
          <w:rFonts w:asciiTheme="minorHAnsi" w:hAnsiTheme="minorHAnsi" w:cstheme="minorHAnsi"/>
          <w:noProof w:val="0"/>
          <w:lang w:val="en-AU"/>
        </w:rPr>
      </w:pPr>
      <w:bookmarkStart w:id="815" w:name="_Hlk189221002"/>
      <w:r w:rsidRPr="00DD01E4">
        <w:rPr>
          <w:rFonts w:asciiTheme="minorHAnsi" w:hAnsiTheme="minorHAnsi" w:cstheme="minorHAnsi"/>
          <w:noProof w:val="0"/>
          <w:lang w:val="en-AU"/>
        </w:rPr>
        <w:t xml:space="preserve">Mitchell, GK 2007, </w:t>
      </w:r>
      <w:r w:rsidRPr="00DD01E4">
        <w:rPr>
          <w:rStyle w:val="Emphasis"/>
          <w:rFonts w:cstheme="minorHAnsi"/>
          <w:noProof w:val="0"/>
          <w:lang w:val="en-AU"/>
        </w:rPr>
        <w:t>Hull encapsulation as an incursion response tool for marine fouling organisms: a method trial on a large vessel,</w:t>
      </w:r>
      <w:r w:rsidR="00DD01E4" w:rsidRPr="00DD01E4">
        <w:rPr>
          <w:rFonts w:asciiTheme="minorHAnsi" w:hAnsiTheme="minorHAnsi" w:cstheme="minorHAnsi"/>
          <w:noProof w:val="0"/>
          <w:lang w:val="en-AU"/>
        </w:rPr>
        <w:t xml:space="preserve"> </w:t>
      </w:r>
      <w:r w:rsidRPr="00DD01E4">
        <w:rPr>
          <w:rFonts w:asciiTheme="minorHAnsi" w:hAnsiTheme="minorHAnsi" w:cstheme="minorHAnsi"/>
          <w:noProof w:val="0"/>
          <w:lang w:val="en-AU"/>
        </w:rPr>
        <w:t xml:space="preserve">Golder </w:t>
      </w:r>
      <w:proofErr w:type="spellStart"/>
      <w:r w:rsidRPr="00DD01E4">
        <w:rPr>
          <w:rFonts w:asciiTheme="minorHAnsi" w:hAnsiTheme="minorHAnsi" w:cstheme="minorHAnsi"/>
          <w:noProof w:val="0"/>
          <w:lang w:val="en-AU"/>
        </w:rPr>
        <w:t>Kingett</w:t>
      </w:r>
      <w:proofErr w:type="spellEnd"/>
      <w:r w:rsidRPr="00DD01E4">
        <w:rPr>
          <w:rFonts w:asciiTheme="minorHAnsi" w:hAnsiTheme="minorHAnsi" w:cstheme="minorHAnsi"/>
          <w:noProof w:val="0"/>
          <w:lang w:val="en-AU"/>
        </w:rPr>
        <w:t xml:space="preserve"> Mitchell Ltd, Auckland, New Zealand, p. 37.</w:t>
      </w:r>
    </w:p>
    <w:bookmarkEnd w:id="815"/>
    <w:p w14:paraId="00033463" w14:textId="6A232C6E" w:rsidR="007F3FF4" w:rsidRDefault="007F3FF4" w:rsidP="00C80491">
      <w:pPr>
        <w:pStyle w:val="EndNoteBibliography"/>
        <w:spacing w:after="240"/>
        <w:rPr>
          <w:rFonts w:asciiTheme="minorHAnsi" w:hAnsiTheme="minorHAnsi" w:cstheme="minorHAnsi"/>
          <w:noProof w:val="0"/>
          <w:lang w:val="en-AU"/>
        </w:rPr>
      </w:pPr>
      <w:r>
        <w:rPr>
          <w:rFonts w:asciiTheme="minorHAnsi" w:hAnsiTheme="minorHAnsi" w:cstheme="minorHAnsi"/>
          <w:noProof w:val="0"/>
          <w:lang w:val="en-AU"/>
        </w:rPr>
        <w:t xml:space="preserve">Mirjana, HS 2006, </w:t>
      </w:r>
      <w:hyperlink r:id="rId520" w:history="1">
        <w:r w:rsidRPr="007F3FF4">
          <w:rPr>
            <w:rStyle w:val="Hyperlink"/>
            <w:rFonts w:asciiTheme="minorHAnsi" w:hAnsiTheme="minorHAnsi" w:cstheme="minorHAnsi"/>
            <w:noProof w:val="0"/>
            <w:lang w:val="en-AU"/>
          </w:rPr>
          <w:t xml:space="preserve">The basket shell, </w:t>
        </w:r>
        <w:proofErr w:type="spellStart"/>
        <w:r w:rsidRPr="007F3FF4">
          <w:rPr>
            <w:rStyle w:val="Hyperlink"/>
            <w:rFonts w:asciiTheme="minorHAnsi" w:hAnsiTheme="minorHAnsi" w:cstheme="minorHAnsi"/>
            <w:i/>
            <w:iCs/>
            <w:noProof w:val="0"/>
            <w:lang w:val="en-AU"/>
          </w:rPr>
          <w:t>Corbula</w:t>
        </w:r>
        <w:proofErr w:type="spellEnd"/>
        <w:r w:rsidRPr="007F3FF4">
          <w:rPr>
            <w:rStyle w:val="Hyperlink"/>
            <w:rFonts w:asciiTheme="minorHAnsi" w:hAnsiTheme="minorHAnsi" w:cstheme="minorHAnsi"/>
            <w:i/>
            <w:iCs/>
            <w:noProof w:val="0"/>
            <w:lang w:val="en-AU"/>
          </w:rPr>
          <w:t xml:space="preserve"> gibba </w:t>
        </w:r>
        <w:r w:rsidRPr="007F3FF4">
          <w:rPr>
            <w:rStyle w:val="Hyperlink"/>
            <w:rFonts w:asciiTheme="minorHAnsi" w:hAnsiTheme="minorHAnsi" w:cstheme="minorHAnsi"/>
            <w:noProof w:val="0"/>
            <w:lang w:val="en-AU"/>
          </w:rPr>
          <w:t xml:space="preserve">Olivi, 1792 (Bivalve </w:t>
        </w:r>
        <w:proofErr w:type="spellStart"/>
        <w:r w:rsidRPr="007F3FF4">
          <w:rPr>
            <w:rStyle w:val="Hyperlink"/>
            <w:rFonts w:asciiTheme="minorHAnsi" w:hAnsiTheme="minorHAnsi" w:cstheme="minorHAnsi"/>
            <w:noProof w:val="0"/>
            <w:lang w:val="en-AU"/>
          </w:rPr>
          <w:t>Mollusks</w:t>
        </w:r>
        <w:proofErr w:type="spellEnd"/>
        <w:r w:rsidRPr="007F3FF4">
          <w:rPr>
            <w:rStyle w:val="Hyperlink"/>
            <w:rFonts w:asciiTheme="minorHAnsi" w:hAnsiTheme="minorHAnsi" w:cstheme="minorHAnsi"/>
            <w:noProof w:val="0"/>
            <w:lang w:val="en-AU"/>
          </w:rPr>
          <w:t>) as a species resistant to environmental disturbances: A review</w:t>
        </w:r>
      </w:hyperlink>
      <w:r>
        <w:rPr>
          <w:rFonts w:asciiTheme="minorHAnsi" w:hAnsiTheme="minorHAnsi" w:cstheme="minorHAnsi"/>
          <w:noProof w:val="0"/>
          <w:lang w:val="en-AU"/>
        </w:rPr>
        <w:t xml:space="preserve">, </w:t>
      </w:r>
      <w:r>
        <w:rPr>
          <w:rFonts w:asciiTheme="minorHAnsi" w:hAnsiTheme="minorHAnsi" w:cstheme="minorHAnsi"/>
          <w:i/>
          <w:iCs/>
          <w:noProof w:val="0"/>
          <w:lang w:val="en-AU"/>
        </w:rPr>
        <w:t xml:space="preserve">Acta </w:t>
      </w:r>
      <w:proofErr w:type="spellStart"/>
      <w:r>
        <w:rPr>
          <w:rFonts w:asciiTheme="minorHAnsi" w:hAnsiTheme="minorHAnsi" w:cstheme="minorHAnsi"/>
          <w:i/>
          <w:iCs/>
          <w:noProof w:val="0"/>
          <w:lang w:val="en-AU"/>
        </w:rPr>
        <w:t>Adriatica</w:t>
      </w:r>
      <w:proofErr w:type="spellEnd"/>
      <w:r>
        <w:rPr>
          <w:rFonts w:asciiTheme="minorHAnsi" w:hAnsiTheme="minorHAnsi" w:cstheme="minorHAnsi"/>
          <w:i/>
          <w:iCs/>
          <w:noProof w:val="0"/>
          <w:lang w:val="en-AU"/>
        </w:rPr>
        <w:t xml:space="preserve">, </w:t>
      </w:r>
      <w:r>
        <w:rPr>
          <w:rFonts w:asciiTheme="minorHAnsi" w:hAnsiTheme="minorHAnsi" w:cstheme="minorHAnsi"/>
          <w:noProof w:val="0"/>
          <w:lang w:val="en-AU"/>
        </w:rPr>
        <w:t xml:space="preserve">vol. 47, no. 1, pp. 49-64. </w:t>
      </w:r>
    </w:p>
    <w:p w14:paraId="265A73BD" w14:textId="5AB4A86C" w:rsidR="00286468" w:rsidRPr="00286468" w:rsidRDefault="00286468" w:rsidP="00C80491">
      <w:pPr>
        <w:pStyle w:val="EndNoteBibliography"/>
        <w:spacing w:after="240"/>
        <w:rPr>
          <w:rFonts w:asciiTheme="minorHAnsi" w:hAnsiTheme="minorHAnsi" w:cstheme="minorHAnsi"/>
          <w:noProof w:val="0"/>
          <w:lang w:val="en-AU"/>
        </w:rPr>
      </w:pPr>
      <w:r>
        <w:rPr>
          <w:rFonts w:asciiTheme="minorHAnsi" w:hAnsiTheme="minorHAnsi" w:cstheme="minorHAnsi"/>
          <w:noProof w:val="0"/>
          <w:lang w:val="en-AU"/>
        </w:rPr>
        <w:t xml:space="preserve">Moloney, BJ, Deveney, MR, Ellard, K, Hick, P, Kirkland, PD, Moody, NJG &amp; Frances, J 2023, </w:t>
      </w:r>
      <w:hyperlink r:id="rId521" w:history="1">
        <w:proofErr w:type="spellStart"/>
        <w:r w:rsidRPr="00286468">
          <w:rPr>
            <w:rStyle w:val="Hyperlink"/>
            <w:rFonts w:asciiTheme="minorHAnsi" w:hAnsiTheme="minorHAnsi" w:cstheme="minorHAnsi"/>
            <w:noProof w:val="0"/>
            <w:lang w:val="en-AU"/>
          </w:rPr>
          <w:t>Ostreid</w:t>
        </w:r>
        <w:proofErr w:type="spellEnd"/>
        <w:r w:rsidRPr="00286468">
          <w:rPr>
            <w:rStyle w:val="Hyperlink"/>
            <w:rFonts w:asciiTheme="minorHAnsi" w:hAnsiTheme="minorHAnsi" w:cstheme="minorHAnsi"/>
            <w:noProof w:val="0"/>
            <w:lang w:val="en-AU"/>
          </w:rPr>
          <w:t xml:space="preserve"> herpesvirus-1 microvariant surveillance in Pacific oysters (</w:t>
        </w:r>
        <w:r w:rsidRPr="00286468">
          <w:rPr>
            <w:rStyle w:val="Hyperlink"/>
            <w:rFonts w:asciiTheme="minorHAnsi" w:hAnsiTheme="minorHAnsi" w:cstheme="minorHAnsi"/>
            <w:i/>
            <w:iCs/>
            <w:noProof w:val="0"/>
            <w:lang w:val="en-AU"/>
          </w:rPr>
          <w:t>Magallana gigas</w:t>
        </w:r>
        <w:r w:rsidRPr="00286468">
          <w:rPr>
            <w:rStyle w:val="Hyperlink"/>
            <w:rFonts w:asciiTheme="minorHAnsi" w:hAnsiTheme="minorHAnsi" w:cstheme="minorHAnsi"/>
            <w:noProof w:val="0"/>
            <w:lang w:val="en-AU"/>
          </w:rPr>
          <w:t>, Thunberg, 1793) in Australia in 2011</w:t>
        </w:r>
      </w:hyperlink>
      <w:r>
        <w:rPr>
          <w:rFonts w:asciiTheme="minorHAnsi" w:hAnsiTheme="minorHAnsi" w:cstheme="minorHAnsi"/>
          <w:noProof w:val="0"/>
          <w:lang w:val="en-AU"/>
        </w:rPr>
        <w:t xml:space="preserve">, </w:t>
      </w:r>
      <w:r>
        <w:rPr>
          <w:rFonts w:asciiTheme="minorHAnsi" w:hAnsiTheme="minorHAnsi" w:cstheme="minorHAnsi"/>
          <w:i/>
          <w:iCs/>
          <w:noProof w:val="0"/>
          <w:lang w:val="en-AU"/>
        </w:rPr>
        <w:t xml:space="preserve">Australian Veterinary Journal, </w:t>
      </w:r>
      <w:r>
        <w:rPr>
          <w:rFonts w:asciiTheme="minorHAnsi" w:hAnsiTheme="minorHAnsi" w:cstheme="minorHAnsi"/>
          <w:noProof w:val="0"/>
          <w:lang w:val="en-AU"/>
        </w:rPr>
        <w:t xml:space="preserve">vol. 101, no. 9, pp. 345-355, DOI: </w:t>
      </w:r>
      <w:r w:rsidRPr="00286468">
        <w:rPr>
          <w:rFonts w:asciiTheme="minorHAnsi" w:hAnsiTheme="minorHAnsi" w:cstheme="minorHAnsi"/>
          <w:noProof w:val="0"/>
          <w:lang w:val="en-AU"/>
        </w:rPr>
        <w:t>10.1111/avj.13265</w:t>
      </w:r>
      <w:r>
        <w:rPr>
          <w:rFonts w:asciiTheme="minorHAnsi" w:hAnsiTheme="minorHAnsi" w:cstheme="minorHAnsi"/>
          <w:noProof w:val="0"/>
          <w:lang w:val="en-AU"/>
        </w:rPr>
        <w:t>.</w:t>
      </w:r>
    </w:p>
    <w:p w14:paraId="102CA3CA" w14:textId="6BB9A7DD" w:rsidR="00DD01E4" w:rsidRDefault="00DD01E4" w:rsidP="00C80491">
      <w:pPr>
        <w:pStyle w:val="EndNoteBibliography"/>
        <w:rPr>
          <w:noProof w:val="0"/>
          <w:lang w:val="en-AU"/>
        </w:rPr>
      </w:pPr>
      <w:bookmarkStart w:id="816" w:name="_Hlk187311712"/>
      <w:r w:rsidRPr="00DD01E4">
        <w:rPr>
          <w:noProof w:val="0"/>
          <w:lang w:val="en-AU"/>
        </w:rPr>
        <w:t xml:space="preserve">Morrissey, K, O’Donoghue, C &amp; Hynes, S 2011, </w:t>
      </w:r>
      <w:hyperlink r:id="rId522" w:history="1">
        <w:r w:rsidRPr="00DD01E4">
          <w:rPr>
            <w:rStyle w:val="Hyperlink"/>
            <w:noProof w:val="0"/>
            <w:lang w:val="en-AU"/>
          </w:rPr>
          <w:t>Quantifying the value of multi-sectoral marine commercial activity in Ireland</w:t>
        </w:r>
      </w:hyperlink>
      <w:r w:rsidRPr="00DD01E4">
        <w:rPr>
          <w:noProof w:val="0"/>
          <w:lang w:val="en-AU"/>
        </w:rPr>
        <w:t xml:space="preserve">, </w:t>
      </w:r>
      <w:r w:rsidRPr="00DD01E4">
        <w:rPr>
          <w:i/>
          <w:noProof w:val="0"/>
          <w:lang w:val="en-AU"/>
        </w:rPr>
        <w:t>Marine Policy</w:t>
      </w:r>
      <w:r w:rsidRPr="00DD01E4">
        <w:rPr>
          <w:noProof w:val="0"/>
          <w:lang w:val="en-AU"/>
        </w:rPr>
        <w:t>, vol. 35, no. 5, pp. 721-7, DOI: 10.1016/j.marpol.2011.02.013.</w:t>
      </w:r>
    </w:p>
    <w:bookmarkEnd w:id="816"/>
    <w:p w14:paraId="6DEBA795" w14:textId="3B0CABE6" w:rsidR="00DD01E4" w:rsidRPr="00DD01E4" w:rsidRDefault="00DD01E4" w:rsidP="00C80491">
      <w:pPr>
        <w:pStyle w:val="EndNoteBibliography"/>
        <w:rPr>
          <w:noProof w:val="0"/>
          <w:lang w:val="en-AU"/>
        </w:rPr>
      </w:pPr>
      <w:r w:rsidRPr="00DD01E4">
        <w:rPr>
          <w:noProof w:val="0"/>
          <w:lang w:val="en-AU"/>
        </w:rPr>
        <w:t>Morrisey, D</w:t>
      </w:r>
      <w:r>
        <w:rPr>
          <w:noProof w:val="0"/>
          <w:lang w:val="en-AU"/>
        </w:rPr>
        <w:t xml:space="preserve"> &amp; </w:t>
      </w:r>
      <w:r w:rsidRPr="00DD01E4">
        <w:rPr>
          <w:noProof w:val="0"/>
          <w:lang w:val="en-AU"/>
        </w:rPr>
        <w:t>Woods, C 2015</w:t>
      </w:r>
      <w:r>
        <w:rPr>
          <w:noProof w:val="0"/>
          <w:lang w:val="en-AU"/>
        </w:rPr>
        <w:t xml:space="preserve">, </w:t>
      </w:r>
      <w:r w:rsidRPr="00DD01E4">
        <w:rPr>
          <w:i/>
          <w:iCs/>
          <w:noProof w:val="0"/>
          <w:lang w:val="en-AU"/>
        </w:rPr>
        <w:t>Review of information on in-water cleaning technology</w:t>
      </w:r>
      <w:r>
        <w:rPr>
          <w:noProof w:val="0"/>
          <w:lang w:val="en-AU"/>
        </w:rPr>
        <w:t xml:space="preserve">, </w:t>
      </w:r>
      <w:r w:rsidRPr="00DD01E4">
        <w:rPr>
          <w:noProof w:val="0"/>
          <w:lang w:val="en-AU"/>
        </w:rPr>
        <w:t>NIWA Client Report NEL2014-012, prepared for Ministry for Primary Industries, Wellington. 56 p.</w:t>
      </w:r>
    </w:p>
    <w:p w14:paraId="52EF1DA1" w14:textId="20F9F8A2" w:rsidR="006939E1" w:rsidRPr="00DD01E4" w:rsidRDefault="00B5740F" w:rsidP="00C80491">
      <w:pPr>
        <w:pStyle w:val="EndNoteBibliography"/>
        <w:rPr>
          <w:noProof w:val="0"/>
          <w:lang w:val="en-AU"/>
        </w:rPr>
      </w:pPr>
      <w:r w:rsidRPr="00DD01E4">
        <w:rPr>
          <w:noProof w:val="0"/>
          <w:lang w:val="en-AU"/>
        </w:rPr>
        <w:t xml:space="preserve">Morrisey, DJ, Depree, CV, Hickey, CW, McKenzie, DS, Middleton, I, Smith, MD, Stewart, M &amp; Thompson, KJ 2016, </w:t>
      </w:r>
      <w:hyperlink r:id="rId523" w:history="1">
        <w:r w:rsidRPr="00DD01E4">
          <w:rPr>
            <w:rStyle w:val="Hyperlink"/>
            <w:noProof w:val="0"/>
            <w:lang w:val="en-AU"/>
          </w:rPr>
          <w:t xml:space="preserve">Rapid treatment of vessels fouled with an invasive polychaete, </w:t>
        </w:r>
        <w:r w:rsidRPr="00DD01E4">
          <w:rPr>
            <w:rStyle w:val="Hyperlink"/>
            <w:i/>
            <w:iCs/>
            <w:noProof w:val="0"/>
            <w:lang w:val="en-AU"/>
          </w:rPr>
          <w:t xml:space="preserve">Sabella </w:t>
        </w:r>
        <w:proofErr w:type="spellStart"/>
        <w:r w:rsidRPr="00DD01E4">
          <w:rPr>
            <w:rStyle w:val="Hyperlink"/>
            <w:i/>
            <w:iCs/>
            <w:noProof w:val="0"/>
            <w:lang w:val="en-AU"/>
          </w:rPr>
          <w:t>spallanzanii</w:t>
        </w:r>
        <w:proofErr w:type="spellEnd"/>
        <w:r w:rsidRPr="00DD01E4">
          <w:rPr>
            <w:rStyle w:val="Hyperlink"/>
            <w:i/>
            <w:iCs/>
            <w:noProof w:val="0"/>
            <w:lang w:val="en-AU"/>
          </w:rPr>
          <w:t>,</w:t>
        </w:r>
        <w:r w:rsidRPr="00DD01E4">
          <w:rPr>
            <w:rStyle w:val="Hyperlink"/>
            <w:noProof w:val="0"/>
            <w:lang w:val="en-AU"/>
          </w:rPr>
          <w:t xml:space="preserve"> using a floating dock and chlorine as a biocide</w:t>
        </w:r>
      </w:hyperlink>
      <w:r w:rsidRPr="00DD01E4">
        <w:rPr>
          <w:noProof w:val="0"/>
          <w:lang w:val="en-AU"/>
        </w:rPr>
        <w:t xml:space="preserve">, </w:t>
      </w:r>
      <w:r w:rsidRPr="00DD01E4">
        <w:rPr>
          <w:i/>
          <w:noProof w:val="0"/>
          <w:lang w:val="en-AU"/>
        </w:rPr>
        <w:t>Biofouling</w:t>
      </w:r>
      <w:r w:rsidRPr="00DD01E4">
        <w:rPr>
          <w:noProof w:val="0"/>
          <w:lang w:val="en-AU"/>
        </w:rPr>
        <w:t>, vol. 32, no. 2, pp. 135-44</w:t>
      </w:r>
      <w:r w:rsidR="00DD01E4">
        <w:rPr>
          <w:noProof w:val="0"/>
          <w:lang w:val="en-AU"/>
        </w:rPr>
        <w:t xml:space="preserve">, DOI: </w:t>
      </w:r>
      <w:r w:rsidR="00DD01E4" w:rsidRPr="00DD01E4">
        <w:rPr>
          <w:noProof w:val="0"/>
          <w:lang w:val="en-AU"/>
        </w:rPr>
        <w:t>10.1080/08927014.2015.1126713</w:t>
      </w:r>
      <w:r w:rsidR="00DD01E4">
        <w:rPr>
          <w:noProof w:val="0"/>
          <w:lang w:val="en-AU"/>
        </w:rPr>
        <w:t>.</w:t>
      </w:r>
    </w:p>
    <w:p w14:paraId="41C38E58" w14:textId="00834C99" w:rsidR="006939E1" w:rsidRPr="00DD01E4" w:rsidRDefault="00B5740F" w:rsidP="00C80491">
      <w:pPr>
        <w:pStyle w:val="EndNoteBibliography"/>
        <w:rPr>
          <w:noProof w:val="0"/>
          <w:lang w:val="en-AU"/>
        </w:rPr>
      </w:pPr>
      <w:r w:rsidRPr="00DD01E4">
        <w:rPr>
          <w:noProof w:val="0"/>
          <w:lang w:val="en-AU"/>
        </w:rPr>
        <w:t xml:space="preserve">Morton, B 1981, </w:t>
      </w:r>
      <w:hyperlink r:id="rId524" w:history="1">
        <w:r w:rsidRPr="00DD01E4">
          <w:rPr>
            <w:rStyle w:val="Hyperlink"/>
            <w:noProof w:val="0"/>
            <w:lang w:val="en-AU"/>
          </w:rPr>
          <w:t xml:space="preserve">The biology and functional morphology of </w:t>
        </w:r>
        <w:r w:rsidRPr="00DD01E4">
          <w:rPr>
            <w:rStyle w:val="Hyperlink"/>
            <w:i/>
            <w:noProof w:val="0"/>
            <w:lang w:val="en-AU"/>
          </w:rPr>
          <w:t>Mytilopsis sallei</w:t>
        </w:r>
        <w:r w:rsidRPr="00DD01E4">
          <w:rPr>
            <w:rStyle w:val="Hyperlink"/>
            <w:noProof w:val="0"/>
            <w:lang w:val="en-AU"/>
          </w:rPr>
          <w:t xml:space="preserve"> (</w:t>
        </w:r>
        <w:proofErr w:type="spellStart"/>
        <w:r w:rsidRPr="00DD01E4">
          <w:rPr>
            <w:rStyle w:val="Hyperlink"/>
            <w:noProof w:val="0"/>
            <w:lang w:val="en-AU"/>
          </w:rPr>
          <w:t>Recluz</w:t>
        </w:r>
        <w:proofErr w:type="spellEnd"/>
        <w:r w:rsidRPr="00DD01E4">
          <w:rPr>
            <w:rStyle w:val="Hyperlink"/>
            <w:noProof w:val="0"/>
            <w:lang w:val="en-AU"/>
          </w:rPr>
          <w:t xml:space="preserve">)(Bivalvia: </w:t>
        </w:r>
        <w:proofErr w:type="spellStart"/>
        <w:r w:rsidRPr="00DD01E4">
          <w:rPr>
            <w:rStyle w:val="Hyperlink"/>
            <w:noProof w:val="0"/>
            <w:lang w:val="en-AU"/>
          </w:rPr>
          <w:t>Dreissenacea</w:t>
        </w:r>
        <w:proofErr w:type="spellEnd"/>
        <w:r w:rsidRPr="00DD01E4">
          <w:rPr>
            <w:rStyle w:val="Hyperlink"/>
            <w:noProof w:val="0"/>
            <w:lang w:val="en-AU"/>
          </w:rPr>
          <w:t>) fouling Visakhapatnam Harbour, Andhra Pradesh, India</w:t>
        </w:r>
      </w:hyperlink>
      <w:r w:rsidRPr="00DD01E4">
        <w:rPr>
          <w:noProof w:val="0"/>
          <w:lang w:val="en-AU"/>
        </w:rPr>
        <w:t xml:space="preserve">, </w:t>
      </w:r>
      <w:r w:rsidRPr="00DD01E4">
        <w:rPr>
          <w:i/>
          <w:noProof w:val="0"/>
          <w:lang w:val="en-AU"/>
        </w:rPr>
        <w:t>Journal of Molluscan Studies</w:t>
      </w:r>
      <w:r w:rsidRPr="00DD01E4">
        <w:rPr>
          <w:noProof w:val="0"/>
          <w:lang w:val="en-AU"/>
        </w:rPr>
        <w:t>, vol. 47, no. 1, pp. 25-42</w:t>
      </w:r>
      <w:r w:rsidR="00DD01E4" w:rsidRPr="00DD01E4">
        <w:rPr>
          <w:noProof w:val="0"/>
          <w:lang w:val="en-AU"/>
        </w:rPr>
        <w:t>, DOI: 10.1093/oxfordjournals.mollus.a065555.</w:t>
      </w:r>
    </w:p>
    <w:p w14:paraId="43A86D45" w14:textId="26008009" w:rsidR="006939E1" w:rsidRPr="00DD01E4" w:rsidRDefault="00B5740F" w:rsidP="00C80491">
      <w:pPr>
        <w:pStyle w:val="EndNoteBibliography"/>
        <w:rPr>
          <w:noProof w:val="0"/>
          <w:lang w:val="en-AU"/>
        </w:rPr>
      </w:pPr>
      <w:r w:rsidRPr="00DD01E4">
        <w:rPr>
          <w:noProof w:val="0"/>
          <w:lang w:val="en-AU"/>
        </w:rPr>
        <w:t xml:space="preserve">Morton, B 1989, </w:t>
      </w:r>
      <w:hyperlink r:id="rId525" w:history="1">
        <w:r w:rsidRPr="00DD01E4">
          <w:rPr>
            <w:rStyle w:val="Hyperlink"/>
            <w:noProof w:val="0"/>
            <w:lang w:val="en-AU"/>
          </w:rPr>
          <w:t xml:space="preserve">Life‐history characteristics and sexual strategy of </w:t>
        </w:r>
        <w:r w:rsidRPr="00DD01E4">
          <w:rPr>
            <w:rStyle w:val="Hyperlink"/>
            <w:i/>
            <w:noProof w:val="0"/>
            <w:lang w:val="en-AU"/>
          </w:rPr>
          <w:t xml:space="preserve">Mytilopsis sallei </w:t>
        </w:r>
        <w:r w:rsidRPr="00DD01E4">
          <w:rPr>
            <w:rStyle w:val="Hyperlink"/>
            <w:noProof w:val="0"/>
            <w:lang w:val="en-AU"/>
          </w:rPr>
          <w:t xml:space="preserve">(Bivalvia: </w:t>
        </w:r>
        <w:proofErr w:type="spellStart"/>
        <w:r w:rsidRPr="00DD01E4">
          <w:rPr>
            <w:rStyle w:val="Hyperlink"/>
            <w:noProof w:val="0"/>
            <w:lang w:val="en-AU"/>
          </w:rPr>
          <w:t>Dreissenacea</w:t>
        </w:r>
        <w:proofErr w:type="spellEnd"/>
        <w:r w:rsidRPr="00DD01E4">
          <w:rPr>
            <w:rStyle w:val="Hyperlink"/>
            <w:noProof w:val="0"/>
            <w:lang w:val="en-AU"/>
          </w:rPr>
          <w:t xml:space="preserve">), introduced into Hong Kong, </w:t>
        </w:r>
        <w:r w:rsidRPr="00DD01E4">
          <w:rPr>
            <w:rStyle w:val="Hyperlink"/>
            <w:i/>
            <w:noProof w:val="0"/>
            <w:lang w:val="en-AU"/>
          </w:rPr>
          <w:t>Journal of Zoology</w:t>
        </w:r>
      </w:hyperlink>
      <w:r w:rsidRPr="00DD01E4">
        <w:rPr>
          <w:noProof w:val="0"/>
          <w:lang w:val="en-AU"/>
        </w:rPr>
        <w:t>, vol. 219, no. 3, pp. 469-85</w:t>
      </w:r>
      <w:r w:rsidR="00DD01E4">
        <w:rPr>
          <w:noProof w:val="0"/>
          <w:lang w:val="en-AU"/>
        </w:rPr>
        <w:t xml:space="preserve">, DOI: </w:t>
      </w:r>
      <w:r w:rsidR="00DD01E4" w:rsidRPr="00DD01E4">
        <w:rPr>
          <w:noProof w:val="0"/>
          <w:lang w:val="en-AU"/>
        </w:rPr>
        <w:t>10.1111/j.1469-7998.1989.tb02594.x</w:t>
      </w:r>
      <w:r w:rsidR="00DD01E4">
        <w:rPr>
          <w:noProof w:val="0"/>
          <w:lang w:val="en-AU"/>
        </w:rPr>
        <w:t>.</w:t>
      </w:r>
    </w:p>
    <w:p w14:paraId="583043E2" w14:textId="43918655" w:rsidR="00E3372B" w:rsidRDefault="00E3372B" w:rsidP="00C80491">
      <w:pPr>
        <w:pStyle w:val="EndNoteBibliography"/>
        <w:rPr>
          <w:noProof w:val="0"/>
          <w:lang w:val="en-AU"/>
        </w:rPr>
      </w:pPr>
      <w:r w:rsidRPr="00DD01E4">
        <w:rPr>
          <w:noProof w:val="0"/>
          <w:lang w:val="en-AU"/>
        </w:rPr>
        <w:t xml:space="preserve">MPSC 2018, </w:t>
      </w:r>
      <w:hyperlink r:id="rId526" w:history="1">
        <w:r w:rsidRPr="00DD01E4">
          <w:rPr>
            <w:rStyle w:val="Hyperlink"/>
            <w:noProof w:val="0"/>
            <w:lang w:val="en-AU"/>
          </w:rPr>
          <w:t>Australian Priority Marine Pest List: process and outcomes</w:t>
        </w:r>
      </w:hyperlink>
      <w:r w:rsidRPr="00DD01E4">
        <w:rPr>
          <w:noProof w:val="0"/>
          <w:lang w:val="en-AU"/>
        </w:rPr>
        <w:t xml:space="preserve">, prepared by ABARES, Canberra, </w:t>
      </w:r>
      <w:r w:rsidR="00DD01E4">
        <w:rPr>
          <w:noProof w:val="0"/>
          <w:lang w:val="en-AU"/>
        </w:rPr>
        <w:t xml:space="preserve">accessed 23 July 2024. </w:t>
      </w:r>
    </w:p>
    <w:p w14:paraId="6A3187DD" w14:textId="4A2CF99B" w:rsidR="00C80491" w:rsidRPr="00DD01E4" w:rsidRDefault="00C80491" w:rsidP="00C80491">
      <w:pPr>
        <w:pStyle w:val="EndNoteBibliography"/>
        <w:rPr>
          <w:noProof w:val="0"/>
          <w:lang w:val="en-AU"/>
        </w:rPr>
      </w:pPr>
      <w:r>
        <w:rPr>
          <w:noProof w:val="0"/>
          <w:lang w:val="en-AU"/>
        </w:rPr>
        <w:t xml:space="preserve">MPSC 2019, </w:t>
      </w:r>
      <w:hyperlink r:id="rId527" w:history="1">
        <w:r w:rsidRPr="00C80491">
          <w:rPr>
            <w:rStyle w:val="Hyperlink"/>
            <w:noProof w:val="0"/>
            <w:lang w:val="en-AU"/>
          </w:rPr>
          <w:t>National Marine Pest Surveillance Strategy</w:t>
        </w:r>
      </w:hyperlink>
      <w:r>
        <w:rPr>
          <w:noProof w:val="0"/>
          <w:lang w:val="en-AU"/>
        </w:rPr>
        <w:t>, Department of Agriculture, Fisheries and Forestry, Canberra, December. CC BY 4.0.</w:t>
      </w:r>
    </w:p>
    <w:p w14:paraId="6EFFB99C" w14:textId="715E23D5" w:rsidR="00AB1A95" w:rsidRPr="00DD01E4" w:rsidRDefault="00AB1A95" w:rsidP="00C80491">
      <w:pPr>
        <w:spacing w:line="240" w:lineRule="auto"/>
      </w:pPr>
      <w:r w:rsidRPr="00DD01E4">
        <w:t xml:space="preserve">MPSC 2021, </w:t>
      </w:r>
      <w:hyperlink r:id="rId528" w:history="1">
        <w:r w:rsidRPr="00DD01E4">
          <w:rPr>
            <w:rStyle w:val="Hyperlink"/>
          </w:rPr>
          <w:t>National biofouling management guidelines for marinas, slipways, boat maintenance and recreational boating facilities</w:t>
        </w:r>
      </w:hyperlink>
      <w:r w:rsidRPr="00DD01E4">
        <w:t>, Department of Agriculture, Fisheries and Forestry, Canberra, accessed 25 July 2023.</w:t>
      </w:r>
    </w:p>
    <w:p w14:paraId="2F08143B" w14:textId="1AADA5BA" w:rsidR="006939E1" w:rsidRDefault="00B5740F" w:rsidP="00C80491">
      <w:pPr>
        <w:pStyle w:val="EndNoteBibliography"/>
        <w:rPr>
          <w:noProof w:val="0"/>
          <w:lang w:val="en-AU"/>
        </w:rPr>
      </w:pPr>
      <w:proofErr w:type="spellStart"/>
      <w:r w:rsidRPr="00DD01E4">
        <w:rPr>
          <w:noProof w:val="0"/>
          <w:lang w:val="en-AU"/>
        </w:rPr>
        <w:lastRenderedPageBreak/>
        <w:t>Munkongwongsiri</w:t>
      </w:r>
      <w:proofErr w:type="spellEnd"/>
      <w:r w:rsidRPr="00DD01E4">
        <w:rPr>
          <w:noProof w:val="0"/>
          <w:lang w:val="en-AU"/>
        </w:rPr>
        <w:t xml:space="preserve">, N, </w:t>
      </w:r>
      <w:proofErr w:type="spellStart"/>
      <w:r w:rsidRPr="00DD01E4">
        <w:rPr>
          <w:noProof w:val="0"/>
          <w:lang w:val="en-AU"/>
        </w:rPr>
        <w:t>Thepmanee</w:t>
      </w:r>
      <w:proofErr w:type="spellEnd"/>
      <w:r w:rsidRPr="00DD01E4">
        <w:rPr>
          <w:noProof w:val="0"/>
          <w:lang w:val="en-AU"/>
        </w:rPr>
        <w:t xml:space="preserve">, O, </w:t>
      </w:r>
      <w:proofErr w:type="spellStart"/>
      <w:r w:rsidRPr="00DD01E4">
        <w:rPr>
          <w:noProof w:val="0"/>
          <w:lang w:val="en-AU"/>
        </w:rPr>
        <w:t>Lertsiri</w:t>
      </w:r>
      <w:proofErr w:type="spellEnd"/>
      <w:r w:rsidRPr="00DD01E4">
        <w:rPr>
          <w:noProof w:val="0"/>
          <w:lang w:val="en-AU"/>
        </w:rPr>
        <w:t xml:space="preserve">, K, </w:t>
      </w:r>
      <w:proofErr w:type="spellStart"/>
      <w:r w:rsidRPr="00DD01E4">
        <w:rPr>
          <w:noProof w:val="0"/>
          <w:lang w:val="en-AU"/>
        </w:rPr>
        <w:t>Vanichviriyakit</w:t>
      </w:r>
      <w:proofErr w:type="spellEnd"/>
      <w:r w:rsidRPr="00DD01E4">
        <w:rPr>
          <w:noProof w:val="0"/>
          <w:lang w:val="en-AU"/>
        </w:rPr>
        <w:t xml:space="preserve">, R, </w:t>
      </w:r>
      <w:proofErr w:type="spellStart"/>
      <w:r w:rsidRPr="00DD01E4">
        <w:rPr>
          <w:noProof w:val="0"/>
          <w:lang w:val="en-AU"/>
        </w:rPr>
        <w:t>Itsathitphaisarn</w:t>
      </w:r>
      <w:proofErr w:type="spellEnd"/>
      <w:r w:rsidRPr="00DD01E4">
        <w:rPr>
          <w:noProof w:val="0"/>
          <w:lang w:val="en-AU"/>
        </w:rPr>
        <w:t xml:space="preserve">, O &amp; </w:t>
      </w:r>
      <w:proofErr w:type="spellStart"/>
      <w:r w:rsidRPr="00DD01E4">
        <w:rPr>
          <w:noProof w:val="0"/>
          <w:lang w:val="en-AU"/>
        </w:rPr>
        <w:t>Sritunyalucksana</w:t>
      </w:r>
      <w:proofErr w:type="spellEnd"/>
      <w:r w:rsidRPr="00DD01E4">
        <w:rPr>
          <w:noProof w:val="0"/>
          <w:lang w:val="en-AU"/>
        </w:rPr>
        <w:t xml:space="preserve">, K 2022, </w:t>
      </w:r>
      <w:hyperlink r:id="rId529" w:history="1">
        <w:r w:rsidRPr="00DD01E4">
          <w:rPr>
            <w:rStyle w:val="Hyperlink"/>
            <w:noProof w:val="0"/>
            <w:lang w:val="en-AU"/>
          </w:rPr>
          <w:t>False mussels (</w:t>
        </w:r>
        <w:r w:rsidRPr="00DD01E4">
          <w:rPr>
            <w:rStyle w:val="Hyperlink"/>
            <w:i/>
            <w:iCs/>
            <w:noProof w:val="0"/>
            <w:lang w:val="en-AU"/>
          </w:rPr>
          <w:t xml:space="preserve">Mytilopsis </w:t>
        </w:r>
        <w:proofErr w:type="spellStart"/>
        <w:r w:rsidRPr="00DD01E4">
          <w:rPr>
            <w:rStyle w:val="Hyperlink"/>
            <w:i/>
            <w:iCs/>
            <w:noProof w:val="0"/>
            <w:lang w:val="en-AU"/>
          </w:rPr>
          <w:t>leucophaeata</w:t>
        </w:r>
        <w:proofErr w:type="spellEnd"/>
        <w:r w:rsidRPr="00DD01E4">
          <w:rPr>
            <w:rStyle w:val="Hyperlink"/>
            <w:noProof w:val="0"/>
            <w:lang w:val="en-AU"/>
          </w:rPr>
          <w:t xml:space="preserve">) can be mechanical carriers of the shrimp microsporidian </w:t>
        </w:r>
        <w:proofErr w:type="spellStart"/>
        <w:r w:rsidRPr="00DD01E4">
          <w:rPr>
            <w:rStyle w:val="Hyperlink"/>
            <w:i/>
            <w:iCs/>
            <w:noProof w:val="0"/>
            <w:lang w:val="en-AU"/>
          </w:rPr>
          <w:t>Enterocytozoon</w:t>
        </w:r>
        <w:proofErr w:type="spellEnd"/>
        <w:r w:rsidRPr="00DD01E4">
          <w:rPr>
            <w:rStyle w:val="Hyperlink"/>
            <w:i/>
            <w:iCs/>
            <w:noProof w:val="0"/>
            <w:lang w:val="en-AU"/>
          </w:rPr>
          <w:t xml:space="preserve"> </w:t>
        </w:r>
        <w:proofErr w:type="spellStart"/>
        <w:r w:rsidRPr="00DD01E4">
          <w:rPr>
            <w:rStyle w:val="Hyperlink"/>
            <w:i/>
            <w:iCs/>
            <w:noProof w:val="0"/>
            <w:lang w:val="en-AU"/>
          </w:rPr>
          <w:t>hepatopenaei</w:t>
        </w:r>
        <w:proofErr w:type="spellEnd"/>
        <w:r w:rsidRPr="00DD01E4">
          <w:rPr>
            <w:rStyle w:val="Hyperlink"/>
            <w:noProof w:val="0"/>
            <w:lang w:val="en-AU"/>
          </w:rPr>
          <w:t xml:space="preserve"> (EHP)</w:t>
        </w:r>
      </w:hyperlink>
      <w:r w:rsidRPr="00DD01E4">
        <w:rPr>
          <w:noProof w:val="0"/>
          <w:lang w:val="en-AU"/>
        </w:rPr>
        <w:t xml:space="preserve">, </w:t>
      </w:r>
      <w:r w:rsidRPr="00DD01E4">
        <w:rPr>
          <w:i/>
          <w:noProof w:val="0"/>
          <w:lang w:val="en-AU"/>
        </w:rPr>
        <w:t>Journal of Invertebrate Pathology</w:t>
      </w:r>
      <w:r w:rsidRPr="00DD01E4">
        <w:rPr>
          <w:noProof w:val="0"/>
          <w:lang w:val="en-AU"/>
        </w:rPr>
        <w:t>, vol. 187, p. 107690</w:t>
      </w:r>
      <w:r w:rsidR="00DD01E4">
        <w:rPr>
          <w:noProof w:val="0"/>
          <w:lang w:val="en-AU"/>
        </w:rPr>
        <w:t xml:space="preserve">, DOI: </w:t>
      </w:r>
      <w:r w:rsidR="00DD01E4" w:rsidRPr="00DD01E4">
        <w:rPr>
          <w:noProof w:val="0"/>
          <w:lang w:val="en-AU"/>
        </w:rPr>
        <w:t>10.1016/j.jip.2021.107690</w:t>
      </w:r>
      <w:r w:rsidR="00DD01E4">
        <w:rPr>
          <w:noProof w:val="0"/>
          <w:lang w:val="en-AU"/>
        </w:rPr>
        <w:t>.</w:t>
      </w:r>
    </w:p>
    <w:p w14:paraId="6E2705DA" w14:textId="139CC2B7" w:rsidR="00C80491" w:rsidRDefault="00C80491" w:rsidP="00C80491">
      <w:pPr>
        <w:spacing w:line="240" w:lineRule="auto"/>
        <w:rPr>
          <w:lang w:eastAsia="ja-JP"/>
        </w:rPr>
      </w:pPr>
      <w:r w:rsidRPr="00557DCA">
        <w:rPr>
          <w:lang w:eastAsia="ja-JP"/>
        </w:rPr>
        <w:t>Muñoz</w:t>
      </w:r>
      <w:r>
        <w:rPr>
          <w:lang w:eastAsia="ja-JP"/>
        </w:rPr>
        <w:t>,</w:t>
      </w:r>
      <w:r w:rsidRPr="00557DCA">
        <w:rPr>
          <w:lang w:eastAsia="ja-JP"/>
        </w:rPr>
        <w:t xml:space="preserve"> J &amp; McDonald, J 2014</w:t>
      </w:r>
      <w:r>
        <w:rPr>
          <w:lang w:eastAsia="ja-JP"/>
        </w:rPr>
        <w:t xml:space="preserve">, </w:t>
      </w:r>
      <w:hyperlink r:id="rId530" w:history="1">
        <w:r w:rsidRPr="00557DCA">
          <w:rPr>
            <w:rStyle w:val="Hyperlink"/>
          </w:rPr>
          <w:t xml:space="preserve">Potential eradication and control methods for the management of the Ascidian </w:t>
        </w:r>
        <w:r w:rsidRPr="00557DCA">
          <w:rPr>
            <w:rStyle w:val="Hyperlink"/>
            <w:i/>
            <w:iCs/>
          </w:rPr>
          <w:t>Didemnum perlucidum</w:t>
        </w:r>
        <w:r w:rsidRPr="00557DCA">
          <w:rPr>
            <w:rStyle w:val="Hyperlink"/>
          </w:rPr>
          <w:t xml:space="preserve"> in Western Australia</w:t>
        </w:r>
      </w:hyperlink>
      <w:r>
        <w:rPr>
          <w:lang w:eastAsia="ja-JP"/>
        </w:rPr>
        <w:t xml:space="preserve"> </w:t>
      </w:r>
      <w:r w:rsidRPr="00557DCA">
        <w:rPr>
          <w:lang w:eastAsia="ja-JP"/>
        </w:rPr>
        <w:t xml:space="preserve"> Fisheries Research Report No. 252. Fisheries Research Division, Western Australia, accessed 21 March 2023.</w:t>
      </w:r>
    </w:p>
    <w:p w14:paraId="0D5B45E0" w14:textId="35650778" w:rsidR="007075D7" w:rsidRDefault="007075D7" w:rsidP="00C80491">
      <w:pPr>
        <w:spacing w:line="240" w:lineRule="auto"/>
        <w:rPr>
          <w:lang w:eastAsia="ja-JP"/>
        </w:rPr>
      </w:pPr>
      <w:r>
        <w:rPr>
          <w:lang w:eastAsia="ja-JP"/>
        </w:rPr>
        <w:t xml:space="preserve">Nayar, KN, Rajapandian, ME, Gandhi, AD &amp; Gopinathan, CP 1984, </w:t>
      </w:r>
      <w:hyperlink r:id="rId531" w:history="1">
        <w:r w:rsidRPr="007075D7">
          <w:rPr>
            <w:rStyle w:val="Hyperlink"/>
            <w:lang w:eastAsia="ja-JP"/>
          </w:rPr>
          <w:t xml:space="preserve">Larval rearing and production of spat of the oyster </w:t>
        </w:r>
        <w:r w:rsidRPr="007075D7">
          <w:rPr>
            <w:rStyle w:val="Hyperlink"/>
            <w:i/>
            <w:iCs/>
            <w:lang w:eastAsia="ja-JP"/>
          </w:rPr>
          <w:t xml:space="preserve">Crassostrea </w:t>
        </w:r>
        <w:proofErr w:type="spellStart"/>
        <w:r w:rsidRPr="007075D7">
          <w:rPr>
            <w:rStyle w:val="Hyperlink"/>
            <w:i/>
            <w:iCs/>
            <w:lang w:eastAsia="ja-JP"/>
          </w:rPr>
          <w:t>madrasensis</w:t>
        </w:r>
        <w:proofErr w:type="spellEnd"/>
        <w:r w:rsidRPr="007075D7">
          <w:rPr>
            <w:rStyle w:val="Hyperlink"/>
            <w:lang w:eastAsia="ja-JP"/>
          </w:rPr>
          <w:t xml:space="preserve"> (Preston) in an Experimental hatchery</w:t>
        </w:r>
      </w:hyperlink>
      <w:r>
        <w:rPr>
          <w:lang w:eastAsia="ja-JP"/>
        </w:rPr>
        <w:t xml:space="preserve">, </w:t>
      </w:r>
      <w:r>
        <w:rPr>
          <w:i/>
          <w:iCs/>
          <w:lang w:eastAsia="ja-JP"/>
        </w:rPr>
        <w:t xml:space="preserve">Indian Journal of Fisheries, </w:t>
      </w:r>
      <w:r>
        <w:rPr>
          <w:lang w:eastAsia="ja-JP"/>
        </w:rPr>
        <w:t>vol. 31, no. 2, pp. 233-243.</w:t>
      </w:r>
    </w:p>
    <w:p w14:paraId="39162E2F" w14:textId="014ED829" w:rsidR="004E1C0D" w:rsidRPr="007075D7" w:rsidRDefault="004E1C0D" w:rsidP="004E1C0D">
      <w:pPr>
        <w:rPr>
          <w:lang w:eastAsia="ja-JP"/>
        </w:rPr>
      </w:pPr>
      <w:r w:rsidRPr="004E1C0D">
        <w:rPr>
          <w:lang w:eastAsia="ja-JP"/>
        </w:rPr>
        <w:t>Nehring S, 2011</w:t>
      </w:r>
      <w:r>
        <w:rPr>
          <w:lang w:eastAsia="ja-JP"/>
        </w:rPr>
        <w:t xml:space="preserve">, </w:t>
      </w:r>
      <w:hyperlink r:id="rId532" w:history="1">
        <w:r w:rsidRPr="004E1C0D">
          <w:rPr>
            <w:rStyle w:val="Hyperlink"/>
            <w:lang w:eastAsia="ja-JP"/>
          </w:rPr>
          <w:t>NOBANIS - Invasive Alien Species Fact Sheet - Crassostrea gigas</w:t>
        </w:r>
      </w:hyperlink>
      <w:r>
        <w:rPr>
          <w:lang w:eastAsia="ja-JP"/>
        </w:rPr>
        <w:t>,</w:t>
      </w:r>
      <w:r w:rsidRPr="004E1C0D">
        <w:rPr>
          <w:lang w:eastAsia="ja-JP"/>
        </w:rPr>
        <w:t xml:space="preserve"> Online Database of the European Network on Invasive Alien Species </w:t>
      </w:r>
      <w:r>
        <w:rPr>
          <w:lang w:eastAsia="ja-JP"/>
        </w:rPr>
        <w:t>–</w:t>
      </w:r>
      <w:r w:rsidRPr="004E1C0D">
        <w:rPr>
          <w:lang w:eastAsia="ja-JP"/>
        </w:rPr>
        <w:t xml:space="preserve"> NOBANIS</w:t>
      </w:r>
      <w:r>
        <w:rPr>
          <w:lang w:eastAsia="ja-JP"/>
        </w:rPr>
        <w:t xml:space="preserve">, accessed 24 July 2024. </w:t>
      </w:r>
    </w:p>
    <w:p w14:paraId="76EAB7AC" w14:textId="5D1B8E5A" w:rsidR="006939E1" w:rsidRPr="00DD01E4" w:rsidRDefault="00B5740F" w:rsidP="00C80491">
      <w:pPr>
        <w:pStyle w:val="EndNoteBibliography"/>
        <w:rPr>
          <w:noProof w:val="0"/>
          <w:lang w:val="en-AU"/>
        </w:rPr>
      </w:pPr>
      <w:r w:rsidRPr="00DD01E4">
        <w:rPr>
          <w:noProof w:val="0"/>
          <w:lang w:val="en-AU"/>
        </w:rPr>
        <w:t xml:space="preserve">Neil, K &amp; Stafford, H 2005, </w:t>
      </w:r>
      <w:r w:rsidRPr="00DD01E4">
        <w:rPr>
          <w:i/>
          <w:iCs/>
          <w:noProof w:val="0"/>
          <w:lang w:val="en-AU"/>
        </w:rPr>
        <w:t>Efficacy of treatments against internal biofouling in small vessels</w:t>
      </w:r>
      <w:r w:rsidRPr="00DD01E4">
        <w:rPr>
          <w:noProof w:val="0"/>
          <w:lang w:val="en-AU"/>
        </w:rPr>
        <w:t>, Queensland Department of Primary Industries and Fisheries and CRC Reef. Report to the Department of Agriculture, Fisheries and Forestry, Barton, ACT, Australia, p. 30.</w:t>
      </w:r>
    </w:p>
    <w:p w14:paraId="7EAF8732" w14:textId="5D6490B4" w:rsidR="003438F4" w:rsidRDefault="00B5740F" w:rsidP="00C80491">
      <w:pPr>
        <w:pStyle w:val="EndNoteBibliography"/>
        <w:rPr>
          <w:noProof w:val="0"/>
          <w:lang w:val="en-AU"/>
        </w:rPr>
      </w:pPr>
      <w:r w:rsidRPr="00DD01E4">
        <w:rPr>
          <w:noProof w:val="0"/>
          <w:lang w:val="en-AU"/>
        </w:rPr>
        <w:t xml:space="preserve">Nicolini, MH &amp; Penry, DL 2000, </w:t>
      </w:r>
      <w:hyperlink r:id="rId533" w:history="1">
        <w:r w:rsidRPr="00DD01E4">
          <w:rPr>
            <w:rStyle w:val="Hyperlink"/>
            <w:noProof w:val="0"/>
            <w:lang w:val="en-AU"/>
          </w:rPr>
          <w:t xml:space="preserve">Spawning, fertilization, and larval development of </w:t>
        </w:r>
        <w:r w:rsidRPr="00DD01E4">
          <w:rPr>
            <w:rStyle w:val="Hyperlink"/>
            <w:i/>
            <w:noProof w:val="0"/>
            <w:lang w:val="en-AU"/>
          </w:rPr>
          <w:t>Potamocorbula amurensis</w:t>
        </w:r>
        <w:r w:rsidRPr="00DD01E4">
          <w:rPr>
            <w:rStyle w:val="Hyperlink"/>
            <w:noProof w:val="0"/>
            <w:lang w:val="en-AU"/>
          </w:rPr>
          <w:t xml:space="preserve"> (Mollusca: Bivalvia) from San Francisco Bay, California</w:t>
        </w:r>
        <w:bookmarkStart w:id="817" w:name="_Hlk117176800"/>
      </w:hyperlink>
      <w:r w:rsidR="00B32D1B" w:rsidRPr="00DD01E4">
        <w:rPr>
          <w:noProof w:val="0"/>
          <w:lang w:val="en-AU"/>
        </w:rPr>
        <w:t xml:space="preserve">, </w:t>
      </w:r>
      <w:r w:rsidR="00B32D1B" w:rsidRPr="00DD01E4">
        <w:rPr>
          <w:i/>
          <w:iCs/>
          <w:noProof w:val="0"/>
          <w:lang w:val="en-AU"/>
        </w:rPr>
        <w:t>Pacific Science</w:t>
      </w:r>
      <w:r w:rsidR="00B32D1B" w:rsidRPr="00DD01E4">
        <w:rPr>
          <w:noProof w:val="0"/>
          <w:lang w:val="en-AU"/>
        </w:rPr>
        <w:t>, vol. 54, no. 4, 377-388</w:t>
      </w:r>
      <w:bookmarkEnd w:id="817"/>
      <w:r w:rsidR="00DD01E4">
        <w:rPr>
          <w:noProof w:val="0"/>
          <w:lang w:val="en-AU"/>
        </w:rPr>
        <w:t>.</w:t>
      </w:r>
    </w:p>
    <w:p w14:paraId="60E1AC0B" w14:textId="18A9C951" w:rsidR="005704F6" w:rsidRDefault="005704F6" w:rsidP="005704F6">
      <w:pPr>
        <w:pStyle w:val="EndNoteBibliography"/>
        <w:rPr>
          <w:noProof w:val="0"/>
          <w:lang w:val="en-AU"/>
        </w:rPr>
      </w:pPr>
      <w:r w:rsidRPr="005704F6">
        <w:rPr>
          <w:noProof w:val="0"/>
          <w:lang w:val="en-AU"/>
        </w:rPr>
        <w:t>Northern Territory Government 2014</w:t>
      </w:r>
      <w:r w:rsidR="00125EBD">
        <w:rPr>
          <w:noProof w:val="0"/>
          <w:lang w:val="en-AU"/>
        </w:rPr>
        <w:t xml:space="preserve">, </w:t>
      </w:r>
      <w:hyperlink r:id="rId534" w:history="1">
        <w:r w:rsidRPr="00125EBD">
          <w:rPr>
            <w:rStyle w:val="Hyperlink"/>
            <w:noProof w:val="0"/>
            <w:lang w:val="en-AU"/>
          </w:rPr>
          <w:t>Monitoring for marine pests: Darwin Harbour</w:t>
        </w:r>
        <w:r w:rsidR="00125EBD" w:rsidRPr="00125EBD">
          <w:rPr>
            <w:rStyle w:val="Hyperlink"/>
            <w:noProof w:val="0"/>
            <w:lang w:val="en-AU"/>
          </w:rPr>
          <w:t xml:space="preserve">, </w:t>
        </w:r>
        <w:r w:rsidRPr="00125EBD">
          <w:rPr>
            <w:rStyle w:val="Hyperlink"/>
            <w:noProof w:val="0"/>
            <w:lang w:val="en-AU"/>
          </w:rPr>
          <w:t>2012-13 report</w:t>
        </w:r>
      </w:hyperlink>
      <w:r w:rsidR="00125EBD">
        <w:rPr>
          <w:noProof w:val="0"/>
          <w:lang w:val="en-AU"/>
        </w:rPr>
        <w:t xml:space="preserve">, </w:t>
      </w:r>
      <w:r w:rsidRPr="005704F6">
        <w:rPr>
          <w:noProof w:val="0"/>
          <w:lang w:val="en-AU"/>
        </w:rPr>
        <w:t>Northern Territory Government, Darwin, pp. 34.</w:t>
      </w:r>
    </w:p>
    <w:p w14:paraId="08E65196" w14:textId="42A38170" w:rsidR="00BD2644" w:rsidRPr="00341E8D" w:rsidRDefault="00341E8D" w:rsidP="00C80491">
      <w:pPr>
        <w:pStyle w:val="EndNoteBibliography"/>
        <w:rPr>
          <w:noProof w:val="0"/>
          <w:lang w:val="en-AU"/>
        </w:rPr>
      </w:pPr>
      <w:proofErr w:type="spellStart"/>
      <w:r>
        <w:rPr>
          <w:noProof w:val="0"/>
          <w:lang w:val="en-AU"/>
        </w:rPr>
        <w:t>Nuñal</w:t>
      </w:r>
      <w:proofErr w:type="spellEnd"/>
      <w:r>
        <w:rPr>
          <w:noProof w:val="0"/>
          <w:lang w:val="en-AU"/>
        </w:rPr>
        <w:t xml:space="preserve">, SN, Monaya, KJM, </w:t>
      </w:r>
      <w:proofErr w:type="spellStart"/>
      <w:r>
        <w:rPr>
          <w:noProof w:val="0"/>
          <w:lang w:val="en-AU"/>
        </w:rPr>
        <w:t>Mueda</w:t>
      </w:r>
      <w:proofErr w:type="spellEnd"/>
      <w:r>
        <w:rPr>
          <w:noProof w:val="0"/>
          <w:lang w:val="en-AU"/>
        </w:rPr>
        <w:t xml:space="preserve">, CRT &amp; Leon, SMSD 2023, </w:t>
      </w:r>
      <w:hyperlink r:id="rId535" w:history="1">
        <w:r w:rsidRPr="00341E8D">
          <w:rPr>
            <w:rStyle w:val="Hyperlink"/>
            <w:noProof w:val="0"/>
            <w:lang w:val="en-AU"/>
          </w:rPr>
          <w:t>Microbiological quality of oysters and mussels along its market supply chain</w:t>
        </w:r>
      </w:hyperlink>
      <w:r>
        <w:rPr>
          <w:noProof w:val="0"/>
          <w:lang w:val="en-AU"/>
        </w:rPr>
        <w:t xml:space="preserve">, </w:t>
      </w:r>
      <w:r>
        <w:rPr>
          <w:i/>
          <w:iCs/>
          <w:noProof w:val="0"/>
          <w:lang w:val="en-AU"/>
        </w:rPr>
        <w:t xml:space="preserve">Journal of Food Protection, </w:t>
      </w:r>
      <w:r>
        <w:rPr>
          <w:noProof w:val="0"/>
          <w:lang w:val="en-AU"/>
        </w:rPr>
        <w:t xml:space="preserve">vol. 86, no. 3, pp. 100063, DOI: </w:t>
      </w:r>
      <w:r w:rsidRPr="00341E8D">
        <w:rPr>
          <w:noProof w:val="0"/>
          <w:lang w:val="en-AU"/>
        </w:rPr>
        <w:t>10.1016/j.jfp.2023.100063</w:t>
      </w:r>
      <w:r>
        <w:rPr>
          <w:noProof w:val="0"/>
          <w:lang w:val="en-AU"/>
        </w:rPr>
        <w:t>.</w:t>
      </w:r>
    </w:p>
    <w:p w14:paraId="6936D7FE" w14:textId="3DDA12FF" w:rsidR="006939E1" w:rsidRDefault="00B5740F" w:rsidP="00C80491">
      <w:pPr>
        <w:pStyle w:val="EndNoteBibliography"/>
        <w:rPr>
          <w:noProof w:val="0"/>
          <w:lang w:val="en-AU"/>
        </w:rPr>
      </w:pPr>
      <w:r w:rsidRPr="00DD01E4">
        <w:rPr>
          <w:noProof w:val="0"/>
          <w:lang w:val="en-AU"/>
        </w:rPr>
        <w:t xml:space="preserve">Ogilvie, SC, Fox, SP, Ross, AH, Ross, MR &amp; Schiel DR 2004, </w:t>
      </w:r>
      <w:hyperlink r:id="rId536" w:history="1">
        <w:r w:rsidRPr="00DD01E4">
          <w:rPr>
            <w:rStyle w:val="Hyperlink"/>
            <w:noProof w:val="0"/>
            <w:lang w:val="en-AU"/>
          </w:rPr>
          <w:t>Growth of cultured mussels (</w:t>
        </w:r>
        <w:r w:rsidRPr="00DD01E4">
          <w:rPr>
            <w:rStyle w:val="Hyperlink"/>
            <w:i/>
            <w:iCs/>
            <w:noProof w:val="0"/>
            <w:lang w:val="en-AU"/>
          </w:rPr>
          <w:t>Perna canaliculus</w:t>
        </w:r>
        <w:r w:rsidRPr="00DD01E4">
          <w:rPr>
            <w:rStyle w:val="Hyperlink"/>
            <w:noProof w:val="0"/>
            <w:lang w:val="en-AU"/>
          </w:rPr>
          <w:t xml:space="preserve"> </w:t>
        </w:r>
        <w:proofErr w:type="spellStart"/>
        <w:r w:rsidRPr="00DD01E4">
          <w:rPr>
            <w:rStyle w:val="Hyperlink"/>
            <w:noProof w:val="0"/>
            <w:lang w:val="en-AU"/>
          </w:rPr>
          <w:t>Gmelin</w:t>
        </w:r>
        <w:proofErr w:type="spellEnd"/>
        <w:r w:rsidRPr="00DD01E4">
          <w:rPr>
            <w:rStyle w:val="Hyperlink"/>
            <w:noProof w:val="0"/>
            <w:lang w:val="en-AU"/>
          </w:rPr>
          <w:t xml:space="preserve"> 1791) at a deep-water chlorophyll maximum layer</w:t>
        </w:r>
      </w:hyperlink>
      <w:r w:rsidRPr="00DD01E4">
        <w:rPr>
          <w:noProof w:val="0"/>
          <w:lang w:val="en-AU"/>
        </w:rPr>
        <w:t xml:space="preserve">, </w:t>
      </w:r>
      <w:r w:rsidRPr="00DD01E4">
        <w:rPr>
          <w:i/>
          <w:iCs/>
          <w:noProof w:val="0"/>
          <w:lang w:val="en-AU"/>
        </w:rPr>
        <w:t xml:space="preserve">Aquaculture Research </w:t>
      </w:r>
      <w:r w:rsidRPr="00DD01E4">
        <w:rPr>
          <w:noProof w:val="0"/>
          <w:lang w:val="en-AU"/>
        </w:rPr>
        <w:t>v</w:t>
      </w:r>
      <w:r w:rsidR="003438F4" w:rsidRPr="00DD01E4">
        <w:rPr>
          <w:noProof w:val="0"/>
          <w:lang w:val="en-AU"/>
        </w:rPr>
        <w:t>ol</w:t>
      </w:r>
      <w:r w:rsidRPr="00DD01E4">
        <w:rPr>
          <w:noProof w:val="0"/>
          <w:lang w:val="en-AU"/>
        </w:rPr>
        <w:t>. 35, pp. 1253-60</w:t>
      </w:r>
      <w:r w:rsidR="00DD01E4">
        <w:rPr>
          <w:noProof w:val="0"/>
          <w:lang w:val="en-AU"/>
        </w:rPr>
        <w:t xml:space="preserve">, DOI: </w:t>
      </w:r>
      <w:r w:rsidR="00DD01E4" w:rsidRPr="00DD01E4">
        <w:rPr>
          <w:noProof w:val="0"/>
          <w:lang w:val="en-AU"/>
        </w:rPr>
        <w:t>10.1111/j.1365-2109.2004.01147.x</w:t>
      </w:r>
      <w:r w:rsidR="00DD01E4">
        <w:rPr>
          <w:noProof w:val="0"/>
          <w:lang w:val="en-AU"/>
        </w:rPr>
        <w:t>.</w:t>
      </w:r>
    </w:p>
    <w:p w14:paraId="1248DF55" w14:textId="3AF3B4FA" w:rsidR="006939E1" w:rsidRPr="00DD01E4" w:rsidRDefault="00B5740F" w:rsidP="00C80491">
      <w:pPr>
        <w:pStyle w:val="EndNoteBibliography"/>
        <w:rPr>
          <w:noProof w:val="0"/>
          <w:lang w:val="en-AU"/>
        </w:rPr>
      </w:pPr>
      <w:r w:rsidRPr="00DD01E4">
        <w:rPr>
          <w:noProof w:val="0"/>
          <w:lang w:val="en-AU"/>
        </w:rPr>
        <w:t xml:space="preserve">Padilla, DK 2010, </w:t>
      </w:r>
      <w:hyperlink r:id="rId537" w:history="1">
        <w:r w:rsidRPr="00DD01E4">
          <w:rPr>
            <w:rStyle w:val="Hyperlink"/>
            <w:noProof w:val="0"/>
            <w:lang w:val="en-AU"/>
          </w:rPr>
          <w:t xml:space="preserve">Context-dependent impacts of a non-native ecosystem engineer, the Pacific oyster </w:t>
        </w:r>
        <w:r w:rsidRPr="00DD01E4">
          <w:rPr>
            <w:rStyle w:val="Hyperlink"/>
            <w:i/>
            <w:noProof w:val="0"/>
            <w:lang w:val="en-AU"/>
          </w:rPr>
          <w:t>Crassostrea gigas</w:t>
        </w:r>
      </w:hyperlink>
      <w:r w:rsidRPr="00DD01E4">
        <w:rPr>
          <w:noProof w:val="0"/>
          <w:lang w:val="en-AU"/>
        </w:rPr>
        <w:t xml:space="preserve">, </w:t>
      </w:r>
      <w:r w:rsidRPr="00DD01E4">
        <w:rPr>
          <w:i/>
          <w:noProof w:val="0"/>
          <w:lang w:val="en-AU"/>
        </w:rPr>
        <w:t>Integrative and Comparative Biology</w:t>
      </w:r>
      <w:r w:rsidRPr="00DD01E4">
        <w:rPr>
          <w:noProof w:val="0"/>
          <w:lang w:val="en-AU"/>
        </w:rPr>
        <w:t>, vol. 50, no. 2, pp. 213-25</w:t>
      </w:r>
      <w:r w:rsidR="00DD01E4">
        <w:rPr>
          <w:noProof w:val="0"/>
          <w:lang w:val="en-AU"/>
        </w:rPr>
        <w:t xml:space="preserve">, DOI: </w:t>
      </w:r>
      <w:r w:rsidR="00DD01E4" w:rsidRPr="00DD01E4">
        <w:rPr>
          <w:noProof w:val="0"/>
          <w:lang w:val="en-AU"/>
        </w:rPr>
        <w:t>10.1093/</w:t>
      </w:r>
      <w:proofErr w:type="spellStart"/>
      <w:r w:rsidR="00DD01E4" w:rsidRPr="00DD01E4">
        <w:rPr>
          <w:noProof w:val="0"/>
          <w:lang w:val="en-AU"/>
        </w:rPr>
        <w:t>icb</w:t>
      </w:r>
      <w:proofErr w:type="spellEnd"/>
      <w:r w:rsidR="00DD01E4" w:rsidRPr="00DD01E4">
        <w:rPr>
          <w:noProof w:val="0"/>
          <w:lang w:val="en-AU"/>
        </w:rPr>
        <w:t>/icq080</w:t>
      </w:r>
      <w:r w:rsidR="00DD01E4">
        <w:rPr>
          <w:noProof w:val="0"/>
          <w:lang w:val="en-AU"/>
        </w:rPr>
        <w:t>.</w:t>
      </w:r>
    </w:p>
    <w:p w14:paraId="4447EAEB" w14:textId="6B792BB5" w:rsidR="006939E1" w:rsidRPr="00DD01E4" w:rsidRDefault="00B5740F" w:rsidP="00C80491">
      <w:pPr>
        <w:pStyle w:val="EndNoteBibliography"/>
        <w:rPr>
          <w:noProof w:val="0"/>
          <w:lang w:val="en-AU"/>
        </w:rPr>
      </w:pPr>
      <w:r w:rsidRPr="00DD01E4">
        <w:rPr>
          <w:noProof w:val="0"/>
          <w:lang w:val="en-AU"/>
        </w:rPr>
        <w:t xml:space="preserve">Panetta, FD &amp; Lawes, R 2005, </w:t>
      </w:r>
      <w:hyperlink r:id="rId538" w:history="1">
        <w:r w:rsidRPr="00DD01E4">
          <w:rPr>
            <w:rStyle w:val="Hyperlink"/>
            <w:noProof w:val="0"/>
            <w:lang w:val="en-AU"/>
          </w:rPr>
          <w:t>Evaluation of weed eradication programs: the delimitation of extent</w:t>
        </w:r>
      </w:hyperlink>
      <w:r w:rsidRPr="00DD01E4">
        <w:rPr>
          <w:noProof w:val="0"/>
          <w:lang w:val="en-AU"/>
        </w:rPr>
        <w:t xml:space="preserve">, </w:t>
      </w:r>
      <w:r w:rsidRPr="00DD01E4">
        <w:rPr>
          <w:i/>
          <w:noProof w:val="0"/>
          <w:lang w:val="en-AU"/>
        </w:rPr>
        <w:t>Diversity and Distributions</w:t>
      </w:r>
      <w:r w:rsidRPr="00DD01E4">
        <w:rPr>
          <w:noProof w:val="0"/>
          <w:lang w:val="en-AU"/>
        </w:rPr>
        <w:t>, vol. 11, no. 5, pp. 435-42</w:t>
      </w:r>
      <w:r w:rsidR="00DD01E4">
        <w:rPr>
          <w:noProof w:val="0"/>
          <w:lang w:val="en-AU"/>
        </w:rPr>
        <w:t xml:space="preserve">, DOI: </w:t>
      </w:r>
      <w:r w:rsidR="00DD01E4" w:rsidRPr="00DD01E4">
        <w:rPr>
          <w:noProof w:val="0"/>
          <w:lang w:val="en-AU"/>
        </w:rPr>
        <w:t>10.1111/j.1366-9516.2005.00179.x</w:t>
      </w:r>
      <w:r w:rsidR="00DD01E4">
        <w:rPr>
          <w:noProof w:val="0"/>
          <w:lang w:val="en-AU"/>
        </w:rPr>
        <w:t>.</w:t>
      </w:r>
    </w:p>
    <w:p w14:paraId="686C4EBC" w14:textId="4BF2A40B" w:rsidR="006939E1" w:rsidRDefault="00B5740F" w:rsidP="00C80491">
      <w:pPr>
        <w:pStyle w:val="EndNoteBibliography"/>
        <w:rPr>
          <w:noProof w:val="0"/>
          <w:lang w:val="en-AU"/>
        </w:rPr>
      </w:pPr>
      <w:proofErr w:type="spellStart"/>
      <w:r w:rsidRPr="00DD01E4">
        <w:rPr>
          <w:noProof w:val="0"/>
          <w:lang w:val="en-AU"/>
        </w:rPr>
        <w:t>Parchaso</w:t>
      </w:r>
      <w:proofErr w:type="spellEnd"/>
      <w:r w:rsidRPr="00DD01E4">
        <w:rPr>
          <w:noProof w:val="0"/>
          <w:lang w:val="en-AU"/>
        </w:rPr>
        <w:t xml:space="preserve">, F &amp; Thompson, JK 2002, </w:t>
      </w:r>
      <w:hyperlink r:id="rId539" w:history="1">
        <w:r w:rsidRPr="00DD01E4">
          <w:rPr>
            <w:rStyle w:val="Hyperlink"/>
            <w:noProof w:val="0"/>
            <w:lang w:val="en-AU"/>
          </w:rPr>
          <w:t xml:space="preserve">Influence of hydrologic processes on reproduction of the introduced bivalve </w:t>
        </w:r>
        <w:r w:rsidRPr="00DD01E4">
          <w:rPr>
            <w:rStyle w:val="Hyperlink"/>
            <w:i/>
            <w:iCs/>
            <w:noProof w:val="0"/>
            <w:lang w:val="en-AU"/>
          </w:rPr>
          <w:t>Potamocorbula amurensis</w:t>
        </w:r>
        <w:r w:rsidRPr="00DD01E4">
          <w:rPr>
            <w:rStyle w:val="Hyperlink"/>
            <w:noProof w:val="0"/>
            <w:lang w:val="en-AU"/>
          </w:rPr>
          <w:t xml:space="preserve"> in northern San Francisco Bay, California</w:t>
        </w:r>
      </w:hyperlink>
      <w:r w:rsidRPr="00DD01E4">
        <w:rPr>
          <w:noProof w:val="0"/>
          <w:lang w:val="en-AU"/>
        </w:rPr>
        <w:t xml:space="preserve">, </w:t>
      </w:r>
      <w:r w:rsidRPr="00DD01E4">
        <w:rPr>
          <w:i/>
          <w:noProof w:val="0"/>
          <w:lang w:val="en-AU"/>
        </w:rPr>
        <w:t>Pacific Science</w:t>
      </w:r>
      <w:r w:rsidRPr="00DD01E4">
        <w:rPr>
          <w:noProof w:val="0"/>
          <w:lang w:val="en-AU"/>
        </w:rPr>
        <w:t>, vol. 56, no. 3, pp. 329-45</w:t>
      </w:r>
      <w:r w:rsidR="00DD01E4" w:rsidRPr="00DD01E4">
        <w:rPr>
          <w:noProof w:val="0"/>
          <w:lang w:val="en-AU"/>
        </w:rPr>
        <w:t>, DOI: 10.1353/psc.2002.0027.</w:t>
      </w:r>
    </w:p>
    <w:p w14:paraId="4A7C696F" w14:textId="54DF133B" w:rsidR="00246AE3" w:rsidRPr="00246AE3" w:rsidRDefault="00246AE3" w:rsidP="00C80491">
      <w:pPr>
        <w:pStyle w:val="EndNoteBibliography"/>
        <w:rPr>
          <w:noProof w:val="0"/>
          <w:lang w:val="en-AU"/>
        </w:rPr>
      </w:pPr>
      <w:r>
        <w:rPr>
          <w:noProof w:val="0"/>
          <w:lang w:val="en-AU"/>
        </w:rPr>
        <w:t xml:space="preserve">Parry, GD, Lockett, MM, Crook, DP, Coleman, N &amp; Sinclair, MA 1996, </w:t>
      </w:r>
      <w:hyperlink r:id="rId540" w:history="1">
        <w:r w:rsidRPr="00246AE3">
          <w:rPr>
            <w:rStyle w:val="Hyperlink"/>
            <w:noProof w:val="0"/>
            <w:lang w:val="en-AU"/>
          </w:rPr>
          <w:t xml:space="preserve">Mapping and distribution of </w:t>
        </w:r>
        <w:r w:rsidRPr="00246AE3">
          <w:rPr>
            <w:rStyle w:val="Hyperlink"/>
            <w:i/>
            <w:iCs/>
            <w:noProof w:val="0"/>
            <w:lang w:val="en-AU"/>
          </w:rPr>
          <w:t xml:space="preserve">Sabella </w:t>
        </w:r>
        <w:proofErr w:type="spellStart"/>
        <w:r w:rsidRPr="00246AE3">
          <w:rPr>
            <w:rStyle w:val="Hyperlink"/>
            <w:i/>
            <w:iCs/>
            <w:noProof w:val="0"/>
            <w:lang w:val="en-AU"/>
          </w:rPr>
          <w:t>spallanzanii</w:t>
        </w:r>
        <w:proofErr w:type="spellEnd"/>
        <w:r w:rsidRPr="00246AE3">
          <w:rPr>
            <w:rStyle w:val="Hyperlink"/>
            <w:i/>
            <w:iCs/>
            <w:noProof w:val="0"/>
            <w:lang w:val="en-AU"/>
          </w:rPr>
          <w:t xml:space="preserve"> </w:t>
        </w:r>
        <w:r w:rsidRPr="00246AE3">
          <w:rPr>
            <w:rStyle w:val="Hyperlink"/>
            <w:noProof w:val="0"/>
            <w:lang w:val="en-AU"/>
          </w:rPr>
          <w:t>in Port Phillip Bay</w:t>
        </w:r>
      </w:hyperlink>
      <w:r>
        <w:rPr>
          <w:noProof w:val="0"/>
          <w:lang w:val="en-AU"/>
        </w:rPr>
        <w:t>, final report to Fisheries Research and Development Corporation (FRDC Project 94/164), Victoria, pp. 51.</w:t>
      </w:r>
    </w:p>
    <w:p w14:paraId="7F8D72C3" w14:textId="471BC7F4" w:rsidR="00C80491" w:rsidRPr="00DD01E4" w:rsidRDefault="00C80491" w:rsidP="00C80491">
      <w:pPr>
        <w:pStyle w:val="EndNoteBibliography"/>
        <w:rPr>
          <w:noProof w:val="0"/>
          <w:lang w:val="en-AU"/>
        </w:rPr>
      </w:pPr>
      <w:r w:rsidRPr="00FD712D">
        <w:rPr>
          <w:lang w:eastAsia="ja-JP"/>
        </w:rPr>
        <w:t>Pasko</w:t>
      </w:r>
      <w:r w:rsidRPr="00581E99">
        <w:rPr>
          <w:lang w:eastAsia="ja-JP"/>
        </w:rPr>
        <w:t>,</w:t>
      </w:r>
      <w:r w:rsidRPr="00FD712D">
        <w:rPr>
          <w:lang w:eastAsia="ja-JP"/>
        </w:rPr>
        <w:t xml:space="preserve"> S &amp; Goldberg</w:t>
      </w:r>
      <w:r w:rsidRPr="00581E99">
        <w:rPr>
          <w:lang w:eastAsia="ja-JP"/>
        </w:rPr>
        <w:t>,</w:t>
      </w:r>
      <w:r w:rsidRPr="00FD712D">
        <w:rPr>
          <w:lang w:eastAsia="ja-JP"/>
        </w:rPr>
        <w:t xml:space="preserve"> J, 2014</w:t>
      </w:r>
      <w:r>
        <w:rPr>
          <w:lang w:eastAsia="ja-JP"/>
        </w:rPr>
        <w:t xml:space="preserve">, </w:t>
      </w:r>
      <w:hyperlink r:id="rId541" w:history="1">
        <w:r w:rsidRPr="00581E99">
          <w:rPr>
            <w:rStyle w:val="Hyperlink"/>
          </w:rPr>
          <w:t>Review of harvest incentives to control invasive species</w:t>
        </w:r>
      </w:hyperlink>
      <w:r>
        <w:rPr>
          <w:lang w:eastAsia="ja-JP"/>
        </w:rPr>
        <w:t xml:space="preserve">, </w:t>
      </w:r>
      <w:r w:rsidRPr="00C80491">
        <w:rPr>
          <w:i/>
          <w:iCs/>
          <w:lang w:eastAsia="ja-JP"/>
        </w:rPr>
        <w:t>Management of Biological Invasions</w:t>
      </w:r>
      <w:r w:rsidRPr="00581E99">
        <w:rPr>
          <w:lang w:eastAsia="ja-JP"/>
        </w:rPr>
        <w:t>, vol. 5, no. 3</w:t>
      </w:r>
      <w:r w:rsidRPr="00FD712D">
        <w:rPr>
          <w:lang w:eastAsia="ja-JP"/>
        </w:rPr>
        <w:t>,</w:t>
      </w:r>
      <w:r w:rsidRPr="00581E99">
        <w:rPr>
          <w:lang w:eastAsia="ja-JP"/>
        </w:rPr>
        <w:t xml:space="preserve"> pp.</w:t>
      </w:r>
      <w:r w:rsidRPr="00FD712D">
        <w:rPr>
          <w:lang w:eastAsia="ja-JP"/>
        </w:rPr>
        <w:t xml:space="preserve"> 263</w:t>
      </w:r>
      <w:r w:rsidRPr="00FD712D">
        <w:t>–</w:t>
      </w:r>
      <w:r w:rsidRPr="00FD712D">
        <w:rPr>
          <w:lang w:eastAsia="ja-JP"/>
        </w:rPr>
        <w:t>77</w:t>
      </w:r>
      <w:r w:rsidRPr="00581E99">
        <w:rPr>
          <w:lang w:eastAsia="ja-JP"/>
        </w:rPr>
        <w:t xml:space="preserve">, DOI: </w:t>
      </w:r>
      <w:r w:rsidRPr="00FD712D">
        <w:rPr>
          <w:lang w:eastAsia="ja-JP"/>
        </w:rPr>
        <w:t>10.3391/mbi.2014.5.3.10.</w:t>
      </w:r>
    </w:p>
    <w:p w14:paraId="38818E17" w14:textId="5CA1ABF1" w:rsidR="006939E1" w:rsidRPr="00DD01E4" w:rsidRDefault="00B5740F" w:rsidP="00C80491">
      <w:pPr>
        <w:spacing w:line="240" w:lineRule="auto"/>
        <w:rPr>
          <w:rFonts w:ascii="Calibri" w:hAnsi="Calibri" w:cs="Calibri"/>
        </w:rPr>
      </w:pPr>
      <w:r w:rsidRPr="00DD01E4">
        <w:lastRenderedPageBreak/>
        <w:t xml:space="preserve">Patil, JG, Gunasekera, RM, Deagle, BE &amp; Bax, NJ 2005, </w:t>
      </w:r>
      <w:hyperlink r:id="rId542" w:history="1">
        <w:r w:rsidRPr="00DD01E4">
          <w:rPr>
            <w:rStyle w:val="Hyperlink"/>
          </w:rPr>
          <w:t>Specific detection of Pacific oyster (</w:t>
        </w:r>
        <w:r w:rsidRPr="00DD01E4">
          <w:rPr>
            <w:rStyle w:val="Hyperlink"/>
            <w:i/>
            <w:iCs/>
          </w:rPr>
          <w:t>Crassostrea gigas</w:t>
        </w:r>
        <w:r w:rsidRPr="00DD01E4">
          <w:rPr>
            <w:rStyle w:val="Hyperlink"/>
          </w:rPr>
          <w:t>) larvae in plankton samples using nested polymerase chain reaction</w:t>
        </w:r>
      </w:hyperlink>
      <w:r w:rsidRPr="00DD01E4">
        <w:t xml:space="preserve">, </w:t>
      </w:r>
      <w:r w:rsidRPr="00DD01E4">
        <w:rPr>
          <w:i/>
        </w:rPr>
        <w:t>Marine Biotechnology</w:t>
      </w:r>
      <w:r w:rsidRPr="00DD01E4">
        <w:t>, vol. 7, no. 1, pp. 11-20</w:t>
      </w:r>
      <w:r w:rsidR="00DD01E4">
        <w:t xml:space="preserve">, DOI: </w:t>
      </w:r>
      <w:r w:rsidR="00DD01E4" w:rsidRPr="00DD01E4">
        <w:rPr>
          <w:rFonts w:ascii="Calibri" w:hAnsi="Calibri" w:cs="Calibri"/>
        </w:rPr>
        <w:t>10.1007/s10126-004-0034-z</w:t>
      </w:r>
      <w:r w:rsidR="00DD01E4">
        <w:rPr>
          <w:rFonts w:ascii="Calibri" w:hAnsi="Calibri" w:cs="Calibri"/>
        </w:rPr>
        <w:t>.</w:t>
      </w:r>
    </w:p>
    <w:p w14:paraId="4E2488E0" w14:textId="7B76345C" w:rsidR="006939E1" w:rsidRPr="00DD01E4" w:rsidRDefault="00543FAD" w:rsidP="00C80491">
      <w:pPr>
        <w:pStyle w:val="EndNoteBibliography"/>
        <w:rPr>
          <w:noProof w:val="0"/>
          <w:lang w:val="en-AU"/>
        </w:rPr>
      </w:pPr>
      <w:bookmarkStart w:id="818" w:name="_Hlk117176824"/>
      <w:r w:rsidRPr="00DD01E4">
        <w:rPr>
          <w:noProof w:val="0"/>
          <w:lang w:val="en-AU"/>
        </w:rPr>
        <w:t xml:space="preserve">PIRSA 2019, </w:t>
      </w:r>
      <w:hyperlink r:id="rId543" w:history="1">
        <w:r w:rsidR="002A53E0" w:rsidRPr="00DD01E4">
          <w:rPr>
            <w:rStyle w:val="Hyperlink"/>
            <w:noProof w:val="0"/>
            <w:lang w:val="en-AU"/>
          </w:rPr>
          <w:t>Port River POMS outbreak in feral oyster</w:t>
        </w:r>
      </w:hyperlink>
      <w:r w:rsidR="002A53E0" w:rsidRPr="00DD01E4">
        <w:rPr>
          <w:noProof w:val="0"/>
          <w:lang w:val="en-AU"/>
        </w:rPr>
        <w:t>, Government of South Australia, Department of Primary Industries and Regions</w:t>
      </w:r>
      <w:r w:rsidR="00C23E04" w:rsidRPr="00DD01E4">
        <w:rPr>
          <w:noProof w:val="0"/>
          <w:lang w:val="en-AU"/>
        </w:rPr>
        <w:t xml:space="preserve">, accessed </w:t>
      </w:r>
      <w:r w:rsidR="002A53E0" w:rsidRPr="00DD01E4">
        <w:rPr>
          <w:noProof w:val="0"/>
          <w:lang w:val="en-AU"/>
        </w:rPr>
        <w:t>5 October 2022</w:t>
      </w:r>
      <w:r w:rsidR="00C23E04" w:rsidRPr="00DD01E4">
        <w:rPr>
          <w:noProof w:val="0"/>
          <w:lang w:val="en-AU"/>
        </w:rPr>
        <w:t>.</w:t>
      </w:r>
    </w:p>
    <w:bookmarkEnd w:id="818"/>
    <w:p w14:paraId="289785EA" w14:textId="0A6458B9" w:rsidR="006939E1" w:rsidRDefault="00B5740F" w:rsidP="00C80491">
      <w:pPr>
        <w:pStyle w:val="EndNoteBibliography"/>
        <w:rPr>
          <w:noProof w:val="0"/>
          <w:lang w:val="en-AU"/>
        </w:rPr>
      </w:pPr>
      <w:r w:rsidRPr="00DD01E4">
        <w:rPr>
          <w:noProof w:val="0"/>
          <w:lang w:val="en-AU"/>
        </w:rPr>
        <w:t xml:space="preserve">Piola, RF &amp; Hopkins, GA 2012, </w:t>
      </w:r>
      <w:hyperlink r:id="rId544" w:history="1">
        <w:r w:rsidRPr="00DD01E4">
          <w:rPr>
            <w:rStyle w:val="Hyperlink"/>
            <w:noProof w:val="0"/>
            <w:lang w:val="en-AU"/>
          </w:rPr>
          <w:t>Thermal treatment as a method to control transfers of invasive biofouling species via vessel sea chests</w:t>
        </w:r>
      </w:hyperlink>
      <w:r w:rsidRPr="00DD01E4">
        <w:rPr>
          <w:noProof w:val="0"/>
          <w:lang w:val="en-AU"/>
        </w:rPr>
        <w:t xml:space="preserve">, </w:t>
      </w:r>
      <w:r w:rsidRPr="00DD01E4">
        <w:rPr>
          <w:i/>
          <w:noProof w:val="0"/>
          <w:lang w:val="en-AU"/>
        </w:rPr>
        <w:t>Marine Pollution Bulletin</w:t>
      </w:r>
      <w:r w:rsidRPr="00DD01E4">
        <w:rPr>
          <w:noProof w:val="0"/>
          <w:lang w:val="en-AU"/>
        </w:rPr>
        <w:t>, vol. 64, no. 8, pp. 1620-30</w:t>
      </w:r>
      <w:r w:rsidR="00DD01E4">
        <w:rPr>
          <w:noProof w:val="0"/>
          <w:lang w:val="en-AU"/>
        </w:rPr>
        <w:t xml:space="preserve">, DOI: </w:t>
      </w:r>
      <w:r w:rsidR="00DD01E4" w:rsidRPr="00DD01E4">
        <w:rPr>
          <w:noProof w:val="0"/>
          <w:lang w:val="en-AU"/>
        </w:rPr>
        <w:t>10.1016/j.marpolbul.2012.05.028</w:t>
      </w:r>
      <w:r w:rsidR="00DD01E4">
        <w:rPr>
          <w:noProof w:val="0"/>
          <w:lang w:val="en-AU"/>
        </w:rPr>
        <w:t>.</w:t>
      </w:r>
    </w:p>
    <w:p w14:paraId="59B0A94B" w14:textId="616A5957" w:rsidR="007075D7" w:rsidRPr="007075D7" w:rsidRDefault="007075D7" w:rsidP="00C80491">
      <w:pPr>
        <w:pStyle w:val="EndNoteBibliography"/>
        <w:rPr>
          <w:noProof w:val="0"/>
          <w:lang w:val="en-AU"/>
        </w:rPr>
      </w:pPr>
      <w:proofErr w:type="spellStart"/>
      <w:r>
        <w:rPr>
          <w:noProof w:val="0"/>
          <w:lang w:val="en-AU"/>
        </w:rPr>
        <w:t>Piyathilaka</w:t>
      </w:r>
      <w:proofErr w:type="spellEnd"/>
      <w:r>
        <w:rPr>
          <w:noProof w:val="0"/>
          <w:lang w:val="en-AU"/>
        </w:rPr>
        <w:t xml:space="preserve">, MAPC, Hettiarachchi, M &amp; </w:t>
      </w:r>
      <w:proofErr w:type="spellStart"/>
      <w:r>
        <w:rPr>
          <w:noProof w:val="0"/>
          <w:lang w:val="en-AU"/>
        </w:rPr>
        <w:t>Wanninayake</w:t>
      </w:r>
      <w:proofErr w:type="spellEnd"/>
      <w:r>
        <w:rPr>
          <w:noProof w:val="0"/>
          <w:lang w:val="en-AU"/>
        </w:rPr>
        <w:t xml:space="preserve">, WMTB 2012, </w:t>
      </w:r>
      <w:hyperlink r:id="rId545" w:history="1">
        <w:r w:rsidRPr="007075D7">
          <w:rPr>
            <w:rStyle w:val="Hyperlink"/>
            <w:noProof w:val="0"/>
            <w:lang w:val="en-AU"/>
          </w:rPr>
          <w:t xml:space="preserve">Growth and health status of cultured edible oyster, </w:t>
        </w:r>
        <w:r w:rsidRPr="007075D7">
          <w:rPr>
            <w:rStyle w:val="Hyperlink"/>
            <w:i/>
            <w:iCs/>
            <w:noProof w:val="0"/>
            <w:lang w:val="en-AU"/>
          </w:rPr>
          <w:t xml:space="preserve">Crassostrea </w:t>
        </w:r>
        <w:proofErr w:type="spellStart"/>
        <w:r w:rsidRPr="007075D7">
          <w:rPr>
            <w:rStyle w:val="Hyperlink"/>
            <w:i/>
            <w:iCs/>
            <w:noProof w:val="0"/>
            <w:lang w:val="en-AU"/>
          </w:rPr>
          <w:t>madrasensis</w:t>
        </w:r>
        <w:proofErr w:type="spellEnd"/>
        <w:r w:rsidRPr="007075D7">
          <w:rPr>
            <w:rStyle w:val="Hyperlink"/>
            <w:noProof w:val="0"/>
            <w:lang w:val="en-AU"/>
          </w:rPr>
          <w:t xml:space="preserve"> (Preston) in the Panadura estuary, Sri Lanka</w:t>
        </w:r>
      </w:hyperlink>
      <w:r>
        <w:rPr>
          <w:noProof w:val="0"/>
          <w:lang w:val="en-AU"/>
        </w:rPr>
        <w:t xml:space="preserve">, </w:t>
      </w:r>
      <w:r>
        <w:rPr>
          <w:i/>
          <w:iCs/>
          <w:noProof w:val="0"/>
          <w:lang w:val="en-AU"/>
        </w:rPr>
        <w:t xml:space="preserve">Journal of the National Science Foundation of Sri Lanka, </w:t>
      </w:r>
      <w:r>
        <w:rPr>
          <w:noProof w:val="0"/>
          <w:lang w:val="en-AU"/>
        </w:rPr>
        <w:t xml:space="preserve">vol. 40, no. 3, pp. 201-210, DOI: </w:t>
      </w:r>
      <w:r w:rsidRPr="007075D7">
        <w:rPr>
          <w:noProof w:val="0"/>
          <w:lang w:val="en-AU"/>
        </w:rPr>
        <w:t>10.4038/jnsfsr.v40i3.4694</w:t>
      </w:r>
      <w:r>
        <w:rPr>
          <w:noProof w:val="0"/>
          <w:lang w:val="en-AU"/>
        </w:rPr>
        <w:t>.</w:t>
      </w:r>
    </w:p>
    <w:p w14:paraId="0D8B5BC0" w14:textId="50EC6E20" w:rsidR="006939E1" w:rsidRDefault="00B5740F" w:rsidP="00C80491">
      <w:pPr>
        <w:pStyle w:val="EndNoteBibliography"/>
        <w:rPr>
          <w:noProof w:val="0"/>
          <w:lang w:val="en-AU"/>
        </w:rPr>
      </w:pPr>
      <w:r w:rsidRPr="00DD01E4">
        <w:rPr>
          <w:noProof w:val="0"/>
          <w:lang w:val="en-AU"/>
        </w:rPr>
        <w:t xml:space="preserve">Poppe, GT &amp; Goto, Y 1991, </w:t>
      </w:r>
      <w:r w:rsidRPr="00DD01E4">
        <w:rPr>
          <w:i/>
          <w:noProof w:val="0"/>
          <w:lang w:val="en-AU"/>
        </w:rPr>
        <w:t>European Seashells: Scaphopoda, Bivalvia, Cephalopoda</w:t>
      </w:r>
      <w:r w:rsidRPr="00DD01E4">
        <w:rPr>
          <w:noProof w:val="0"/>
          <w:lang w:val="en-AU"/>
        </w:rPr>
        <w:t>, vol. 2, C. Hemmen.</w:t>
      </w:r>
    </w:p>
    <w:p w14:paraId="09CC3325" w14:textId="55219FDD" w:rsidR="0068745D" w:rsidRPr="00D841D3" w:rsidRDefault="0068745D" w:rsidP="00C80491">
      <w:pPr>
        <w:pStyle w:val="EndNoteBibliography"/>
        <w:rPr>
          <w:noProof w:val="0"/>
          <w:lang w:val="en-AU"/>
        </w:rPr>
      </w:pPr>
      <w:proofErr w:type="spellStart"/>
      <w:r>
        <w:rPr>
          <w:noProof w:val="0"/>
          <w:lang w:val="en-AU"/>
        </w:rPr>
        <w:t>Póvoa</w:t>
      </w:r>
      <w:proofErr w:type="spellEnd"/>
      <w:r>
        <w:rPr>
          <w:noProof w:val="0"/>
          <w:lang w:val="en-AU"/>
        </w:rPr>
        <w:t>, AA, Skinner, LF &amp; de Ara</w:t>
      </w:r>
      <w:r w:rsidR="00D841D3">
        <w:rPr>
          <w:noProof w:val="0"/>
          <w:lang w:val="en-AU"/>
        </w:rPr>
        <w:t xml:space="preserve">újo, FV 2021, </w:t>
      </w:r>
      <w:hyperlink r:id="rId546" w:history="1">
        <w:r w:rsidR="00D841D3" w:rsidRPr="00D841D3">
          <w:rPr>
            <w:rStyle w:val="Hyperlink"/>
            <w:noProof w:val="0"/>
            <w:lang w:val="en-AU"/>
          </w:rPr>
          <w:t>Fouling organisms in marine litter (rafting on abiogenic substrates): A global review of literature</w:t>
        </w:r>
      </w:hyperlink>
      <w:r w:rsidR="00D841D3">
        <w:rPr>
          <w:noProof w:val="0"/>
          <w:lang w:val="en-AU"/>
        </w:rPr>
        <w:t xml:space="preserve">, </w:t>
      </w:r>
      <w:r w:rsidR="00D841D3">
        <w:rPr>
          <w:i/>
          <w:iCs/>
          <w:noProof w:val="0"/>
          <w:lang w:val="en-AU"/>
        </w:rPr>
        <w:t xml:space="preserve">Marine Pollution Bulletin, </w:t>
      </w:r>
      <w:r w:rsidR="00D841D3">
        <w:rPr>
          <w:noProof w:val="0"/>
          <w:lang w:val="en-AU"/>
        </w:rPr>
        <w:t xml:space="preserve">vol. 166, pp. 112189, DOI: </w:t>
      </w:r>
      <w:r w:rsidR="00D841D3" w:rsidRPr="00D841D3">
        <w:rPr>
          <w:noProof w:val="0"/>
          <w:lang w:val="en-AU"/>
        </w:rPr>
        <w:t>10.1016/j.marpolbul.2021.112189</w:t>
      </w:r>
      <w:r w:rsidR="00D841D3">
        <w:rPr>
          <w:noProof w:val="0"/>
          <w:lang w:val="en-AU"/>
        </w:rPr>
        <w:t>.</w:t>
      </w:r>
    </w:p>
    <w:p w14:paraId="539B46A8" w14:textId="0203CE4A" w:rsidR="007F3FF4" w:rsidRDefault="007F3FF4" w:rsidP="00C80491">
      <w:pPr>
        <w:pStyle w:val="EndNoteBibliography"/>
        <w:rPr>
          <w:noProof w:val="0"/>
          <w:lang w:val="en-AU"/>
        </w:rPr>
      </w:pPr>
      <w:r>
        <w:rPr>
          <w:noProof w:val="0"/>
          <w:lang w:val="en-AU"/>
        </w:rPr>
        <w:t xml:space="preserve">Queiroz, RNM, da Silva, PM, DeSouza, AM, Silva, LB, Dias, TLP 2020, </w:t>
      </w:r>
      <w:hyperlink r:id="rId547" w:history="1">
        <w:r w:rsidRPr="007F3FF4">
          <w:rPr>
            <w:rStyle w:val="Hyperlink"/>
            <w:noProof w:val="0"/>
            <w:lang w:val="en-AU"/>
          </w:rPr>
          <w:t xml:space="preserve">Effects of environmental factors on the distribution of the exotic species </w:t>
        </w:r>
        <w:r w:rsidRPr="007F3FF4">
          <w:rPr>
            <w:rStyle w:val="Hyperlink"/>
            <w:i/>
            <w:iCs/>
            <w:noProof w:val="0"/>
            <w:lang w:val="en-AU"/>
          </w:rPr>
          <w:t>Mytilopsis sallei</w:t>
        </w:r>
        <w:r w:rsidRPr="007F3FF4">
          <w:rPr>
            <w:rStyle w:val="Hyperlink"/>
            <w:noProof w:val="0"/>
            <w:lang w:val="en-AU"/>
          </w:rPr>
          <w:t xml:space="preserve"> (</w:t>
        </w:r>
        <w:proofErr w:type="spellStart"/>
        <w:r w:rsidRPr="007F3FF4">
          <w:rPr>
            <w:rStyle w:val="Hyperlink"/>
            <w:noProof w:val="0"/>
            <w:lang w:val="en-AU"/>
          </w:rPr>
          <w:t>Récluz</w:t>
        </w:r>
        <w:proofErr w:type="spellEnd"/>
        <w:r w:rsidRPr="007F3FF4">
          <w:rPr>
            <w:rStyle w:val="Hyperlink"/>
            <w:noProof w:val="0"/>
            <w:lang w:val="en-AU"/>
          </w:rPr>
          <w:t xml:space="preserve">, 1849) (Bivalvia: </w:t>
        </w:r>
        <w:proofErr w:type="spellStart"/>
        <w:r w:rsidRPr="007F3FF4">
          <w:rPr>
            <w:rStyle w:val="Hyperlink"/>
            <w:noProof w:val="0"/>
            <w:lang w:val="en-AU"/>
          </w:rPr>
          <w:t>Dreissenidae</w:t>
        </w:r>
        <w:proofErr w:type="spellEnd"/>
        <w:r w:rsidRPr="007F3FF4">
          <w:rPr>
            <w:rStyle w:val="Hyperlink"/>
            <w:noProof w:val="0"/>
            <w:lang w:val="en-AU"/>
          </w:rPr>
          <w:t>) on the Northeast coast of Brazil</w:t>
        </w:r>
      </w:hyperlink>
      <w:r>
        <w:rPr>
          <w:noProof w:val="0"/>
          <w:lang w:val="en-AU"/>
        </w:rPr>
        <w:t xml:space="preserve">, </w:t>
      </w:r>
      <w:r>
        <w:rPr>
          <w:i/>
          <w:iCs/>
          <w:noProof w:val="0"/>
          <w:lang w:val="en-AU"/>
        </w:rPr>
        <w:t xml:space="preserve">Journal of Sea Research, </w:t>
      </w:r>
      <w:r>
        <w:rPr>
          <w:noProof w:val="0"/>
          <w:lang w:val="en-AU"/>
        </w:rPr>
        <w:t xml:space="preserve">vol. 165, pp. 101954, DOI: </w:t>
      </w:r>
      <w:r w:rsidRPr="007F3FF4">
        <w:rPr>
          <w:noProof w:val="0"/>
          <w:lang w:val="en-AU"/>
        </w:rPr>
        <w:t>10.1016/j.seares.2020.101954</w:t>
      </w:r>
      <w:r>
        <w:rPr>
          <w:noProof w:val="0"/>
          <w:lang w:val="en-AU"/>
        </w:rPr>
        <w:t>.</w:t>
      </w:r>
    </w:p>
    <w:p w14:paraId="08F62A89" w14:textId="7EA728E9" w:rsidR="007C3DB3" w:rsidRDefault="007C3DB3" w:rsidP="00C80491">
      <w:pPr>
        <w:pStyle w:val="EndNoteBibliography"/>
        <w:rPr>
          <w:noProof w:val="0"/>
          <w:lang w:val="en-AU"/>
        </w:rPr>
      </w:pPr>
      <w:r>
        <w:rPr>
          <w:noProof w:val="0"/>
          <w:lang w:val="en-AU"/>
        </w:rPr>
        <w:t xml:space="preserve">Queensland Government 2024, </w:t>
      </w:r>
      <w:hyperlink r:id="rId548" w:history="1">
        <w:r w:rsidRPr="00ED25EB">
          <w:rPr>
            <w:rStyle w:val="Hyperlink"/>
            <w:noProof w:val="0"/>
            <w:lang w:val="en-AU"/>
          </w:rPr>
          <w:t>Suminoe oyster</w:t>
        </w:r>
      </w:hyperlink>
      <w:r>
        <w:rPr>
          <w:noProof w:val="0"/>
          <w:lang w:val="en-AU"/>
        </w:rPr>
        <w:t xml:space="preserve">, Business Queensland, accessed 23 July 2024. </w:t>
      </w:r>
    </w:p>
    <w:p w14:paraId="4EC104B3" w14:textId="0465B4E2" w:rsidR="00033A70" w:rsidRDefault="00033A70" w:rsidP="00C80491">
      <w:pPr>
        <w:pStyle w:val="EndNoteBibliography"/>
        <w:rPr>
          <w:noProof w:val="0"/>
          <w:lang w:val="en-AU"/>
        </w:rPr>
      </w:pPr>
      <w:r>
        <w:rPr>
          <w:noProof w:val="0"/>
          <w:lang w:val="en-AU"/>
        </w:rPr>
        <w:t xml:space="preserve">Queensland Government 2025, </w:t>
      </w:r>
      <w:hyperlink r:id="rId549" w:history="1">
        <w:r w:rsidRPr="00033A70">
          <w:rPr>
            <w:rStyle w:val="Hyperlink"/>
            <w:noProof w:val="0"/>
            <w:lang w:val="en-AU"/>
          </w:rPr>
          <w:t>Asian green mussel</w:t>
        </w:r>
      </w:hyperlink>
      <w:r>
        <w:rPr>
          <w:noProof w:val="0"/>
          <w:lang w:val="en-AU"/>
        </w:rPr>
        <w:t>, Business Queensland, accessed 4 March 2025.</w:t>
      </w:r>
    </w:p>
    <w:p w14:paraId="24415ACB" w14:textId="196030C9" w:rsidR="002E3A5E" w:rsidRPr="002E3A5E" w:rsidRDefault="002E3A5E" w:rsidP="00C80491">
      <w:pPr>
        <w:pStyle w:val="EndNoteBibliography"/>
        <w:rPr>
          <w:noProof w:val="0"/>
          <w:lang w:val="en-AU"/>
        </w:rPr>
      </w:pPr>
      <w:r>
        <w:rPr>
          <w:noProof w:val="0"/>
          <w:lang w:val="en-AU"/>
        </w:rPr>
        <w:t xml:space="preserve">Queiroga, H, Costlow, JD &amp; Moreira, MH 1994, </w:t>
      </w:r>
      <w:hyperlink r:id="rId550" w:history="1">
        <w:r w:rsidRPr="002E3A5E">
          <w:rPr>
            <w:rStyle w:val="Hyperlink"/>
            <w:noProof w:val="0"/>
            <w:lang w:val="en-AU"/>
          </w:rPr>
          <w:t xml:space="preserve">Larval abundance patterns of </w:t>
        </w:r>
        <w:r w:rsidRPr="002E3A5E">
          <w:rPr>
            <w:rStyle w:val="Hyperlink"/>
            <w:i/>
            <w:iCs/>
            <w:noProof w:val="0"/>
            <w:lang w:val="en-AU"/>
          </w:rPr>
          <w:t>Carcinus maenas</w:t>
        </w:r>
        <w:r w:rsidRPr="002E3A5E">
          <w:rPr>
            <w:rStyle w:val="Hyperlink"/>
            <w:noProof w:val="0"/>
            <w:lang w:val="en-AU"/>
          </w:rPr>
          <w:t xml:space="preserve"> (Decapoda, Brachyura) in Canal de Mira (Ria de Aveiro, Portugal)</w:t>
        </w:r>
      </w:hyperlink>
      <w:r>
        <w:rPr>
          <w:noProof w:val="0"/>
          <w:lang w:val="en-AU"/>
        </w:rPr>
        <w:t xml:space="preserve">, </w:t>
      </w:r>
      <w:r>
        <w:rPr>
          <w:i/>
          <w:iCs/>
          <w:noProof w:val="0"/>
          <w:lang w:val="en-AU"/>
        </w:rPr>
        <w:t xml:space="preserve">Marine Ecology Progress Series, </w:t>
      </w:r>
      <w:r>
        <w:rPr>
          <w:noProof w:val="0"/>
          <w:lang w:val="en-AU"/>
        </w:rPr>
        <w:t xml:space="preserve">vol. 111, no. 1-2, pp. 63-72, DOI: </w:t>
      </w:r>
      <w:r w:rsidRPr="002E3A5E">
        <w:rPr>
          <w:noProof w:val="0"/>
          <w:lang w:val="en-AU"/>
        </w:rPr>
        <w:t>10.3354/meps111063</w:t>
      </w:r>
      <w:r>
        <w:rPr>
          <w:noProof w:val="0"/>
          <w:lang w:val="en-AU"/>
        </w:rPr>
        <w:t xml:space="preserve">. </w:t>
      </w:r>
    </w:p>
    <w:p w14:paraId="7E56B5B5" w14:textId="48A149C9" w:rsidR="00C80491" w:rsidRPr="00DD01E4" w:rsidRDefault="00C80491" w:rsidP="00C80491">
      <w:pPr>
        <w:spacing w:line="240" w:lineRule="auto"/>
        <w:rPr>
          <w:lang w:eastAsia="ja-JP"/>
        </w:rPr>
      </w:pPr>
      <w:bookmarkStart w:id="819" w:name="_Hlk189214798"/>
      <w:r w:rsidRPr="00EC386C">
        <w:rPr>
          <w:lang w:eastAsia="ja-JP"/>
        </w:rPr>
        <w:t>Q</w:t>
      </w:r>
      <w:r>
        <w:rPr>
          <w:lang w:eastAsia="ja-JP"/>
        </w:rPr>
        <w:t>u</w:t>
      </w:r>
      <w:r w:rsidRPr="00EC386C">
        <w:rPr>
          <w:lang w:eastAsia="ja-JP"/>
        </w:rPr>
        <w:t>ilez-Badia</w:t>
      </w:r>
      <w:r w:rsidRPr="00581E99">
        <w:rPr>
          <w:lang w:eastAsia="ja-JP"/>
        </w:rPr>
        <w:t>,</w:t>
      </w:r>
      <w:r w:rsidRPr="00EC386C">
        <w:rPr>
          <w:lang w:eastAsia="ja-JP"/>
        </w:rPr>
        <w:t xml:space="preserve"> G, McCollin</w:t>
      </w:r>
      <w:r w:rsidRPr="00581E99">
        <w:rPr>
          <w:lang w:eastAsia="ja-JP"/>
        </w:rPr>
        <w:t>,</w:t>
      </w:r>
      <w:r w:rsidRPr="00EC386C">
        <w:rPr>
          <w:lang w:eastAsia="ja-JP"/>
        </w:rPr>
        <w:t xml:space="preserve"> T, Josefsen</w:t>
      </w:r>
      <w:r w:rsidRPr="00581E99">
        <w:rPr>
          <w:lang w:eastAsia="ja-JP"/>
        </w:rPr>
        <w:t>,</w:t>
      </w:r>
      <w:r w:rsidRPr="00EC386C">
        <w:rPr>
          <w:lang w:eastAsia="ja-JP"/>
        </w:rPr>
        <w:t xml:space="preserve"> KD, </w:t>
      </w:r>
      <w:proofErr w:type="spellStart"/>
      <w:r w:rsidRPr="00EC386C">
        <w:rPr>
          <w:lang w:eastAsia="ja-JP"/>
        </w:rPr>
        <w:t>Vourdachas</w:t>
      </w:r>
      <w:proofErr w:type="spellEnd"/>
      <w:r w:rsidRPr="00581E99">
        <w:rPr>
          <w:lang w:eastAsia="ja-JP"/>
        </w:rPr>
        <w:t>,</w:t>
      </w:r>
      <w:r w:rsidRPr="00EC386C">
        <w:rPr>
          <w:lang w:eastAsia="ja-JP"/>
        </w:rPr>
        <w:t xml:space="preserve"> A, Gill</w:t>
      </w:r>
      <w:r w:rsidRPr="00581E99">
        <w:rPr>
          <w:lang w:eastAsia="ja-JP"/>
        </w:rPr>
        <w:t>,</w:t>
      </w:r>
      <w:r w:rsidRPr="00EC386C">
        <w:rPr>
          <w:lang w:eastAsia="ja-JP"/>
        </w:rPr>
        <w:t xml:space="preserve"> ME, Mesbahi</w:t>
      </w:r>
      <w:r w:rsidRPr="00581E99">
        <w:rPr>
          <w:lang w:eastAsia="ja-JP"/>
        </w:rPr>
        <w:t>,</w:t>
      </w:r>
      <w:r w:rsidRPr="00EC386C">
        <w:rPr>
          <w:lang w:eastAsia="ja-JP"/>
        </w:rPr>
        <w:t xml:space="preserve"> E &amp; Frid</w:t>
      </w:r>
      <w:r w:rsidRPr="00581E99">
        <w:rPr>
          <w:lang w:eastAsia="ja-JP"/>
        </w:rPr>
        <w:t>,</w:t>
      </w:r>
      <w:r w:rsidRPr="00EC386C">
        <w:rPr>
          <w:lang w:eastAsia="ja-JP"/>
        </w:rPr>
        <w:t xml:space="preserve"> CL 2008, </w:t>
      </w:r>
      <w:hyperlink r:id="rId551" w:history="1">
        <w:r w:rsidRPr="00581E99">
          <w:rPr>
            <w:rStyle w:val="Hyperlink"/>
          </w:rPr>
          <w:t>On board short-time high temperature heat treatment of ballast water: a field trial under operational conditions</w:t>
        </w:r>
      </w:hyperlink>
      <w:r w:rsidRPr="00581E99">
        <w:rPr>
          <w:lang w:eastAsia="ja-JP"/>
        </w:rPr>
        <w:t>,</w:t>
      </w:r>
      <w:r w:rsidRPr="00EC386C">
        <w:rPr>
          <w:lang w:eastAsia="ja-JP"/>
        </w:rPr>
        <w:t xml:space="preserve"> </w:t>
      </w:r>
      <w:r w:rsidRPr="00581E99">
        <w:rPr>
          <w:i/>
          <w:iCs/>
          <w:lang w:eastAsia="ja-JP"/>
        </w:rPr>
        <w:t>Marine Pollution Bulletin</w:t>
      </w:r>
      <w:r w:rsidRPr="00EC386C">
        <w:rPr>
          <w:lang w:eastAsia="ja-JP"/>
        </w:rPr>
        <w:t xml:space="preserve">, vol. 56, </w:t>
      </w:r>
      <w:r w:rsidRPr="00581E99">
        <w:rPr>
          <w:lang w:eastAsia="ja-JP"/>
        </w:rPr>
        <w:t xml:space="preserve">vol. 1, </w:t>
      </w:r>
      <w:r w:rsidRPr="00EC386C">
        <w:rPr>
          <w:lang w:eastAsia="ja-JP"/>
        </w:rPr>
        <w:t>pp. 127</w:t>
      </w:r>
      <w:r w:rsidRPr="00EC386C">
        <w:t>–</w:t>
      </w:r>
      <w:r w:rsidRPr="00EC386C">
        <w:rPr>
          <w:lang w:eastAsia="ja-JP"/>
        </w:rPr>
        <w:t>35</w:t>
      </w:r>
      <w:r w:rsidRPr="00581E99">
        <w:rPr>
          <w:lang w:eastAsia="ja-JP"/>
        </w:rPr>
        <w:t xml:space="preserve">, DOI: </w:t>
      </w:r>
      <w:r w:rsidRPr="00EC386C">
        <w:rPr>
          <w:lang w:eastAsia="ja-JP"/>
        </w:rPr>
        <w:t>10.1016/j.marpolbul.2007.09.036.</w:t>
      </w:r>
    </w:p>
    <w:bookmarkEnd w:id="819"/>
    <w:p w14:paraId="0D620BF7" w14:textId="41C0EC18" w:rsidR="006939E1" w:rsidRDefault="00B5740F" w:rsidP="00C80491">
      <w:pPr>
        <w:pStyle w:val="EndNoteBibliography"/>
        <w:rPr>
          <w:noProof w:val="0"/>
          <w:lang w:val="en-AU"/>
        </w:rPr>
      </w:pPr>
      <w:r w:rsidRPr="00DD01E4">
        <w:rPr>
          <w:noProof w:val="0"/>
          <w:lang w:val="en-AU"/>
        </w:rPr>
        <w:t xml:space="preserve">Rajagopal, S, Venugopalan, V, Azariah, J &amp; Nair, K 1995, </w:t>
      </w:r>
      <w:hyperlink r:id="rId552" w:history="1">
        <w:r w:rsidRPr="00DD01E4">
          <w:rPr>
            <w:rStyle w:val="Hyperlink"/>
            <w:noProof w:val="0"/>
            <w:lang w:val="en-AU"/>
          </w:rPr>
          <w:t xml:space="preserve">Response of the green mussel </w:t>
        </w:r>
        <w:r w:rsidRPr="00DD01E4">
          <w:rPr>
            <w:rStyle w:val="Hyperlink"/>
            <w:i/>
            <w:iCs/>
            <w:noProof w:val="0"/>
            <w:lang w:val="en-AU"/>
          </w:rPr>
          <w:t>Perna viridis</w:t>
        </w:r>
        <w:r w:rsidRPr="00DD01E4">
          <w:rPr>
            <w:rStyle w:val="Hyperlink"/>
            <w:noProof w:val="0"/>
            <w:lang w:val="en-AU"/>
          </w:rPr>
          <w:t xml:space="preserve"> (L.) to heat treatment in relation to power plant biofouling control</w:t>
        </w:r>
      </w:hyperlink>
      <w:r w:rsidRPr="00DD01E4">
        <w:rPr>
          <w:noProof w:val="0"/>
          <w:lang w:val="en-AU"/>
        </w:rPr>
        <w:t xml:space="preserve">, </w:t>
      </w:r>
      <w:r w:rsidRPr="00DD01E4">
        <w:rPr>
          <w:i/>
          <w:noProof w:val="0"/>
          <w:lang w:val="en-AU"/>
        </w:rPr>
        <w:t>Biofouling</w:t>
      </w:r>
      <w:r w:rsidRPr="00DD01E4">
        <w:rPr>
          <w:noProof w:val="0"/>
          <w:lang w:val="en-AU"/>
        </w:rPr>
        <w:t>, vol. 8, no. 4, pp. 313-30</w:t>
      </w:r>
      <w:r w:rsidR="00DD01E4" w:rsidRPr="00DD01E4">
        <w:rPr>
          <w:noProof w:val="0"/>
          <w:lang w:val="en-AU"/>
        </w:rPr>
        <w:t>, DOI: 10.1080/08927019509378284.</w:t>
      </w:r>
    </w:p>
    <w:p w14:paraId="20215D18" w14:textId="77777777" w:rsidR="00DD01E4" w:rsidRPr="00DD01E4" w:rsidRDefault="00DD01E4" w:rsidP="00C80491">
      <w:pPr>
        <w:spacing w:before="100" w:beforeAutospacing="1" w:after="100" w:afterAutospacing="1" w:line="240" w:lineRule="auto"/>
      </w:pPr>
      <w:r w:rsidRPr="00DD01E4">
        <w:t xml:space="preserve">Rajagopal, S, Venugopalan, V, Van der Velde &amp; G, Jenner, HA 2003a, </w:t>
      </w:r>
      <w:hyperlink r:id="rId553" w:history="1">
        <w:r w:rsidRPr="00DD01E4">
          <w:rPr>
            <w:rStyle w:val="Hyperlink"/>
          </w:rPr>
          <w:t xml:space="preserve">Response of fouling brown mussel, </w:t>
        </w:r>
        <w:r w:rsidRPr="00DD01E4">
          <w:rPr>
            <w:rStyle w:val="Hyperlink"/>
            <w:i/>
            <w:iCs/>
          </w:rPr>
          <w:t xml:space="preserve">Perna </w:t>
        </w:r>
        <w:proofErr w:type="spellStart"/>
        <w:r w:rsidRPr="00DD01E4">
          <w:rPr>
            <w:rStyle w:val="Hyperlink"/>
            <w:i/>
            <w:iCs/>
          </w:rPr>
          <w:t>perna</w:t>
        </w:r>
        <w:proofErr w:type="spellEnd"/>
        <w:r w:rsidRPr="00DD01E4">
          <w:rPr>
            <w:rStyle w:val="Hyperlink"/>
          </w:rPr>
          <w:t xml:space="preserve"> (L.), to chlorine</w:t>
        </w:r>
      </w:hyperlink>
      <w:r w:rsidRPr="00DD01E4">
        <w:t xml:space="preserve">, </w:t>
      </w:r>
      <w:r w:rsidRPr="00DD01E4">
        <w:rPr>
          <w:i/>
          <w:iCs/>
        </w:rPr>
        <w:t>Archives of Environmental Contamination and Toxicology</w:t>
      </w:r>
      <w:r w:rsidRPr="00DD01E4">
        <w:t>, vol. 44, no. 3, pp. 369–76, DOI: 10.1007/s00244-002-2098-y.</w:t>
      </w:r>
    </w:p>
    <w:p w14:paraId="09BFDA2B" w14:textId="666ED101" w:rsidR="00DD01E4" w:rsidRDefault="00DD01E4" w:rsidP="00C80491">
      <w:pPr>
        <w:spacing w:line="240" w:lineRule="auto"/>
      </w:pPr>
      <w:r w:rsidRPr="00DD01E4">
        <w:t>Rajagopal, S, Venugopalan, V, Van der Velde, G &amp; Jenner, HA 2003</w:t>
      </w:r>
      <w:r>
        <w:t>b</w:t>
      </w:r>
      <w:r w:rsidRPr="00DD01E4">
        <w:t xml:space="preserve">, </w:t>
      </w:r>
      <w:hyperlink r:id="rId554" w:history="1">
        <w:r w:rsidRPr="00DD01E4">
          <w:rPr>
            <w:rStyle w:val="Hyperlink"/>
          </w:rPr>
          <w:t>Tolerance of five species of tropical marine mussels to continuous chlorination</w:t>
        </w:r>
      </w:hyperlink>
      <w:r w:rsidRPr="00DD01E4">
        <w:t xml:space="preserve">, </w:t>
      </w:r>
      <w:r w:rsidRPr="00DD01E4">
        <w:rPr>
          <w:rStyle w:val="Emphasis"/>
        </w:rPr>
        <w:t>Marine Environmental Research</w:t>
      </w:r>
      <w:r w:rsidRPr="00DD01E4">
        <w:t>, vol. 55, no. 4, pp. 277–91, DOI: 10.1016/s0141-1136(02)00272-6.</w:t>
      </w:r>
    </w:p>
    <w:p w14:paraId="4E762095" w14:textId="46393487" w:rsidR="00DD01E4" w:rsidRDefault="00DD01E4" w:rsidP="00C80491">
      <w:pPr>
        <w:spacing w:line="240" w:lineRule="auto"/>
      </w:pPr>
      <w:r w:rsidRPr="00DD01E4">
        <w:lastRenderedPageBreak/>
        <w:t>Rajagopal, S, Venugopalan, VP, Van der Velde, G</w:t>
      </w:r>
      <w:r>
        <w:t xml:space="preserve"> </w:t>
      </w:r>
      <w:r w:rsidRPr="00DD01E4">
        <w:t>&amp; Jenner, HA</w:t>
      </w:r>
      <w:r>
        <w:t xml:space="preserve"> </w:t>
      </w:r>
      <w:r w:rsidRPr="00DD01E4">
        <w:t>2003</w:t>
      </w:r>
      <w:r>
        <w:t>c,</w:t>
      </w:r>
      <w:r w:rsidRPr="00DD01E4">
        <w:t xml:space="preserve"> </w:t>
      </w:r>
      <w:hyperlink r:id="rId555" w:history="1">
        <w:r w:rsidRPr="00DD01E4">
          <w:rPr>
            <w:rStyle w:val="Hyperlink"/>
          </w:rPr>
          <w:t xml:space="preserve">Comparative chlorine and temperature tolerance of the oyster </w:t>
        </w:r>
        <w:r w:rsidRPr="00DD01E4">
          <w:rPr>
            <w:rStyle w:val="Hyperlink"/>
            <w:i/>
            <w:iCs/>
          </w:rPr>
          <w:t xml:space="preserve">Crassostrea </w:t>
        </w:r>
        <w:proofErr w:type="spellStart"/>
        <w:r w:rsidRPr="00DD01E4">
          <w:rPr>
            <w:rStyle w:val="Hyperlink"/>
            <w:i/>
            <w:iCs/>
          </w:rPr>
          <w:t>madrasensis</w:t>
        </w:r>
        <w:proofErr w:type="spellEnd"/>
        <w:r w:rsidRPr="00DD01E4">
          <w:rPr>
            <w:rStyle w:val="Hyperlink"/>
          </w:rPr>
          <w:t>: implications for cooling system fouling</w:t>
        </w:r>
      </w:hyperlink>
      <w:r>
        <w:t xml:space="preserve">, </w:t>
      </w:r>
      <w:r w:rsidRPr="00DD01E4">
        <w:rPr>
          <w:i/>
          <w:iCs/>
        </w:rPr>
        <w:t>Biofouling,</w:t>
      </w:r>
      <w:r w:rsidRPr="00DD01E4">
        <w:t xml:space="preserve"> </w:t>
      </w:r>
      <w:r>
        <w:t xml:space="preserve">vol. </w:t>
      </w:r>
      <w:r w:rsidRPr="00DD01E4">
        <w:t>19</w:t>
      </w:r>
      <w:r>
        <w:t xml:space="preserve">, no. </w:t>
      </w:r>
      <w:r w:rsidRPr="00DD01E4">
        <w:t>2</w:t>
      </w:r>
      <w:r>
        <w:t xml:space="preserve">, pp. </w:t>
      </w:r>
      <w:r w:rsidRPr="00DD01E4">
        <w:t>115-124</w:t>
      </w:r>
      <w:r>
        <w:t xml:space="preserve">, </w:t>
      </w:r>
      <w:r w:rsidRPr="00DD01E4">
        <w:t>DOI: 10.1080/0892701021000028497</w:t>
      </w:r>
      <w:r>
        <w:t>.</w:t>
      </w:r>
    </w:p>
    <w:p w14:paraId="64AF49F9" w14:textId="5C914297" w:rsidR="00DD01E4" w:rsidRDefault="00DD01E4" w:rsidP="00C80491">
      <w:pPr>
        <w:spacing w:line="240" w:lineRule="auto"/>
      </w:pPr>
      <w:r w:rsidRPr="00DF6F04">
        <w:t xml:space="preserve">Rajagopal, S, Venugopalan, V, Van der Velde, G &amp; Jenner, HA 2006, </w:t>
      </w:r>
      <w:hyperlink r:id="rId556" w:history="1">
        <w:r w:rsidRPr="00581E99">
          <w:rPr>
            <w:rStyle w:val="Hyperlink"/>
          </w:rPr>
          <w:t xml:space="preserve">Greening of the coasts: a review of the </w:t>
        </w:r>
        <w:r w:rsidRPr="00F862C8">
          <w:rPr>
            <w:rStyle w:val="Hyperlink"/>
            <w:i/>
            <w:iCs/>
          </w:rPr>
          <w:t>Perna viridis</w:t>
        </w:r>
        <w:r w:rsidRPr="00581E99">
          <w:rPr>
            <w:rStyle w:val="Hyperlink"/>
          </w:rPr>
          <w:t xml:space="preserve"> success story</w:t>
        </w:r>
      </w:hyperlink>
      <w:r w:rsidRPr="00DF6F04">
        <w:t xml:space="preserve">, </w:t>
      </w:r>
      <w:r w:rsidRPr="00DF6F04">
        <w:rPr>
          <w:rStyle w:val="Emphasis"/>
        </w:rPr>
        <w:t>Aquatic Ecology</w:t>
      </w:r>
      <w:r w:rsidRPr="00DF6F04">
        <w:t>, vol. 40, pp. 273–97</w:t>
      </w:r>
      <w:r w:rsidRPr="00581E99">
        <w:t xml:space="preserve">, DOI: </w:t>
      </w:r>
      <w:r w:rsidRPr="00DF6F04">
        <w:t>10.1007/s10452-006-</w:t>
      </w:r>
      <w:r w:rsidRPr="007A5821">
        <w:t>9032-8.</w:t>
      </w:r>
    </w:p>
    <w:p w14:paraId="264CA8C4" w14:textId="15453421" w:rsidR="00DD01E4" w:rsidRDefault="00DD01E4" w:rsidP="00C80491">
      <w:pPr>
        <w:pStyle w:val="EndNoteBibliography"/>
        <w:rPr>
          <w:noProof w:val="0"/>
          <w:lang w:val="en-AU"/>
        </w:rPr>
      </w:pPr>
      <w:r>
        <w:rPr>
          <w:noProof w:val="0"/>
          <w:lang w:val="en-AU"/>
        </w:rPr>
        <w:t>Rajagopal, S, Van der Velda, G, Jansen, J, Van der Gaag, M, Atsma, G, Janssen-</w:t>
      </w:r>
      <w:proofErr w:type="spellStart"/>
      <w:r>
        <w:rPr>
          <w:noProof w:val="0"/>
          <w:lang w:val="en-AU"/>
        </w:rPr>
        <w:t>Mommen</w:t>
      </w:r>
      <w:proofErr w:type="spellEnd"/>
      <w:r>
        <w:rPr>
          <w:noProof w:val="0"/>
          <w:lang w:val="en-AU"/>
        </w:rPr>
        <w:t xml:space="preserve">, JPM, Polman, H &amp; Jenner, HA 2015, </w:t>
      </w:r>
      <w:hyperlink r:id="rId557" w:anchor="section-cited-by" w:history="1">
        <w:r w:rsidRPr="00DD01E4">
          <w:rPr>
            <w:rStyle w:val="Hyperlink"/>
            <w:noProof w:val="0"/>
            <w:lang w:val="en-AU"/>
          </w:rPr>
          <w:t xml:space="preserve">Thermal tolerance of the invasive oyster </w:t>
        </w:r>
        <w:r w:rsidRPr="00DD01E4">
          <w:rPr>
            <w:rStyle w:val="Hyperlink"/>
            <w:i/>
            <w:iCs/>
            <w:noProof w:val="0"/>
            <w:lang w:val="en-AU"/>
          </w:rPr>
          <w:t>Crassostrea gigas</w:t>
        </w:r>
        <w:r w:rsidRPr="00DD01E4">
          <w:rPr>
            <w:rStyle w:val="Hyperlink"/>
            <w:noProof w:val="0"/>
            <w:lang w:val="en-AU"/>
          </w:rPr>
          <w:t>: Feasibility of heat treatment as an antifouling option</w:t>
        </w:r>
      </w:hyperlink>
      <w:r>
        <w:rPr>
          <w:noProof w:val="0"/>
          <w:lang w:val="en-AU"/>
        </w:rPr>
        <w:t xml:space="preserve">, </w:t>
      </w:r>
      <w:r>
        <w:rPr>
          <w:i/>
          <w:iCs/>
          <w:noProof w:val="0"/>
          <w:lang w:val="en-AU"/>
        </w:rPr>
        <w:t xml:space="preserve">Water Research, </w:t>
      </w:r>
      <w:r>
        <w:rPr>
          <w:noProof w:val="0"/>
          <w:lang w:val="en-AU"/>
        </w:rPr>
        <w:t xml:space="preserve">vol. 39, no. 18, pp. 4335-42, DOI: </w:t>
      </w:r>
      <w:r w:rsidRPr="00DD01E4">
        <w:rPr>
          <w:noProof w:val="0"/>
          <w:lang w:val="en-AU"/>
        </w:rPr>
        <w:t>10.1016/j.watres.2005.08.021.</w:t>
      </w:r>
    </w:p>
    <w:p w14:paraId="740C6BA4" w14:textId="711068BC" w:rsidR="000D4121" w:rsidRPr="000D4121" w:rsidRDefault="000D4121" w:rsidP="00C80491">
      <w:pPr>
        <w:pStyle w:val="EndNoteBibliography"/>
        <w:rPr>
          <w:noProof w:val="0"/>
          <w:lang w:val="en-AU"/>
        </w:rPr>
      </w:pPr>
      <w:r>
        <w:rPr>
          <w:noProof w:val="0"/>
          <w:lang w:val="en-AU"/>
        </w:rPr>
        <w:t xml:space="preserve">Rao, KV 1951, </w:t>
      </w:r>
      <w:hyperlink r:id="rId558" w:history="1">
        <w:r w:rsidRPr="007075D7">
          <w:rPr>
            <w:rStyle w:val="Hyperlink"/>
            <w:noProof w:val="0"/>
            <w:lang w:val="en-AU"/>
          </w:rPr>
          <w:t xml:space="preserve">Observations on the probable effects of salinity on the spawning, development and setting of the Indian backwater oyster, </w:t>
        </w:r>
        <w:r w:rsidRPr="007075D7">
          <w:rPr>
            <w:rStyle w:val="Hyperlink"/>
            <w:i/>
            <w:iCs/>
            <w:noProof w:val="0"/>
            <w:lang w:val="en-AU"/>
          </w:rPr>
          <w:t xml:space="preserve">Ostrea </w:t>
        </w:r>
        <w:proofErr w:type="spellStart"/>
        <w:r w:rsidRPr="007075D7">
          <w:rPr>
            <w:rStyle w:val="Hyperlink"/>
            <w:i/>
            <w:iCs/>
            <w:noProof w:val="0"/>
            <w:lang w:val="en-AU"/>
          </w:rPr>
          <w:t>madrasensis</w:t>
        </w:r>
        <w:proofErr w:type="spellEnd"/>
        <w:r w:rsidRPr="007075D7">
          <w:rPr>
            <w:rStyle w:val="Hyperlink"/>
            <w:i/>
            <w:iCs/>
            <w:noProof w:val="0"/>
            <w:lang w:val="en-AU"/>
          </w:rPr>
          <w:t xml:space="preserve"> </w:t>
        </w:r>
        <w:r w:rsidRPr="007075D7">
          <w:rPr>
            <w:rStyle w:val="Hyperlink"/>
            <w:noProof w:val="0"/>
            <w:lang w:val="en-AU"/>
          </w:rPr>
          <w:t>Preston</w:t>
        </w:r>
      </w:hyperlink>
      <w:r>
        <w:rPr>
          <w:noProof w:val="0"/>
          <w:lang w:val="en-AU"/>
        </w:rPr>
        <w:t xml:space="preserve">, </w:t>
      </w:r>
      <w:r>
        <w:rPr>
          <w:i/>
          <w:iCs/>
          <w:noProof w:val="0"/>
          <w:lang w:val="en-AU"/>
        </w:rPr>
        <w:t xml:space="preserve">Proceedings/Indian Academy of Sciences, </w:t>
      </w:r>
      <w:r>
        <w:rPr>
          <w:noProof w:val="0"/>
          <w:lang w:val="en-AU"/>
        </w:rPr>
        <w:t xml:space="preserve">vol. 33, pp. 231-256, DOI: </w:t>
      </w:r>
      <w:r w:rsidR="007075D7" w:rsidRPr="007075D7">
        <w:rPr>
          <w:noProof w:val="0"/>
          <w:lang w:val="en-AU"/>
        </w:rPr>
        <w:t>10.1007/BF03050000</w:t>
      </w:r>
      <w:r w:rsidR="007075D7">
        <w:rPr>
          <w:noProof w:val="0"/>
          <w:lang w:val="en-AU"/>
        </w:rPr>
        <w:t xml:space="preserve">. </w:t>
      </w:r>
    </w:p>
    <w:p w14:paraId="0E2EF823" w14:textId="7D321255" w:rsidR="00BD2644" w:rsidRDefault="00BD2644" w:rsidP="00C80491">
      <w:pPr>
        <w:pStyle w:val="EndNoteBibliography"/>
        <w:rPr>
          <w:noProof w:val="0"/>
          <w:lang w:val="en-AU"/>
        </w:rPr>
      </w:pPr>
      <w:r>
        <w:rPr>
          <w:noProof w:val="0"/>
          <w:lang w:val="en-AU"/>
        </w:rPr>
        <w:t xml:space="preserve">Rao, KV 1956, </w:t>
      </w:r>
      <w:hyperlink r:id="rId559" w:history="1">
        <w:r w:rsidRPr="00BD2644">
          <w:rPr>
            <w:rStyle w:val="Hyperlink"/>
            <w:noProof w:val="0"/>
            <w:lang w:val="en-AU"/>
          </w:rPr>
          <w:t xml:space="preserve">Seasonal gonadal changes in the adult backwater oyster, </w:t>
        </w:r>
        <w:r w:rsidRPr="00BD2644">
          <w:rPr>
            <w:rStyle w:val="Hyperlink"/>
            <w:i/>
            <w:iCs/>
            <w:noProof w:val="0"/>
            <w:lang w:val="en-AU"/>
          </w:rPr>
          <w:t xml:space="preserve">Ostrea (Crassostrea) </w:t>
        </w:r>
        <w:proofErr w:type="spellStart"/>
        <w:r>
          <w:rPr>
            <w:rStyle w:val="Hyperlink"/>
            <w:i/>
            <w:iCs/>
            <w:noProof w:val="0"/>
            <w:lang w:val="en-AU"/>
          </w:rPr>
          <w:t>m</w:t>
        </w:r>
        <w:r w:rsidRPr="00BD2644">
          <w:rPr>
            <w:rStyle w:val="Hyperlink"/>
            <w:i/>
            <w:iCs/>
            <w:noProof w:val="0"/>
            <w:lang w:val="en-AU"/>
          </w:rPr>
          <w:t>adrasensis</w:t>
        </w:r>
        <w:proofErr w:type="spellEnd"/>
        <w:r w:rsidRPr="00BD2644">
          <w:rPr>
            <w:rStyle w:val="Hyperlink"/>
            <w:noProof w:val="0"/>
            <w:lang w:val="en-AU"/>
          </w:rPr>
          <w:t xml:space="preserve"> Preston from </w:t>
        </w:r>
        <w:proofErr w:type="spellStart"/>
        <w:r w:rsidRPr="00BD2644">
          <w:rPr>
            <w:rStyle w:val="Hyperlink"/>
            <w:noProof w:val="0"/>
            <w:lang w:val="en-AU"/>
          </w:rPr>
          <w:t>ennur</w:t>
        </w:r>
        <w:proofErr w:type="spellEnd"/>
        <w:r w:rsidRPr="00BD2644">
          <w:rPr>
            <w:rStyle w:val="Hyperlink"/>
            <w:noProof w:val="0"/>
            <w:lang w:val="en-AU"/>
          </w:rPr>
          <w:t xml:space="preserve"> near Madras</w:t>
        </w:r>
      </w:hyperlink>
      <w:r>
        <w:rPr>
          <w:noProof w:val="0"/>
          <w:lang w:val="en-AU"/>
        </w:rPr>
        <w:t xml:space="preserve">, </w:t>
      </w:r>
      <w:r>
        <w:rPr>
          <w:i/>
          <w:iCs/>
          <w:noProof w:val="0"/>
          <w:lang w:val="en-AU"/>
        </w:rPr>
        <w:t xml:space="preserve">Proceedings/Indian Academy of Sciences, </w:t>
      </w:r>
      <w:r>
        <w:rPr>
          <w:noProof w:val="0"/>
          <w:lang w:val="en-AU"/>
        </w:rPr>
        <w:t xml:space="preserve">vol. 44, pp. 332-56, DOI: </w:t>
      </w:r>
      <w:r w:rsidRPr="00BD2644">
        <w:rPr>
          <w:noProof w:val="0"/>
          <w:lang w:val="en-AU"/>
        </w:rPr>
        <w:t>10.1007/BF03050998</w:t>
      </w:r>
      <w:r>
        <w:rPr>
          <w:noProof w:val="0"/>
          <w:lang w:val="en-AU"/>
        </w:rPr>
        <w:t xml:space="preserve">. </w:t>
      </w:r>
    </w:p>
    <w:p w14:paraId="7ADFDB0B" w14:textId="3E8B4223" w:rsidR="00BD2644" w:rsidRPr="00BD2644" w:rsidRDefault="00BD2644" w:rsidP="00C80491">
      <w:pPr>
        <w:pStyle w:val="EndNoteBibliography"/>
        <w:rPr>
          <w:noProof w:val="0"/>
          <w:lang w:val="en-AU"/>
        </w:rPr>
      </w:pPr>
      <w:r>
        <w:rPr>
          <w:noProof w:val="0"/>
          <w:lang w:val="en-AU"/>
        </w:rPr>
        <w:t xml:space="preserve">Rao, KS 1974, </w:t>
      </w:r>
      <w:hyperlink r:id="rId560" w:history="1">
        <w:r w:rsidRPr="00BD2644">
          <w:rPr>
            <w:rStyle w:val="Hyperlink"/>
            <w:noProof w:val="0"/>
            <w:lang w:val="en-AU"/>
          </w:rPr>
          <w:t>II Edible bivalves: mussels and oysters</w:t>
        </w:r>
      </w:hyperlink>
      <w:r>
        <w:rPr>
          <w:noProof w:val="0"/>
          <w:lang w:val="en-AU"/>
        </w:rPr>
        <w:t xml:space="preserve">, in CMFRI Bulletin No. 25, The commercial molluscs of India, CMFRI, Mandapam Camp, pp. 4-39. </w:t>
      </w:r>
    </w:p>
    <w:p w14:paraId="1F45FDDF" w14:textId="4609B0B6" w:rsidR="002B001B" w:rsidRDefault="00B5740F" w:rsidP="00C80491">
      <w:pPr>
        <w:pStyle w:val="EndNoteBibliography"/>
        <w:rPr>
          <w:noProof w:val="0"/>
          <w:lang w:val="en-AU"/>
        </w:rPr>
      </w:pPr>
      <w:r w:rsidRPr="00DD01E4">
        <w:rPr>
          <w:noProof w:val="0"/>
          <w:lang w:val="en-AU"/>
        </w:rPr>
        <w:t>Rao, K</w:t>
      </w:r>
      <w:r w:rsidR="00BD2644">
        <w:rPr>
          <w:noProof w:val="0"/>
          <w:lang w:val="en-AU"/>
        </w:rPr>
        <w:t>V</w:t>
      </w:r>
      <w:r w:rsidRPr="00DD01E4">
        <w:rPr>
          <w:noProof w:val="0"/>
          <w:lang w:val="en-AU"/>
        </w:rPr>
        <w:t xml:space="preserve">, Srinivasan, V &amp; Balaji, M 1989, Success and spread of the exotic fouling bivalve </w:t>
      </w:r>
      <w:r w:rsidRPr="00DD01E4">
        <w:rPr>
          <w:i/>
          <w:noProof w:val="0"/>
          <w:lang w:val="en-AU"/>
        </w:rPr>
        <w:t xml:space="preserve">Mytilopsis sallei </w:t>
      </w:r>
      <w:r w:rsidRPr="00DD01E4">
        <w:rPr>
          <w:noProof w:val="0"/>
          <w:lang w:val="en-AU"/>
        </w:rPr>
        <w:t>(</w:t>
      </w:r>
      <w:proofErr w:type="spellStart"/>
      <w:r w:rsidRPr="00DD01E4">
        <w:rPr>
          <w:noProof w:val="0"/>
          <w:lang w:val="en-AU"/>
        </w:rPr>
        <w:t>Recluez</w:t>
      </w:r>
      <w:proofErr w:type="spellEnd"/>
      <w:r w:rsidRPr="00DD01E4">
        <w:rPr>
          <w:noProof w:val="0"/>
          <w:lang w:val="en-AU"/>
        </w:rPr>
        <w:t xml:space="preserve">) in Indian waters, </w:t>
      </w:r>
      <w:r w:rsidRPr="00DD01E4">
        <w:rPr>
          <w:i/>
          <w:noProof w:val="0"/>
          <w:lang w:val="en-AU"/>
        </w:rPr>
        <w:t>Exotic species in India. Asian Fisheries Society, Mangalore</w:t>
      </w:r>
      <w:r w:rsidRPr="00DD01E4">
        <w:rPr>
          <w:noProof w:val="0"/>
          <w:lang w:val="en-AU"/>
        </w:rPr>
        <w:t>, pp. 125-7.</w:t>
      </w:r>
    </w:p>
    <w:p w14:paraId="7A4B2E35" w14:textId="2C18CB35" w:rsidR="006025C1" w:rsidRPr="006025C1" w:rsidRDefault="006025C1" w:rsidP="00C80491">
      <w:pPr>
        <w:pStyle w:val="EndNoteBibliography"/>
        <w:rPr>
          <w:noProof w:val="0"/>
          <w:lang w:val="en-AU"/>
        </w:rPr>
      </w:pPr>
      <w:r>
        <w:rPr>
          <w:noProof w:val="0"/>
          <w:lang w:val="en-AU"/>
        </w:rPr>
        <w:t xml:space="preserve">Reece, KS, Cordes, JF, Stubbs, JB, Hudson, KL &amp; Francis, EA 2008, </w:t>
      </w:r>
      <w:hyperlink r:id="rId561" w:history="1">
        <w:r w:rsidRPr="006025C1">
          <w:rPr>
            <w:rStyle w:val="Hyperlink"/>
            <w:noProof w:val="0"/>
            <w:lang w:val="en-AU"/>
          </w:rPr>
          <w:t xml:space="preserve">Molecular phylogenies help resolve taxonomic confusion with Asian </w:t>
        </w:r>
        <w:r w:rsidRPr="006025C1">
          <w:rPr>
            <w:rStyle w:val="Hyperlink"/>
            <w:i/>
            <w:iCs/>
            <w:noProof w:val="0"/>
            <w:lang w:val="en-AU"/>
          </w:rPr>
          <w:t>Crassostrea</w:t>
        </w:r>
        <w:r w:rsidRPr="006025C1">
          <w:rPr>
            <w:rStyle w:val="Hyperlink"/>
            <w:noProof w:val="0"/>
            <w:lang w:val="en-AU"/>
          </w:rPr>
          <w:t xml:space="preserve"> oyster species</w:t>
        </w:r>
      </w:hyperlink>
      <w:r>
        <w:rPr>
          <w:noProof w:val="0"/>
          <w:lang w:val="en-AU"/>
        </w:rPr>
        <w:t xml:space="preserve">, </w:t>
      </w:r>
      <w:r>
        <w:rPr>
          <w:i/>
          <w:iCs/>
          <w:noProof w:val="0"/>
          <w:lang w:val="en-AU"/>
        </w:rPr>
        <w:t xml:space="preserve">Marine Biology, </w:t>
      </w:r>
      <w:r>
        <w:rPr>
          <w:noProof w:val="0"/>
          <w:lang w:val="en-AU"/>
        </w:rPr>
        <w:t xml:space="preserve">vol. 153, pp. 709-721, DOI: </w:t>
      </w:r>
      <w:r w:rsidRPr="006025C1">
        <w:rPr>
          <w:noProof w:val="0"/>
          <w:lang w:val="en-AU"/>
        </w:rPr>
        <w:t>10.1007/s00227-007-0846-2</w:t>
      </w:r>
      <w:r>
        <w:rPr>
          <w:noProof w:val="0"/>
          <w:lang w:val="en-AU"/>
        </w:rPr>
        <w:t>.</w:t>
      </w:r>
    </w:p>
    <w:p w14:paraId="051D0E8F" w14:textId="0BB98415" w:rsidR="00C80491" w:rsidRDefault="00C80491" w:rsidP="00C80491">
      <w:pPr>
        <w:spacing w:line="240" w:lineRule="auto"/>
      </w:pPr>
      <w:r w:rsidRPr="007A5821">
        <w:t xml:space="preserve">Regan, TJ, McCarthy, MA, Baxter, PWJ, Dane Panetta, F &amp; </w:t>
      </w:r>
      <w:proofErr w:type="spellStart"/>
      <w:r w:rsidRPr="007A5821">
        <w:t>Possingham</w:t>
      </w:r>
      <w:proofErr w:type="spellEnd"/>
      <w:r w:rsidRPr="007A5821">
        <w:t xml:space="preserve">, HP 2006, </w:t>
      </w:r>
      <w:hyperlink r:id="rId562" w:history="1">
        <w:r w:rsidRPr="00581E99">
          <w:rPr>
            <w:rStyle w:val="Hyperlink"/>
          </w:rPr>
          <w:t>Optimal eradication: when to stop looking for an invasive plant</w:t>
        </w:r>
      </w:hyperlink>
      <w:r w:rsidRPr="007A5821">
        <w:t xml:space="preserve">, </w:t>
      </w:r>
      <w:r w:rsidRPr="007A5821">
        <w:rPr>
          <w:rStyle w:val="Emphasis"/>
        </w:rPr>
        <w:t>Ecology Letters</w:t>
      </w:r>
      <w:r w:rsidRPr="007A5821">
        <w:t>, vol  9, no. 7, pp. 759–66</w:t>
      </w:r>
      <w:r w:rsidRPr="00581E99">
        <w:t xml:space="preserve">, DOI: </w:t>
      </w:r>
      <w:r w:rsidRPr="007A5821">
        <w:t>10.1111/j.1461-0248.2006.00920.x.</w:t>
      </w:r>
    </w:p>
    <w:p w14:paraId="0FD60DC1" w14:textId="3ADA2B7F" w:rsidR="00C80491" w:rsidRDefault="00C80491" w:rsidP="00C80491">
      <w:pPr>
        <w:spacing w:line="240" w:lineRule="auto"/>
      </w:pPr>
      <w:bookmarkStart w:id="820" w:name="_Hlk189214216"/>
      <w:r w:rsidRPr="007A5821">
        <w:t xml:space="preserve">Rho, H, Yu, P, Zhao, Z, Lee, C, Chon, K, Perreault, F, Alvarez, PJJ, Amy, G, Westerhoff, P 2022, </w:t>
      </w:r>
      <w:hyperlink r:id="rId563" w:history="1">
        <w:r w:rsidRPr="00581E99">
          <w:rPr>
            <w:rStyle w:val="Hyperlink"/>
          </w:rPr>
          <w:t xml:space="preserve">Inhibition of biofouling on reverse osmosis membrane surfaces by germicidal ultraviolet light side-emitting optical </w:t>
        </w:r>
        <w:proofErr w:type="spellStart"/>
        <w:r w:rsidRPr="00581E99">
          <w:rPr>
            <w:rStyle w:val="Hyperlink"/>
          </w:rPr>
          <w:t>fibers</w:t>
        </w:r>
        <w:proofErr w:type="spellEnd"/>
      </w:hyperlink>
      <w:r w:rsidRPr="007A5821">
        <w:t xml:space="preserve">, </w:t>
      </w:r>
      <w:r w:rsidRPr="00111D6E">
        <w:rPr>
          <w:i/>
          <w:iCs/>
        </w:rPr>
        <w:t>Water Research</w:t>
      </w:r>
      <w:r w:rsidRPr="00111D6E">
        <w:t>, vol. 224,</w:t>
      </w:r>
      <w:r w:rsidRPr="00581E99">
        <w:t xml:space="preserve"> </w:t>
      </w:r>
      <w:r>
        <w:t>pp.</w:t>
      </w:r>
      <w:r w:rsidRPr="007A5821">
        <w:t xml:space="preserve"> 119094</w:t>
      </w:r>
      <w:r w:rsidRPr="00581E99">
        <w:t xml:space="preserve">, DOI: </w:t>
      </w:r>
      <w:r w:rsidRPr="007A5821">
        <w:t>10.1016/j.watres.2022.119094</w:t>
      </w:r>
      <w:r w:rsidRPr="00111D6E">
        <w:t>.</w:t>
      </w:r>
    </w:p>
    <w:bookmarkEnd w:id="820"/>
    <w:p w14:paraId="6992232E" w14:textId="12BD4A36" w:rsidR="00246AE3" w:rsidRDefault="00246AE3" w:rsidP="00C80491">
      <w:pPr>
        <w:spacing w:line="240" w:lineRule="auto"/>
      </w:pPr>
      <w:r>
        <w:t xml:space="preserve">Richmond, L, Darbyshire, R &amp; Summerson, R 2010, </w:t>
      </w:r>
      <w:r w:rsidRPr="00246AE3">
        <w:rPr>
          <w:i/>
          <w:iCs/>
        </w:rPr>
        <w:t>Determining the potential range of invasive marine pests for cost sharing,</w:t>
      </w:r>
      <w:r>
        <w:t xml:space="preserve"> Bureau of Rural Sciences, Australian Government, Canberra.</w:t>
      </w:r>
    </w:p>
    <w:p w14:paraId="2EDCC26F" w14:textId="5558ADA0" w:rsidR="00BD2644" w:rsidRPr="00BD2644" w:rsidRDefault="00BD2644" w:rsidP="00BD2644">
      <w:pPr>
        <w:pStyle w:val="EndNoteBibliography"/>
        <w:rPr>
          <w:noProof w:val="0"/>
          <w:lang w:val="en-AU"/>
        </w:rPr>
      </w:pPr>
      <w:r>
        <w:rPr>
          <w:noProof w:val="0"/>
          <w:lang w:val="en-AU"/>
        </w:rPr>
        <w:t xml:space="preserve">Riedel, B, </w:t>
      </w:r>
      <w:proofErr w:type="spellStart"/>
      <w:r>
        <w:rPr>
          <w:noProof w:val="0"/>
          <w:lang w:val="en-AU"/>
        </w:rPr>
        <w:t>Zuschin</w:t>
      </w:r>
      <w:proofErr w:type="spellEnd"/>
      <w:r>
        <w:rPr>
          <w:noProof w:val="0"/>
          <w:lang w:val="en-AU"/>
        </w:rPr>
        <w:t xml:space="preserve">, M &amp; </w:t>
      </w:r>
      <w:proofErr w:type="spellStart"/>
      <w:r>
        <w:rPr>
          <w:noProof w:val="0"/>
          <w:lang w:val="en-AU"/>
        </w:rPr>
        <w:t>Stachowitsch</w:t>
      </w:r>
      <w:proofErr w:type="spellEnd"/>
      <w:r>
        <w:rPr>
          <w:noProof w:val="0"/>
          <w:lang w:val="en-AU"/>
        </w:rPr>
        <w:t xml:space="preserve">, M 2012, </w:t>
      </w:r>
      <w:hyperlink r:id="rId564" w:history="1">
        <w:r w:rsidRPr="00C80491">
          <w:rPr>
            <w:rStyle w:val="Hyperlink"/>
            <w:noProof w:val="0"/>
            <w:lang w:val="en-AU"/>
          </w:rPr>
          <w:t>Tolerance of benthic macrofauna to hypoxia and anoxia in shallow coastal seas: a realistic scenario</w:t>
        </w:r>
      </w:hyperlink>
      <w:r>
        <w:rPr>
          <w:noProof w:val="0"/>
          <w:lang w:val="en-AU"/>
        </w:rPr>
        <w:t xml:space="preserve">, </w:t>
      </w:r>
      <w:r>
        <w:rPr>
          <w:i/>
          <w:iCs/>
          <w:noProof w:val="0"/>
          <w:lang w:val="en-AU"/>
        </w:rPr>
        <w:t xml:space="preserve">Marine Ecology Progress Series, </w:t>
      </w:r>
      <w:r>
        <w:rPr>
          <w:noProof w:val="0"/>
          <w:lang w:val="en-AU"/>
        </w:rPr>
        <w:t xml:space="preserve">vol. 458, pp. 39-52, DOI: </w:t>
      </w:r>
      <w:r w:rsidRPr="00C80491">
        <w:rPr>
          <w:noProof w:val="0"/>
          <w:lang w:val="en-AU"/>
        </w:rPr>
        <w:t>10.3354/meps09724</w:t>
      </w:r>
      <w:r>
        <w:rPr>
          <w:noProof w:val="0"/>
          <w:lang w:val="en-AU"/>
        </w:rPr>
        <w:t>.</w:t>
      </w:r>
    </w:p>
    <w:p w14:paraId="78D4C4FD" w14:textId="0B99E978" w:rsidR="006939E1" w:rsidRDefault="00B5740F" w:rsidP="00C80491">
      <w:pPr>
        <w:spacing w:line="240" w:lineRule="auto"/>
      </w:pPr>
      <w:r w:rsidRPr="00DD01E4">
        <w:t xml:space="preserve">Robinson, TB, Griffiths, CL, Tonin, A, Bloomer &amp; Hare PM 2005, </w:t>
      </w:r>
      <w:hyperlink r:id="rId565" w:history="1">
        <w:r w:rsidRPr="00DD01E4">
          <w:rPr>
            <w:rStyle w:val="Hyperlink"/>
          </w:rPr>
          <w:t xml:space="preserve">Naturalised populations of oysters, </w:t>
        </w:r>
        <w:r w:rsidRPr="00DD01E4">
          <w:rPr>
            <w:rStyle w:val="Hyperlink"/>
            <w:i/>
            <w:iCs/>
          </w:rPr>
          <w:t xml:space="preserve">Crassostrea gigas </w:t>
        </w:r>
        <w:r w:rsidRPr="00DD01E4">
          <w:rPr>
            <w:rStyle w:val="Hyperlink"/>
          </w:rPr>
          <w:t>along the South Af</w:t>
        </w:r>
        <w:r w:rsidR="00DD01E4" w:rsidRPr="00DD01E4">
          <w:rPr>
            <w:rStyle w:val="Hyperlink"/>
          </w:rPr>
          <w:t>r</w:t>
        </w:r>
        <w:r w:rsidRPr="00DD01E4">
          <w:rPr>
            <w:rStyle w:val="Hyperlink"/>
          </w:rPr>
          <w:t>ican coast: distribution, abundance and population structure</w:t>
        </w:r>
      </w:hyperlink>
      <w:r w:rsidRPr="00DD01E4">
        <w:t xml:space="preserve">, </w:t>
      </w:r>
      <w:r w:rsidRPr="00DD01E4">
        <w:rPr>
          <w:i/>
          <w:iCs/>
        </w:rPr>
        <w:t>Journal of Shellfish Research</w:t>
      </w:r>
      <w:r w:rsidR="00DD01E4">
        <w:rPr>
          <w:i/>
          <w:iCs/>
        </w:rPr>
        <w:t>,</w:t>
      </w:r>
      <w:r w:rsidRPr="00DD01E4">
        <w:rPr>
          <w:i/>
          <w:iCs/>
        </w:rPr>
        <w:t xml:space="preserve"> </w:t>
      </w:r>
      <w:r w:rsidRPr="00DD01E4">
        <w:t>vol. 24, pp. 443-50</w:t>
      </w:r>
      <w:r w:rsidR="00DD01E4">
        <w:t xml:space="preserve">, DOI: </w:t>
      </w:r>
      <w:r w:rsidR="00DD01E4" w:rsidRPr="00DD01E4">
        <w:t>10.2983/0730-8000(2005)24[443:NPOOCG]2.0.CO;2</w:t>
      </w:r>
      <w:r w:rsidR="00DD01E4">
        <w:t>.</w:t>
      </w:r>
    </w:p>
    <w:p w14:paraId="67643C5C" w14:textId="34611A13" w:rsidR="00C80491" w:rsidRDefault="00C80491" w:rsidP="00C80491">
      <w:pPr>
        <w:spacing w:line="240" w:lineRule="auto"/>
      </w:pPr>
      <w:r w:rsidRPr="005A0299">
        <w:t xml:space="preserve">Roux, L-MD, </w:t>
      </w:r>
      <w:proofErr w:type="spellStart"/>
      <w:r w:rsidRPr="005A0299">
        <w:t>Giblot-Ducray</w:t>
      </w:r>
      <w:proofErr w:type="spellEnd"/>
      <w:r w:rsidRPr="005A0299">
        <w:t xml:space="preserve">, D, Bott, NJ, Wiltshire, KH, Deveney, MR, Westfall, KM &amp; Abbott, CL 2020, </w:t>
      </w:r>
      <w:hyperlink r:id="rId566" w:history="1">
        <w:r w:rsidRPr="00581E99">
          <w:rPr>
            <w:rStyle w:val="Hyperlink"/>
          </w:rPr>
          <w:t xml:space="preserve">Analytical validation and field testing of a specific qPCR assay for environmental DNA detection of </w:t>
        </w:r>
        <w:r w:rsidRPr="00581E99">
          <w:rPr>
            <w:rStyle w:val="Hyperlink"/>
          </w:rPr>
          <w:lastRenderedPageBreak/>
          <w:t>invasive European green crab (</w:t>
        </w:r>
        <w:r w:rsidRPr="00581E99">
          <w:rPr>
            <w:rStyle w:val="Hyperlink"/>
            <w:i/>
            <w:iCs/>
          </w:rPr>
          <w:t>Carcinus maenas</w:t>
        </w:r>
        <w:r w:rsidRPr="00581E99">
          <w:rPr>
            <w:rStyle w:val="Hyperlink"/>
          </w:rPr>
          <w:t>)</w:t>
        </w:r>
      </w:hyperlink>
      <w:r w:rsidRPr="005A0299">
        <w:t xml:space="preserve">, </w:t>
      </w:r>
      <w:r w:rsidRPr="00581E99">
        <w:rPr>
          <w:i/>
          <w:iCs/>
        </w:rPr>
        <w:t>Environmental DNA</w:t>
      </w:r>
      <w:r w:rsidRPr="005A0299">
        <w:t>, vol. 2, no. 3, pp. 309</w:t>
      </w:r>
      <w:r w:rsidRPr="00581E99">
        <w:t>–</w:t>
      </w:r>
      <w:r w:rsidRPr="005A0299">
        <w:t>20</w:t>
      </w:r>
      <w:r w:rsidRPr="00581E99">
        <w:t xml:space="preserve">, DOI: </w:t>
      </w:r>
      <w:r w:rsidRPr="005A0299">
        <w:t>10.1002/edn3.65.</w:t>
      </w:r>
    </w:p>
    <w:p w14:paraId="245A33B7" w14:textId="5D143EA8" w:rsidR="004778EE" w:rsidRDefault="004778EE" w:rsidP="00C80491">
      <w:pPr>
        <w:spacing w:line="240" w:lineRule="auto"/>
      </w:pPr>
      <w:r>
        <w:t xml:space="preserve">Rowling, K 2009, Monitoring exotic pests in the Port of Adelaide, South Australia. Prepared for PIRSA Marine Biosecurity. South Australian Research and Development Institute (Aquatic Sciences), Adelaide. SARDI Publication No. F2009/000207-1. SARDI Research Report Series No. 349. </w:t>
      </w:r>
    </w:p>
    <w:p w14:paraId="4C7A8A88" w14:textId="7CD1B8D6" w:rsidR="00246AE3" w:rsidRPr="00DD01E4" w:rsidRDefault="00246AE3" w:rsidP="00246AE3">
      <w:r w:rsidRPr="00F61C6C">
        <w:t xml:space="preserve">Rueda, JL, Fernandez-Casado, M, Salas, C &amp; </w:t>
      </w:r>
      <w:proofErr w:type="spellStart"/>
      <w:r w:rsidRPr="00F61C6C">
        <w:t>Gofas</w:t>
      </w:r>
      <w:proofErr w:type="spellEnd"/>
      <w:r w:rsidRPr="00F61C6C">
        <w:t xml:space="preserve">, S 2001, </w:t>
      </w:r>
      <w:hyperlink r:id="rId567" w:history="1">
        <w:r w:rsidRPr="00F61C6C">
          <w:rPr>
            <w:rStyle w:val="Hyperlink"/>
          </w:rPr>
          <w:t xml:space="preserve">Seasonality in a </w:t>
        </w:r>
        <w:proofErr w:type="spellStart"/>
        <w:r w:rsidRPr="00F61C6C">
          <w:rPr>
            <w:rStyle w:val="Hyperlink"/>
          </w:rPr>
          <w:t>taxocoenosis</w:t>
        </w:r>
        <w:proofErr w:type="spellEnd"/>
        <w:r w:rsidRPr="00F61C6C">
          <w:rPr>
            <w:rStyle w:val="Hyperlink"/>
          </w:rPr>
          <w:t xml:space="preserve"> of molluscs from soft bottoms in the Bay of Cadiz (southern Spain)</w:t>
        </w:r>
      </w:hyperlink>
      <w:r w:rsidRPr="00F61C6C">
        <w:t xml:space="preserve">, </w:t>
      </w:r>
      <w:r w:rsidRPr="00F61C6C">
        <w:rPr>
          <w:i/>
          <w:iCs/>
        </w:rPr>
        <w:t xml:space="preserve">Journal of the Marine Biological Association of the United Kingdom, </w:t>
      </w:r>
      <w:r w:rsidRPr="00F61C6C">
        <w:t xml:space="preserve">vol. 81, </w:t>
      </w:r>
      <w:r>
        <w:t xml:space="preserve">no. 6, </w:t>
      </w:r>
      <w:r w:rsidRPr="00F61C6C">
        <w:t>pp. 903-12</w:t>
      </w:r>
      <w:r>
        <w:t xml:space="preserve">, DOI: </w:t>
      </w:r>
      <w:r w:rsidRPr="00F61C6C">
        <w:t>10.1017/S0025315401004829</w:t>
      </w:r>
      <w:r>
        <w:t xml:space="preserve">. </w:t>
      </w:r>
    </w:p>
    <w:p w14:paraId="39D1DE82" w14:textId="44ACA3A8" w:rsidR="006939E1" w:rsidRPr="00DD01E4" w:rsidRDefault="00B5740F" w:rsidP="00C80491">
      <w:pPr>
        <w:pStyle w:val="EndNoteBibliography"/>
        <w:rPr>
          <w:noProof w:val="0"/>
          <w:lang w:val="en-AU"/>
        </w:rPr>
      </w:pPr>
      <w:r w:rsidRPr="00DD01E4">
        <w:rPr>
          <w:noProof w:val="0"/>
          <w:lang w:val="en-AU"/>
        </w:rPr>
        <w:t xml:space="preserve">Salvi, D &amp; </w:t>
      </w:r>
      <w:proofErr w:type="spellStart"/>
      <w:r w:rsidRPr="00DD01E4">
        <w:rPr>
          <w:noProof w:val="0"/>
          <w:lang w:val="en-AU"/>
        </w:rPr>
        <w:t>Mariottini</w:t>
      </w:r>
      <w:proofErr w:type="spellEnd"/>
      <w:r w:rsidRPr="00DD01E4">
        <w:rPr>
          <w:noProof w:val="0"/>
          <w:lang w:val="en-AU"/>
        </w:rPr>
        <w:t xml:space="preserve">, P 2017, </w:t>
      </w:r>
      <w:hyperlink r:id="rId568" w:history="1">
        <w:r w:rsidRPr="00DD01E4">
          <w:rPr>
            <w:rStyle w:val="Hyperlink"/>
            <w:noProof w:val="0"/>
            <w:lang w:val="en-AU"/>
          </w:rPr>
          <w:t xml:space="preserve">Molecular taxonomy in 2D: a novel ITS2 rRNA sequence-structure approach guides the description of the oysters' subfamily </w:t>
        </w:r>
        <w:proofErr w:type="spellStart"/>
        <w:r w:rsidRPr="00DD01E4">
          <w:rPr>
            <w:rStyle w:val="Hyperlink"/>
            <w:noProof w:val="0"/>
            <w:lang w:val="en-AU"/>
          </w:rPr>
          <w:t>Saccostreinae</w:t>
        </w:r>
        <w:proofErr w:type="spellEnd"/>
        <w:r w:rsidRPr="00DD01E4">
          <w:rPr>
            <w:rStyle w:val="Hyperlink"/>
            <w:noProof w:val="0"/>
            <w:lang w:val="en-AU"/>
          </w:rPr>
          <w:t xml:space="preserve"> and the genus </w:t>
        </w:r>
        <w:r w:rsidRPr="00DD01E4">
          <w:rPr>
            <w:rStyle w:val="Hyperlink"/>
            <w:i/>
            <w:iCs/>
            <w:noProof w:val="0"/>
            <w:lang w:val="en-AU"/>
          </w:rPr>
          <w:t xml:space="preserve">Magallana </w:t>
        </w:r>
        <w:r w:rsidRPr="00DD01E4">
          <w:rPr>
            <w:rStyle w:val="Hyperlink"/>
            <w:noProof w:val="0"/>
            <w:lang w:val="en-AU"/>
          </w:rPr>
          <w:t xml:space="preserve">(Bivalvia: </w:t>
        </w:r>
        <w:proofErr w:type="spellStart"/>
        <w:r w:rsidRPr="00DD01E4">
          <w:rPr>
            <w:rStyle w:val="Hyperlink"/>
            <w:noProof w:val="0"/>
            <w:lang w:val="en-AU"/>
          </w:rPr>
          <w:t>Ostreidae</w:t>
        </w:r>
        <w:proofErr w:type="spellEnd"/>
        <w:r w:rsidRPr="00DD01E4">
          <w:rPr>
            <w:rStyle w:val="Hyperlink"/>
            <w:noProof w:val="0"/>
            <w:lang w:val="en-AU"/>
          </w:rPr>
          <w:t>)</w:t>
        </w:r>
      </w:hyperlink>
      <w:r w:rsidRPr="00DD01E4">
        <w:rPr>
          <w:noProof w:val="0"/>
          <w:lang w:val="en-AU"/>
        </w:rPr>
        <w:t xml:space="preserve">, </w:t>
      </w:r>
      <w:r w:rsidRPr="00DD01E4">
        <w:rPr>
          <w:i/>
          <w:noProof w:val="0"/>
          <w:lang w:val="en-AU"/>
        </w:rPr>
        <w:t>Zoological Journal of the Linnean Society</w:t>
      </w:r>
      <w:r w:rsidRPr="00DD01E4">
        <w:rPr>
          <w:noProof w:val="0"/>
          <w:lang w:val="en-AU"/>
        </w:rPr>
        <w:t>, vol. 179, no. 2, pp. 263-76</w:t>
      </w:r>
      <w:r w:rsidR="00DD01E4" w:rsidRPr="00DD01E4">
        <w:rPr>
          <w:noProof w:val="0"/>
          <w:lang w:val="en-AU"/>
        </w:rPr>
        <w:t>, DOI: 10.1111/zoj.12455.</w:t>
      </w:r>
    </w:p>
    <w:p w14:paraId="1421925A" w14:textId="2C6EDC10" w:rsidR="00004358" w:rsidRPr="00DD01E4" w:rsidRDefault="00B5740F" w:rsidP="00C80491">
      <w:pPr>
        <w:pStyle w:val="EndNoteBibliography"/>
        <w:rPr>
          <w:noProof w:val="0"/>
          <w:lang w:val="en-AU"/>
        </w:rPr>
      </w:pPr>
      <w:proofErr w:type="spellStart"/>
      <w:r w:rsidRPr="00DD01E4">
        <w:rPr>
          <w:noProof w:val="0"/>
          <w:lang w:val="en-AU"/>
        </w:rPr>
        <w:t>Sanpanich</w:t>
      </w:r>
      <w:proofErr w:type="spellEnd"/>
      <w:r w:rsidRPr="00DD01E4">
        <w:rPr>
          <w:noProof w:val="0"/>
          <w:lang w:val="en-AU"/>
        </w:rPr>
        <w:t xml:space="preserve">, K &amp; Wells, FE 2019, </w:t>
      </w:r>
      <w:hyperlink r:id="rId569" w:history="1">
        <w:r w:rsidRPr="00DD01E4">
          <w:rPr>
            <w:rStyle w:val="Hyperlink"/>
            <w:i/>
            <w:iCs/>
            <w:noProof w:val="0"/>
            <w:lang w:val="en-AU"/>
          </w:rPr>
          <w:t>Mytella strigata</w:t>
        </w:r>
        <w:r w:rsidRPr="00DD01E4">
          <w:rPr>
            <w:rStyle w:val="Hyperlink"/>
            <w:noProof w:val="0"/>
            <w:lang w:val="en-AU"/>
          </w:rPr>
          <w:t xml:space="preserve"> (Hanley, 1843) emerging as an invasive marine threat in Southeast Asia</w:t>
        </w:r>
      </w:hyperlink>
      <w:r w:rsidRPr="00DD01E4">
        <w:rPr>
          <w:noProof w:val="0"/>
          <w:lang w:val="en-AU"/>
        </w:rPr>
        <w:t xml:space="preserve">, </w:t>
      </w:r>
      <w:proofErr w:type="spellStart"/>
      <w:r w:rsidRPr="00DD01E4">
        <w:rPr>
          <w:i/>
          <w:noProof w:val="0"/>
          <w:lang w:val="en-AU"/>
        </w:rPr>
        <w:t>BioInvasions</w:t>
      </w:r>
      <w:proofErr w:type="spellEnd"/>
      <w:r w:rsidRPr="00DD01E4">
        <w:rPr>
          <w:i/>
          <w:noProof w:val="0"/>
          <w:lang w:val="en-AU"/>
        </w:rPr>
        <w:t xml:space="preserve"> Records</w:t>
      </w:r>
      <w:r w:rsidRPr="00DD01E4">
        <w:rPr>
          <w:noProof w:val="0"/>
          <w:lang w:val="en-AU"/>
        </w:rPr>
        <w:t>, vol. 8, no. 2, pp. 343-56</w:t>
      </w:r>
      <w:r w:rsidR="00DD01E4">
        <w:rPr>
          <w:noProof w:val="0"/>
          <w:lang w:val="en-AU"/>
        </w:rPr>
        <w:t xml:space="preserve">, DOI: </w:t>
      </w:r>
      <w:r w:rsidR="00DD01E4" w:rsidRPr="00DD01E4">
        <w:rPr>
          <w:noProof w:val="0"/>
          <w:lang w:val="en-AU"/>
        </w:rPr>
        <w:t>10.3391/bir.2019.8.2.16</w:t>
      </w:r>
      <w:r w:rsidR="00DD01E4">
        <w:rPr>
          <w:noProof w:val="0"/>
          <w:lang w:val="en-AU"/>
        </w:rPr>
        <w:t>.</w:t>
      </w:r>
    </w:p>
    <w:p w14:paraId="3B056DC1" w14:textId="5E040DE6" w:rsidR="006939E1" w:rsidRDefault="00B5740F" w:rsidP="00C80491">
      <w:pPr>
        <w:pStyle w:val="EndNoteBibliography"/>
        <w:rPr>
          <w:noProof w:val="0"/>
          <w:lang w:val="en-AU"/>
        </w:rPr>
      </w:pPr>
      <w:r w:rsidRPr="00DD01E4">
        <w:rPr>
          <w:noProof w:val="0"/>
          <w:lang w:val="en-AU"/>
        </w:rPr>
        <w:t xml:space="preserve">Segnini de Bravo, MI, Chung, KS &amp; Perez JE 1998, </w:t>
      </w:r>
      <w:hyperlink r:id="rId570" w:history="1">
        <w:r w:rsidRPr="00DD01E4">
          <w:rPr>
            <w:rStyle w:val="Hyperlink"/>
            <w:noProof w:val="0"/>
            <w:lang w:val="en-AU"/>
          </w:rPr>
          <w:t xml:space="preserve">Salinity and temperature tolerances of the green and brown mussels, </w:t>
        </w:r>
        <w:r w:rsidRPr="00DD01E4">
          <w:rPr>
            <w:rStyle w:val="Hyperlink"/>
            <w:i/>
            <w:iCs/>
            <w:noProof w:val="0"/>
            <w:lang w:val="en-AU"/>
          </w:rPr>
          <w:t xml:space="preserve">Perna viridis </w:t>
        </w:r>
        <w:r w:rsidRPr="00DD01E4">
          <w:rPr>
            <w:rStyle w:val="Hyperlink"/>
            <w:noProof w:val="0"/>
            <w:lang w:val="en-AU"/>
          </w:rPr>
          <w:t xml:space="preserve">and </w:t>
        </w:r>
        <w:r w:rsidRPr="00DD01E4">
          <w:rPr>
            <w:rStyle w:val="Hyperlink"/>
            <w:i/>
            <w:iCs/>
            <w:noProof w:val="0"/>
            <w:lang w:val="en-AU"/>
          </w:rPr>
          <w:t xml:space="preserve">Perna </w:t>
        </w:r>
        <w:proofErr w:type="spellStart"/>
        <w:r w:rsidRPr="00DD01E4">
          <w:rPr>
            <w:rStyle w:val="Hyperlink"/>
            <w:i/>
            <w:iCs/>
            <w:noProof w:val="0"/>
            <w:lang w:val="en-AU"/>
          </w:rPr>
          <w:t>perna</w:t>
        </w:r>
        <w:proofErr w:type="spellEnd"/>
        <w:r w:rsidRPr="00DD01E4">
          <w:rPr>
            <w:rStyle w:val="Hyperlink"/>
            <w:i/>
            <w:iCs/>
            <w:noProof w:val="0"/>
            <w:lang w:val="en-AU"/>
          </w:rPr>
          <w:t xml:space="preserve"> </w:t>
        </w:r>
        <w:r w:rsidRPr="00DD01E4">
          <w:rPr>
            <w:rStyle w:val="Hyperlink"/>
            <w:noProof w:val="0"/>
            <w:lang w:val="en-AU"/>
          </w:rPr>
          <w:t>(Bivalvia, Mytilidae)</w:t>
        </w:r>
      </w:hyperlink>
      <w:r w:rsidRPr="00DD01E4">
        <w:rPr>
          <w:noProof w:val="0"/>
          <w:lang w:val="en-AU"/>
        </w:rPr>
        <w:t xml:space="preserve">, </w:t>
      </w:r>
      <w:proofErr w:type="spellStart"/>
      <w:r w:rsidRPr="00DD01E4">
        <w:rPr>
          <w:i/>
          <w:iCs/>
          <w:noProof w:val="0"/>
          <w:lang w:val="en-AU"/>
        </w:rPr>
        <w:t>Revista</w:t>
      </w:r>
      <w:proofErr w:type="spellEnd"/>
      <w:r w:rsidRPr="00DD01E4">
        <w:rPr>
          <w:i/>
          <w:iCs/>
          <w:noProof w:val="0"/>
          <w:lang w:val="en-AU"/>
        </w:rPr>
        <w:t xml:space="preserve"> de </w:t>
      </w:r>
      <w:proofErr w:type="spellStart"/>
      <w:r w:rsidRPr="00DD01E4">
        <w:rPr>
          <w:i/>
          <w:iCs/>
          <w:noProof w:val="0"/>
          <w:lang w:val="en-AU"/>
        </w:rPr>
        <w:t>Biologia</w:t>
      </w:r>
      <w:proofErr w:type="spellEnd"/>
      <w:r w:rsidRPr="00DD01E4">
        <w:rPr>
          <w:i/>
          <w:iCs/>
          <w:noProof w:val="0"/>
          <w:lang w:val="en-AU"/>
        </w:rPr>
        <w:t xml:space="preserve"> Tropical, Supplement, </w:t>
      </w:r>
      <w:r w:rsidRPr="00DD01E4">
        <w:rPr>
          <w:noProof w:val="0"/>
          <w:lang w:val="en-AU"/>
        </w:rPr>
        <w:t>vol. 46, no. 5, pp. 121-26.</w:t>
      </w:r>
    </w:p>
    <w:p w14:paraId="37324475" w14:textId="2BF53141" w:rsidR="007F3FF4" w:rsidRDefault="007F3FF4" w:rsidP="00C80491">
      <w:pPr>
        <w:pStyle w:val="EndNoteBibliography"/>
        <w:rPr>
          <w:noProof w:val="0"/>
          <w:lang w:val="en-AU"/>
        </w:rPr>
      </w:pPr>
      <w:r w:rsidRPr="007F3FF4">
        <w:rPr>
          <w:noProof w:val="0"/>
          <w:lang w:val="en-AU"/>
        </w:rPr>
        <w:t xml:space="preserve">Sgro, L, </w:t>
      </w:r>
      <w:proofErr w:type="spellStart"/>
      <w:r w:rsidRPr="007F3FF4">
        <w:rPr>
          <w:noProof w:val="0"/>
          <w:lang w:val="en-AU"/>
        </w:rPr>
        <w:t>Turolla</w:t>
      </w:r>
      <w:proofErr w:type="spellEnd"/>
      <w:r w:rsidRPr="007F3FF4">
        <w:rPr>
          <w:noProof w:val="0"/>
          <w:lang w:val="en-AU"/>
        </w:rPr>
        <w:t>, E, Rossi, R</w:t>
      </w:r>
      <w:r>
        <w:rPr>
          <w:noProof w:val="0"/>
          <w:lang w:val="en-AU"/>
        </w:rPr>
        <w:t xml:space="preserve"> </w:t>
      </w:r>
      <w:r w:rsidRPr="007F3FF4">
        <w:rPr>
          <w:noProof w:val="0"/>
          <w:lang w:val="en-AU"/>
        </w:rPr>
        <w:t>&amp; Mistri, M</w:t>
      </w:r>
      <w:r>
        <w:rPr>
          <w:noProof w:val="0"/>
          <w:lang w:val="en-AU"/>
        </w:rPr>
        <w:t xml:space="preserve"> </w:t>
      </w:r>
      <w:r w:rsidRPr="007F3FF4">
        <w:rPr>
          <w:noProof w:val="0"/>
          <w:lang w:val="en-AU"/>
        </w:rPr>
        <w:t>2002</w:t>
      </w:r>
      <w:r>
        <w:rPr>
          <w:noProof w:val="0"/>
          <w:lang w:val="en-AU"/>
        </w:rPr>
        <w:t xml:space="preserve">, </w:t>
      </w:r>
      <w:hyperlink r:id="rId571" w:history="1">
        <w:r w:rsidRPr="007F3FF4">
          <w:rPr>
            <w:rStyle w:val="Hyperlink"/>
            <w:noProof w:val="0"/>
            <w:lang w:val="en-AU"/>
          </w:rPr>
          <w:t xml:space="preserve">Sexual maturation and larval development of the immigrant Asian date mussel, </w:t>
        </w:r>
        <w:proofErr w:type="spellStart"/>
        <w:r w:rsidRPr="007F3FF4">
          <w:rPr>
            <w:rStyle w:val="Hyperlink"/>
            <w:i/>
            <w:iCs/>
            <w:noProof w:val="0"/>
            <w:lang w:val="en-AU"/>
          </w:rPr>
          <w:t>Musculista</w:t>
        </w:r>
        <w:proofErr w:type="spellEnd"/>
        <w:r w:rsidRPr="007F3FF4">
          <w:rPr>
            <w:rStyle w:val="Hyperlink"/>
            <w:i/>
            <w:iCs/>
            <w:noProof w:val="0"/>
            <w:lang w:val="en-AU"/>
          </w:rPr>
          <w:t xml:space="preserve"> senhousia</w:t>
        </w:r>
        <w:r w:rsidRPr="007F3FF4">
          <w:rPr>
            <w:rStyle w:val="Hyperlink"/>
            <w:noProof w:val="0"/>
            <w:lang w:val="en-AU"/>
          </w:rPr>
          <w:t>, in a Po River deltaic lagoon</w:t>
        </w:r>
      </w:hyperlink>
      <w:r>
        <w:rPr>
          <w:noProof w:val="0"/>
          <w:lang w:val="en-AU"/>
        </w:rPr>
        <w:t xml:space="preserve">, </w:t>
      </w:r>
      <w:r w:rsidRPr="007F3FF4">
        <w:rPr>
          <w:i/>
          <w:iCs/>
          <w:noProof w:val="0"/>
          <w:lang w:val="en-AU"/>
        </w:rPr>
        <w:t>Italian Journal of Zoology</w:t>
      </w:r>
      <w:r w:rsidRPr="007F3FF4">
        <w:rPr>
          <w:noProof w:val="0"/>
          <w:lang w:val="en-AU"/>
        </w:rPr>
        <w:t xml:space="preserve">, </w:t>
      </w:r>
      <w:r>
        <w:rPr>
          <w:noProof w:val="0"/>
          <w:lang w:val="en-AU"/>
        </w:rPr>
        <w:t xml:space="preserve">vol. </w:t>
      </w:r>
      <w:r w:rsidRPr="007F3FF4">
        <w:rPr>
          <w:noProof w:val="0"/>
          <w:lang w:val="en-AU"/>
        </w:rPr>
        <w:t>69</w:t>
      </w:r>
      <w:r>
        <w:rPr>
          <w:noProof w:val="0"/>
          <w:lang w:val="en-AU"/>
        </w:rPr>
        <w:t xml:space="preserve">, no. </w:t>
      </w:r>
      <w:r w:rsidRPr="007F3FF4">
        <w:rPr>
          <w:noProof w:val="0"/>
          <w:lang w:val="en-AU"/>
        </w:rPr>
        <w:t>3,</w:t>
      </w:r>
      <w:r>
        <w:rPr>
          <w:noProof w:val="0"/>
          <w:lang w:val="en-AU"/>
        </w:rPr>
        <w:t xml:space="preserve"> pp.</w:t>
      </w:r>
      <w:r w:rsidRPr="007F3FF4">
        <w:rPr>
          <w:noProof w:val="0"/>
          <w:lang w:val="en-AU"/>
        </w:rPr>
        <w:t xml:space="preserve"> 223</w:t>
      </w:r>
      <w:r>
        <w:rPr>
          <w:noProof w:val="0"/>
          <w:lang w:val="en-AU"/>
        </w:rPr>
        <w:t>-</w:t>
      </w:r>
      <w:r w:rsidRPr="007F3FF4">
        <w:rPr>
          <w:noProof w:val="0"/>
          <w:lang w:val="en-AU"/>
        </w:rPr>
        <w:t>228</w:t>
      </w:r>
      <w:r>
        <w:rPr>
          <w:noProof w:val="0"/>
          <w:lang w:val="en-AU"/>
        </w:rPr>
        <w:t xml:space="preserve">, DOI: </w:t>
      </w:r>
      <w:r w:rsidRPr="007F3FF4">
        <w:rPr>
          <w:noProof w:val="0"/>
          <w:lang w:val="en-AU"/>
        </w:rPr>
        <w:t>10.1080/11250000209356463</w:t>
      </w:r>
      <w:r>
        <w:rPr>
          <w:noProof w:val="0"/>
          <w:lang w:val="en-AU"/>
        </w:rPr>
        <w:t xml:space="preserve">. </w:t>
      </w:r>
    </w:p>
    <w:p w14:paraId="56D93983" w14:textId="2A45148E" w:rsidR="006939E1" w:rsidRPr="00DD01E4" w:rsidRDefault="00B5740F" w:rsidP="00C80491">
      <w:pPr>
        <w:pStyle w:val="EndNoteBibliography"/>
        <w:rPr>
          <w:noProof w:val="0"/>
          <w:lang w:val="en-AU"/>
        </w:rPr>
      </w:pPr>
      <w:proofErr w:type="spellStart"/>
      <w:r w:rsidRPr="00DD01E4">
        <w:rPr>
          <w:noProof w:val="0"/>
          <w:lang w:val="en-AU"/>
        </w:rPr>
        <w:t>Shamseldin</w:t>
      </w:r>
      <w:proofErr w:type="spellEnd"/>
      <w:r w:rsidRPr="00DD01E4">
        <w:rPr>
          <w:noProof w:val="0"/>
          <w:lang w:val="en-AU"/>
        </w:rPr>
        <w:t xml:space="preserve">, A, Clegg, JS, Friedman, CS, </w:t>
      </w:r>
      <w:proofErr w:type="spellStart"/>
      <w:r w:rsidRPr="00DD01E4">
        <w:rPr>
          <w:noProof w:val="0"/>
          <w:lang w:val="en-AU"/>
        </w:rPr>
        <w:t>Cherr</w:t>
      </w:r>
      <w:proofErr w:type="spellEnd"/>
      <w:r w:rsidRPr="00DD01E4">
        <w:rPr>
          <w:noProof w:val="0"/>
          <w:lang w:val="en-AU"/>
        </w:rPr>
        <w:t xml:space="preserve">, GN &amp; Pillai, M 1997, </w:t>
      </w:r>
      <w:hyperlink r:id="rId572" w:history="1">
        <w:r w:rsidRPr="00DD01E4">
          <w:rPr>
            <w:rStyle w:val="Hyperlink"/>
            <w:noProof w:val="0"/>
            <w:lang w:val="en-AU"/>
          </w:rPr>
          <w:t xml:space="preserve">Induced thermotolerance in the Pacific oyster, </w:t>
        </w:r>
        <w:r w:rsidRPr="00DD01E4">
          <w:rPr>
            <w:rStyle w:val="Hyperlink"/>
            <w:i/>
            <w:iCs/>
            <w:noProof w:val="0"/>
            <w:lang w:val="en-AU"/>
          </w:rPr>
          <w:t>Crassostrea giga</w:t>
        </w:r>
      </w:hyperlink>
      <w:r w:rsidRPr="00DD01E4">
        <w:rPr>
          <w:i/>
          <w:iCs/>
          <w:noProof w:val="0"/>
          <w:lang w:val="en-AU"/>
        </w:rPr>
        <w:t>s</w:t>
      </w:r>
      <w:r w:rsidR="00F50B70" w:rsidRPr="00DD01E4">
        <w:rPr>
          <w:noProof w:val="0"/>
          <w:lang w:val="en-AU"/>
        </w:rPr>
        <w:t xml:space="preserve">, </w:t>
      </w:r>
      <w:r w:rsidR="00F50B70" w:rsidRPr="00DD01E4">
        <w:rPr>
          <w:i/>
          <w:iCs/>
          <w:noProof w:val="0"/>
          <w:lang w:val="en-AU"/>
        </w:rPr>
        <w:t>Journal of Shellfish Research</w:t>
      </w:r>
      <w:r w:rsidR="00F50B70" w:rsidRPr="00DD01E4">
        <w:rPr>
          <w:noProof w:val="0"/>
          <w:lang w:val="en-AU"/>
        </w:rPr>
        <w:t>, vol. 16, no. 2, pp.</w:t>
      </w:r>
      <w:r w:rsidR="00202E8B" w:rsidRPr="00DD01E4">
        <w:rPr>
          <w:noProof w:val="0"/>
          <w:lang w:val="en-AU"/>
        </w:rPr>
        <w:t xml:space="preserve"> </w:t>
      </w:r>
      <w:r w:rsidR="00F50B70" w:rsidRPr="00DD01E4">
        <w:rPr>
          <w:noProof w:val="0"/>
          <w:lang w:val="en-AU"/>
        </w:rPr>
        <w:t>487-91.</w:t>
      </w:r>
    </w:p>
    <w:p w14:paraId="099AB3C1" w14:textId="4221B1F5" w:rsidR="00F263DA" w:rsidRDefault="00B5740F" w:rsidP="00C80491">
      <w:pPr>
        <w:pStyle w:val="EndNoteBibliography"/>
        <w:rPr>
          <w:noProof w:val="0"/>
          <w:lang w:val="en-AU"/>
        </w:rPr>
      </w:pPr>
      <w:r w:rsidRPr="00DD01E4">
        <w:rPr>
          <w:noProof w:val="0"/>
          <w:lang w:val="en-AU"/>
        </w:rPr>
        <w:t xml:space="preserve">Shatkin, G 1997, </w:t>
      </w:r>
      <w:hyperlink r:id="rId573" w:history="1">
        <w:r w:rsidRPr="00DD01E4">
          <w:rPr>
            <w:rStyle w:val="Hyperlink"/>
            <w:noProof w:val="0"/>
            <w:lang w:val="en-AU"/>
          </w:rPr>
          <w:t>Considerations regarding the possible introduction of the Pacific oyster (</w:t>
        </w:r>
        <w:r w:rsidRPr="00DD01E4">
          <w:rPr>
            <w:rStyle w:val="Hyperlink"/>
            <w:i/>
            <w:iCs/>
            <w:noProof w:val="0"/>
            <w:lang w:val="en-AU"/>
          </w:rPr>
          <w:t>Crassostrea gigas</w:t>
        </w:r>
        <w:r w:rsidRPr="00DD01E4">
          <w:rPr>
            <w:rStyle w:val="Hyperlink"/>
            <w:noProof w:val="0"/>
            <w:lang w:val="en-AU"/>
          </w:rPr>
          <w:t>) to the Gulf of Maine: a review of global experience</w:t>
        </w:r>
      </w:hyperlink>
      <w:r w:rsidRPr="00DD01E4">
        <w:rPr>
          <w:noProof w:val="0"/>
          <w:lang w:val="en-AU"/>
        </w:rPr>
        <w:t xml:space="preserve">, </w:t>
      </w:r>
      <w:r w:rsidRPr="00DD01E4">
        <w:rPr>
          <w:i/>
          <w:noProof w:val="0"/>
          <w:lang w:val="en-AU"/>
        </w:rPr>
        <w:t>Journal of Shellfish Research</w:t>
      </w:r>
      <w:r w:rsidRPr="00DD01E4">
        <w:rPr>
          <w:noProof w:val="0"/>
          <w:lang w:val="en-AU"/>
        </w:rPr>
        <w:t>, vol. 16, pp. 463-78.</w:t>
      </w:r>
    </w:p>
    <w:p w14:paraId="6C5A3487" w14:textId="3152D0BC" w:rsidR="00C70662" w:rsidRPr="00C70662" w:rsidRDefault="00C70662" w:rsidP="00C80491">
      <w:pPr>
        <w:pStyle w:val="EndNoteBibliography"/>
        <w:rPr>
          <w:noProof w:val="0"/>
          <w:lang w:val="en-AU"/>
        </w:rPr>
      </w:pPr>
      <w:bookmarkStart w:id="821" w:name="_Hlk188618852"/>
      <w:r>
        <w:rPr>
          <w:noProof w:val="0"/>
          <w:lang w:val="en-AU"/>
        </w:rPr>
        <w:t xml:space="preserve">Sherman, CDH, </w:t>
      </w:r>
      <w:proofErr w:type="spellStart"/>
      <w:r>
        <w:rPr>
          <w:noProof w:val="0"/>
          <w:lang w:val="en-AU"/>
        </w:rPr>
        <w:t>Lotterhos</w:t>
      </w:r>
      <w:proofErr w:type="spellEnd"/>
      <w:r>
        <w:rPr>
          <w:noProof w:val="0"/>
          <w:lang w:val="en-AU"/>
        </w:rPr>
        <w:t xml:space="preserve">, KE, Richardson, MF, </w:t>
      </w:r>
      <w:proofErr w:type="spellStart"/>
      <w:r>
        <w:rPr>
          <w:noProof w:val="0"/>
          <w:lang w:val="en-AU"/>
        </w:rPr>
        <w:t>Tepolt</w:t>
      </w:r>
      <w:proofErr w:type="spellEnd"/>
      <w:r>
        <w:rPr>
          <w:noProof w:val="0"/>
          <w:lang w:val="en-AU"/>
        </w:rPr>
        <w:t xml:space="preserve">, CK, Rollins, LA, </w:t>
      </w:r>
      <w:proofErr w:type="spellStart"/>
      <w:r>
        <w:rPr>
          <w:noProof w:val="0"/>
          <w:lang w:val="en-AU"/>
        </w:rPr>
        <w:t>Palumbi</w:t>
      </w:r>
      <w:proofErr w:type="spellEnd"/>
      <w:r>
        <w:rPr>
          <w:noProof w:val="0"/>
          <w:lang w:val="en-AU"/>
        </w:rPr>
        <w:t xml:space="preserve">, SR &amp; Miller, AD 2016, </w:t>
      </w:r>
      <w:hyperlink r:id="rId574" w:history="1">
        <w:r w:rsidRPr="00C70662">
          <w:rPr>
            <w:rStyle w:val="Hyperlink"/>
            <w:noProof w:val="0"/>
            <w:lang w:val="en-AU"/>
          </w:rPr>
          <w:t>What are we missing about marine invasions? Filling in the gaps with evolutionary genomics</w:t>
        </w:r>
      </w:hyperlink>
      <w:r>
        <w:rPr>
          <w:noProof w:val="0"/>
          <w:lang w:val="en-AU"/>
        </w:rPr>
        <w:t xml:space="preserve">, </w:t>
      </w:r>
      <w:r>
        <w:rPr>
          <w:i/>
          <w:iCs/>
          <w:noProof w:val="0"/>
          <w:lang w:val="en-AU"/>
        </w:rPr>
        <w:t xml:space="preserve">Marine Biology, </w:t>
      </w:r>
      <w:r>
        <w:rPr>
          <w:noProof w:val="0"/>
          <w:lang w:val="en-AU"/>
        </w:rPr>
        <w:t xml:space="preserve">vol. 163, no. 10, DOI: </w:t>
      </w:r>
      <w:r w:rsidRPr="00C70662">
        <w:rPr>
          <w:noProof w:val="0"/>
          <w:lang w:val="en-AU"/>
        </w:rPr>
        <w:t>10.1007/s00227-016-2961-4</w:t>
      </w:r>
      <w:r>
        <w:rPr>
          <w:noProof w:val="0"/>
          <w:lang w:val="en-AU"/>
        </w:rPr>
        <w:t xml:space="preserve">. </w:t>
      </w:r>
    </w:p>
    <w:bookmarkEnd w:id="821"/>
    <w:p w14:paraId="60640B65" w14:textId="3FE65D8C" w:rsidR="006939E1" w:rsidRPr="00DD01E4" w:rsidRDefault="00F263DA" w:rsidP="00C80491">
      <w:pPr>
        <w:pStyle w:val="EndNoteBibliography"/>
        <w:rPr>
          <w:noProof w:val="0"/>
          <w:lang w:val="en-AU"/>
        </w:rPr>
      </w:pPr>
      <w:r w:rsidRPr="00DD01E4">
        <w:rPr>
          <w:noProof w:val="0"/>
          <w:lang w:val="en-AU"/>
        </w:rPr>
        <w:t xml:space="preserve">Sherman, CDH, Jennings &amp; Miller, AD 2020, </w:t>
      </w:r>
      <w:hyperlink r:id="rId575" w:history="1">
        <w:r w:rsidRPr="00DD01E4">
          <w:rPr>
            <w:rStyle w:val="Hyperlink"/>
            <w:noProof w:val="0"/>
            <w:lang w:val="en-AU"/>
          </w:rPr>
          <w:t>Asses</w:t>
        </w:r>
        <w:r w:rsidR="00DD01E4" w:rsidRPr="00DD01E4">
          <w:rPr>
            <w:rStyle w:val="Hyperlink"/>
            <w:noProof w:val="0"/>
            <w:lang w:val="en-AU"/>
          </w:rPr>
          <w:t>s</w:t>
        </w:r>
        <w:r w:rsidRPr="00DD01E4">
          <w:rPr>
            <w:rStyle w:val="Hyperlink"/>
            <w:noProof w:val="0"/>
            <w:lang w:val="en-AU"/>
          </w:rPr>
          <w:t>ment of reproductive propagule size for biofouling risk groups</w:t>
        </w:r>
      </w:hyperlink>
      <w:r w:rsidRPr="00DD01E4">
        <w:rPr>
          <w:noProof w:val="0"/>
          <w:lang w:val="en-AU"/>
        </w:rPr>
        <w:t>, Department of Agriculture, Water and the Environment, Canberra, June. CC BY 4.0.</w:t>
      </w:r>
    </w:p>
    <w:p w14:paraId="40917605" w14:textId="161A22F2" w:rsidR="005F7F32" w:rsidRDefault="005F7F32" w:rsidP="00C80491">
      <w:pPr>
        <w:pStyle w:val="EndNoteBibliography"/>
        <w:rPr>
          <w:noProof w:val="0"/>
          <w:lang w:val="en-AU"/>
        </w:rPr>
      </w:pPr>
      <w:r w:rsidRPr="005F7F32">
        <w:rPr>
          <w:noProof w:val="0"/>
          <w:lang w:val="en-AU"/>
        </w:rPr>
        <w:t xml:space="preserve">Siang, TK &amp; Teresa, T 2020, </w:t>
      </w:r>
      <w:hyperlink r:id="rId576" w:history="1">
        <w:r w:rsidRPr="005F7F32">
          <w:rPr>
            <w:rStyle w:val="Hyperlink"/>
            <w:noProof w:val="0"/>
            <w:lang w:val="en-AU"/>
          </w:rPr>
          <w:t xml:space="preserve">The invasive Caribbean </w:t>
        </w:r>
        <w:r w:rsidRPr="005F7F32">
          <w:rPr>
            <w:rStyle w:val="Hyperlink"/>
            <w:i/>
            <w:noProof w:val="0"/>
            <w:lang w:val="en-AU"/>
          </w:rPr>
          <w:t>Mytilopsis salle</w:t>
        </w:r>
        <w:r w:rsidRPr="005F7F32">
          <w:rPr>
            <w:rStyle w:val="Hyperlink"/>
            <w:noProof w:val="0"/>
            <w:lang w:val="en-AU"/>
          </w:rPr>
          <w:t xml:space="preserve">i (Bivalvia: </w:t>
        </w:r>
        <w:proofErr w:type="spellStart"/>
        <w:r w:rsidRPr="005F7F32">
          <w:rPr>
            <w:rStyle w:val="Hyperlink"/>
            <w:noProof w:val="0"/>
            <w:lang w:val="en-AU"/>
          </w:rPr>
          <w:t>Dreissenidae</w:t>
        </w:r>
        <w:proofErr w:type="spellEnd"/>
        <w:r w:rsidRPr="005F7F32">
          <w:rPr>
            <w:rStyle w:val="Hyperlink"/>
            <w:noProof w:val="0"/>
            <w:lang w:val="en-AU"/>
          </w:rPr>
          <w:t>): a short review</w:t>
        </w:r>
      </w:hyperlink>
      <w:r w:rsidRPr="005F7F32">
        <w:rPr>
          <w:noProof w:val="0"/>
          <w:lang w:val="en-AU"/>
        </w:rPr>
        <w:t xml:space="preserve">, </w:t>
      </w:r>
      <w:r w:rsidRPr="005F7F32">
        <w:rPr>
          <w:i/>
          <w:noProof w:val="0"/>
          <w:lang w:val="en-AU"/>
        </w:rPr>
        <w:t>ASEAN Journal on Science and Technology for Development</w:t>
      </w:r>
      <w:r w:rsidRPr="005F7F32">
        <w:rPr>
          <w:noProof w:val="0"/>
          <w:lang w:val="en-AU"/>
        </w:rPr>
        <w:t>, vol. 37, no. 2, pp. 87, DOI: 10.29037/ajstd.483.</w:t>
      </w:r>
    </w:p>
    <w:p w14:paraId="07492F97" w14:textId="1108499F" w:rsidR="00E50272" w:rsidRPr="00E50272" w:rsidRDefault="00E50272" w:rsidP="00C80491">
      <w:pPr>
        <w:pStyle w:val="EndNoteBibliography"/>
        <w:rPr>
          <w:noProof w:val="0"/>
          <w:lang w:val="en-AU"/>
        </w:rPr>
      </w:pPr>
      <w:r>
        <w:rPr>
          <w:noProof w:val="0"/>
          <w:lang w:val="en-AU"/>
        </w:rPr>
        <w:t xml:space="preserve">Siddall, SE 1980, </w:t>
      </w:r>
      <w:hyperlink r:id="rId577" w:history="1">
        <w:r w:rsidRPr="00E50272">
          <w:rPr>
            <w:rStyle w:val="Hyperlink"/>
            <w:noProof w:val="0"/>
            <w:lang w:val="en-AU"/>
          </w:rPr>
          <w:t xml:space="preserve">A clarification of the genus </w:t>
        </w:r>
        <w:r w:rsidRPr="00E50272">
          <w:rPr>
            <w:rStyle w:val="Hyperlink"/>
            <w:i/>
            <w:iCs/>
            <w:noProof w:val="0"/>
            <w:lang w:val="en-AU"/>
          </w:rPr>
          <w:t xml:space="preserve">Perna </w:t>
        </w:r>
        <w:r w:rsidRPr="00E50272">
          <w:rPr>
            <w:rStyle w:val="Hyperlink"/>
            <w:noProof w:val="0"/>
            <w:lang w:val="en-AU"/>
          </w:rPr>
          <w:t>(Mytilidae)</w:t>
        </w:r>
      </w:hyperlink>
      <w:r>
        <w:rPr>
          <w:noProof w:val="0"/>
          <w:lang w:val="en-AU"/>
        </w:rPr>
        <w:t xml:space="preserve">, </w:t>
      </w:r>
      <w:r>
        <w:rPr>
          <w:i/>
          <w:iCs/>
          <w:noProof w:val="0"/>
          <w:lang w:val="en-AU"/>
        </w:rPr>
        <w:t xml:space="preserve">Bulletin of Marine Science, </w:t>
      </w:r>
      <w:r>
        <w:rPr>
          <w:noProof w:val="0"/>
          <w:lang w:val="en-AU"/>
        </w:rPr>
        <w:t xml:space="preserve">vol. 30, no. 4, pp. 858-870. </w:t>
      </w:r>
    </w:p>
    <w:p w14:paraId="60364A56" w14:textId="5FD0F7E1" w:rsidR="006939E1" w:rsidRDefault="00B5740F" w:rsidP="00C80491">
      <w:pPr>
        <w:pStyle w:val="EndNoteBibliography"/>
        <w:rPr>
          <w:noProof w:val="0"/>
          <w:lang w:val="en-AU"/>
        </w:rPr>
      </w:pPr>
      <w:r w:rsidRPr="00DD01E4">
        <w:rPr>
          <w:noProof w:val="0"/>
          <w:lang w:val="en-AU"/>
        </w:rPr>
        <w:t xml:space="preserve">Sierp, M 2019, </w:t>
      </w:r>
      <w:r w:rsidRPr="00DD01E4">
        <w:rPr>
          <w:i/>
          <w:iCs/>
          <w:noProof w:val="0"/>
          <w:lang w:val="en-AU"/>
        </w:rPr>
        <w:t xml:space="preserve">Neat and innovative biofouling treatment options that </w:t>
      </w:r>
      <w:proofErr w:type="gramStart"/>
      <w:r w:rsidRPr="00DD01E4">
        <w:rPr>
          <w:i/>
          <w:iCs/>
          <w:noProof w:val="0"/>
          <w:lang w:val="en-AU"/>
        </w:rPr>
        <w:t>actually work</w:t>
      </w:r>
      <w:proofErr w:type="gramEnd"/>
      <w:r w:rsidR="00DD01E4" w:rsidRPr="00DD01E4">
        <w:rPr>
          <w:noProof w:val="0"/>
          <w:lang w:val="en-AU"/>
        </w:rPr>
        <w:t>,</w:t>
      </w:r>
      <w:r w:rsidRPr="00DD01E4">
        <w:rPr>
          <w:noProof w:val="0"/>
          <w:lang w:val="en-AU"/>
        </w:rPr>
        <w:t xml:space="preserve"> paper presented to 4th ANZPAC workshop on biofouling management for sustainable shipping, Melbourne, Australia, 1-4 October 2019.</w:t>
      </w:r>
    </w:p>
    <w:p w14:paraId="1CF55FD0" w14:textId="221C637F" w:rsidR="00C80491" w:rsidRDefault="00C80491" w:rsidP="00C80491">
      <w:pPr>
        <w:pStyle w:val="EndNoteBibliography"/>
        <w:rPr>
          <w:noProof w:val="0"/>
          <w:lang w:val="en-AU"/>
        </w:rPr>
      </w:pPr>
      <w:r w:rsidRPr="00C80491">
        <w:rPr>
          <w:noProof w:val="0"/>
          <w:lang w:val="en-AU"/>
        </w:rPr>
        <w:lastRenderedPageBreak/>
        <w:t>Sigwart, JD, Wong, NLWS &amp; Esa, Y</w:t>
      </w:r>
      <w:r>
        <w:rPr>
          <w:noProof w:val="0"/>
          <w:lang w:val="en-AU"/>
        </w:rPr>
        <w:t xml:space="preserve"> 2021, </w:t>
      </w:r>
      <w:hyperlink r:id="rId578" w:history="1">
        <w:r w:rsidRPr="00C80491">
          <w:rPr>
            <w:rStyle w:val="Hyperlink"/>
            <w:noProof w:val="0"/>
            <w:lang w:val="en-AU"/>
          </w:rPr>
          <w:t xml:space="preserve">Global controversy in oyster systematics and a newly described species from SE Asia (Bivalvia: </w:t>
        </w:r>
        <w:proofErr w:type="spellStart"/>
        <w:r w:rsidRPr="00C80491">
          <w:rPr>
            <w:rStyle w:val="Hyperlink"/>
            <w:noProof w:val="0"/>
            <w:lang w:val="en-AU"/>
          </w:rPr>
          <w:t>Ostreidae</w:t>
        </w:r>
        <w:proofErr w:type="spellEnd"/>
        <w:r w:rsidRPr="00C80491">
          <w:rPr>
            <w:rStyle w:val="Hyperlink"/>
            <w:noProof w:val="0"/>
            <w:lang w:val="en-AU"/>
          </w:rPr>
          <w:t xml:space="preserve">: </w:t>
        </w:r>
        <w:proofErr w:type="spellStart"/>
        <w:r w:rsidRPr="00C80491">
          <w:rPr>
            <w:rStyle w:val="Hyperlink"/>
            <w:noProof w:val="0"/>
            <w:lang w:val="en-AU"/>
          </w:rPr>
          <w:t>Crassostreinae</w:t>
        </w:r>
        <w:proofErr w:type="spellEnd"/>
        <w:r w:rsidRPr="00C80491">
          <w:rPr>
            <w:rStyle w:val="Hyperlink"/>
            <w:noProof w:val="0"/>
            <w:lang w:val="en-AU"/>
          </w:rPr>
          <w:t>)</w:t>
        </w:r>
      </w:hyperlink>
      <w:r>
        <w:rPr>
          <w:noProof w:val="0"/>
          <w:lang w:val="en-AU"/>
        </w:rPr>
        <w:t>,</w:t>
      </w:r>
      <w:r w:rsidRPr="00C80491">
        <w:rPr>
          <w:noProof w:val="0"/>
          <w:lang w:val="en-AU"/>
        </w:rPr>
        <w:t xml:space="preserve"> </w:t>
      </w:r>
      <w:r>
        <w:rPr>
          <w:i/>
          <w:iCs/>
          <w:noProof w:val="0"/>
          <w:lang w:val="en-AU"/>
        </w:rPr>
        <w:t>Marine Biodiversity,</w:t>
      </w:r>
      <w:r w:rsidRPr="00C80491">
        <w:rPr>
          <w:noProof w:val="0"/>
          <w:lang w:val="en-AU"/>
        </w:rPr>
        <w:t xml:space="preserve"> </w:t>
      </w:r>
      <w:r>
        <w:rPr>
          <w:noProof w:val="0"/>
          <w:lang w:val="en-AU"/>
        </w:rPr>
        <w:t xml:space="preserve">vol. </w:t>
      </w:r>
      <w:r w:rsidRPr="00C80491">
        <w:rPr>
          <w:noProof w:val="0"/>
          <w:lang w:val="en-AU"/>
        </w:rPr>
        <w:t xml:space="preserve">51, </w:t>
      </w:r>
      <w:r>
        <w:rPr>
          <w:noProof w:val="0"/>
          <w:lang w:val="en-AU"/>
        </w:rPr>
        <w:t xml:space="preserve">no. </w:t>
      </w:r>
      <w:r w:rsidRPr="00C80491">
        <w:rPr>
          <w:noProof w:val="0"/>
          <w:lang w:val="en-AU"/>
        </w:rPr>
        <w:t>83</w:t>
      </w:r>
      <w:r>
        <w:rPr>
          <w:noProof w:val="0"/>
          <w:lang w:val="en-AU"/>
        </w:rPr>
        <w:t xml:space="preserve">, DOI: </w:t>
      </w:r>
      <w:r w:rsidRPr="00C80491">
        <w:rPr>
          <w:noProof w:val="0"/>
          <w:lang w:val="en-AU"/>
        </w:rPr>
        <w:t>10.1007/s12526-021-01203-x</w:t>
      </w:r>
      <w:r>
        <w:rPr>
          <w:noProof w:val="0"/>
          <w:lang w:val="en-AU"/>
        </w:rPr>
        <w:t>.</w:t>
      </w:r>
      <w:r w:rsidR="00E50272">
        <w:rPr>
          <w:noProof w:val="0"/>
          <w:lang w:val="en-AU"/>
        </w:rPr>
        <w:t xml:space="preserve"> </w:t>
      </w:r>
    </w:p>
    <w:p w14:paraId="2971F11E" w14:textId="0E8AABC6" w:rsidR="007F3FF4" w:rsidRPr="00DD01E4" w:rsidRDefault="007F3FF4" w:rsidP="00C80491">
      <w:pPr>
        <w:pStyle w:val="EndNoteBibliography"/>
        <w:rPr>
          <w:noProof w:val="0"/>
          <w:lang w:val="en-AU"/>
        </w:rPr>
      </w:pPr>
      <w:r w:rsidRPr="007F3FF4">
        <w:rPr>
          <w:noProof w:val="0"/>
          <w:lang w:val="en-AU"/>
        </w:rPr>
        <w:t xml:space="preserve">Slack-Smith, SM &amp; Brearley, A 1987, </w:t>
      </w:r>
      <w:hyperlink r:id="rId579" w:history="1">
        <w:proofErr w:type="spellStart"/>
        <w:r w:rsidRPr="007F3FF4">
          <w:rPr>
            <w:rStyle w:val="Hyperlink"/>
            <w:i/>
            <w:iCs/>
            <w:noProof w:val="0"/>
            <w:lang w:val="en-AU"/>
          </w:rPr>
          <w:t>Musculista</w:t>
        </w:r>
        <w:proofErr w:type="spellEnd"/>
        <w:r w:rsidRPr="007F3FF4">
          <w:rPr>
            <w:rStyle w:val="Hyperlink"/>
            <w:i/>
            <w:iCs/>
            <w:noProof w:val="0"/>
            <w:lang w:val="en-AU"/>
          </w:rPr>
          <w:t xml:space="preserve"> senhousia</w:t>
        </w:r>
        <w:r w:rsidRPr="007F3FF4">
          <w:rPr>
            <w:rStyle w:val="Hyperlink"/>
            <w:noProof w:val="0"/>
            <w:lang w:val="en-AU"/>
          </w:rPr>
          <w:t xml:space="preserve"> (Benson, 1842); a mussel recently introduced into the Swan River estuary, Western Australia (Mollusca: Mytilidae)</w:t>
        </w:r>
      </w:hyperlink>
      <w:r w:rsidRPr="007F3FF4">
        <w:rPr>
          <w:noProof w:val="0"/>
          <w:lang w:val="en-AU"/>
        </w:rPr>
        <w:t xml:space="preserve">, </w:t>
      </w:r>
      <w:r w:rsidRPr="007F3FF4">
        <w:rPr>
          <w:i/>
          <w:iCs/>
          <w:noProof w:val="0"/>
          <w:lang w:val="en-AU"/>
        </w:rPr>
        <w:t>Records of the Western Australian Museum</w:t>
      </w:r>
      <w:r w:rsidRPr="007F3FF4">
        <w:rPr>
          <w:noProof w:val="0"/>
          <w:lang w:val="en-AU"/>
        </w:rPr>
        <w:t>, vol. 13, pp. 225-230.</w:t>
      </w:r>
    </w:p>
    <w:p w14:paraId="2472252E" w14:textId="3A97592D" w:rsidR="007F3FF4" w:rsidRPr="00846769" w:rsidRDefault="007F3FF4" w:rsidP="00C80491">
      <w:pPr>
        <w:pStyle w:val="EndNoteBibliography"/>
        <w:rPr>
          <w:noProof w:val="0"/>
          <w:highlight w:val="green"/>
          <w:lang w:val="en-AU"/>
        </w:rPr>
      </w:pPr>
      <w:r w:rsidRPr="007F3FF4">
        <w:rPr>
          <w:noProof w:val="0"/>
          <w:lang w:val="en-AU"/>
        </w:rPr>
        <w:t xml:space="preserve">Smith, BJ 1995, </w:t>
      </w:r>
      <w:hyperlink r:id="rId580" w:history="1">
        <w:r w:rsidRPr="007F3FF4">
          <w:rPr>
            <w:rStyle w:val="Hyperlink"/>
            <w:noProof w:val="0"/>
            <w:lang w:val="en-AU"/>
          </w:rPr>
          <w:t>Tamar Intertidal Invertebrates. An Atlas of the common species</w:t>
        </w:r>
      </w:hyperlink>
      <w:r w:rsidRPr="007F3FF4">
        <w:rPr>
          <w:noProof w:val="0"/>
          <w:lang w:val="en-AU"/>
        </w:rPr>
        <w:t>, Queen Victoria Museum</w:t>
      </w:r>
      <w:r>
        <w:rPr>
          <w:noProof w:val="0"/>
          <w:lang w:val="en-AU"/>
        </w:rPr>
        <w:t xml:space="preserve"> and Art Gallery</w:t>
      </w:r>
      <w:r w:rsidRPr="007F3FF4">
        <w:rPr>
          <w:noProof w:val="0"/>
          <w:lang w:val="en-AU"/>
        </w:rPr>
        <w:t>, Tasmania</w:t>
      </w:r>
      <w:r>
        <w:rPr>
          <w:noProof w:val="0"/>
          <w:lang w:val="en-AU"/>
        </w:rPr>
        <w:t xml:space="preserve">, pp. 88, accessed on 23 July 2024. </w:t>
      </w:r>
    </w:p>
    <w:p w14:paraId="0154A6CB" w14:textId="420C8972" w:rsidR="006939E1" w:rsidRDefault="00B5740F" w:rsidP="00C80491">
      <w:pPr>
        <w:pStyle w:val="EndNoteBibliography"/>
        <w:rPr>
          <w:noProof w:val="0"/>
          <w:lang w:val="en-AU"/>
        </w:rPr>
      </w:pPr>
      <w:r w:rsidRPr="00DD01E4">
        <w:rPr>
          <w:noProof w:val="0"/>
          <w:lang w:val="en-AU"/>
        </w:rPr>
        <w:t xml:space="preserve">Smith, KF, Wood, SA, Mountfort, DO &amp; Cary, SC 2012, </w:t>
      </w:r>
      <w:hyperlink r:id="rId581" w:history="1">
        <w:r w:rsidRPr="00DD01E4">
          <w:rPr>
            <w:rStyle w:val="Hyperlink"/>
            <w:noProof w:val="0"/>
            <w:lang w:val="en-AU"/>
          </w:rPr>
          <w:t xml:space="preserve">Development of a real-time PCR assay for the detection of the invasive clam, </w:t>
        </w:r>
        <w:proofErr w:type="spellStart"/>
        <w:r w:rsidRPr="00DD01E4">
          <w:rPr>
            <w:rStyle w:val="Hyperlink"/>
            <w:i/>
            <w:iCs/>
            <w:noProof w:val="0"/>
            <w:lang w:val="en-AU"/>
          </w:rPr>
          <w:t>Corbula</w:t>
        </w:r>
        <w:proofErr w:type="spellEnd"/>
        <w:r w:rsidRPr="00DD01E4">
          <w:rPr>
            <w:rStyle w:val="Hyperlink"/>
            <w:i/>
            <w:iCs/>
            <w:noProof w:val="0"/>
            <w:lang w:val="en-AU"/>
          </w:rPr>
          <w:t xml:space="preserve"> amurensis</w:t>
        </w:r>
        <w:r w:rsidRPr="00DD01E4">
          <w:rPr>
            <w:rStyle w:val="Hyperlink"/>
            <w:noProof w:val="0"/>
            <w:lang w:val="en-AU"/>
          </w:rPr>
          <w:t>, in environmental samples</w:t>
        </w:r>
      </w:hyperlink>
      <w:r w:rsidRPr="00DD01E4">
        <w:rPr>
          <w:noProof w:val="0"/>
          <w:lang w:val="en-AU"/>
        </w:rPr>
        <w:t xml:space="preserve">, </w:t>
      </w:r>
      <w:r w:rsidRPr="00DD01E4">
        <w:rPr>
          <w:i/>
          <w:noProof w:val="0"/>
          <w:lang w:val="en-AU"/>
        </w:rPr>
        <w:t>Journal of Experimental Marine Biology and Ecology</w:t>
      </w:r>
      <w:r w:rsidRPr="00DD01E4">
        <w:rPr>
          <w:noProof w:val="0"/>
          <w:lang w:val="en-AU"/>
        </w:rPr>
        <w:t>, vol. 412, pp. 52-7</w:t>
      </w:r>
      <w:r w:rsidR="00DD01E4">
        <w:rPr>
          <w:noProof w:val="0"/>
          <w:lang w:val="en-AU"/>
        </w:rPr>
        <w:t xml:space="preserve">, DOI: </w:t>
      </w:r>
      <w:r w:rsidR="00DD01E4" w:rsidRPr="00DD01E4">
        <w:rPr>
          <w:noProof w:val="0"/>
          <w:lang w:val="en-AU"/>
        </w:rPr>
        <w:t>10.1016/j.jembe.2011.10.021</w:t>
      </w:r>
      <w:r w:rsidR="00DD01E4">
        <w:rPr>
          <w:noProof w:val="0"/>
          <w:lang w:val="en-AU"/>
        </w:rPr>
        <w:t>.</w:t>
      </w:r>
    </w:p>
    <w:p w14:paraId="640F02C5" w14:textId="102A94B1" w:rsidR="00246AE3" w:rsidRPr="00DD01E4" w:rsidRDefault="00246AE3" w:rsidP="00246AE3">
      <w:pPr>
        <w:spacing w:line="240" w:lineRule="auto"/>
        <w:rPr>
          <w:lang w:eastAsia="ja-JP"/>
        </w:rPr>
      </w:pPr>
      <w:r w:rsidRPr="007A30D7">
        <w:rPr>
          <w:lang w:eastAsia="ja-JP"/>
        </w:rPr>
        <w:t xml:space="preserve">Smith, JR 2016, </w:t>
      </w:r>
      <w:bookmarkStart w:id="822" w:name="_Hlk129243430"/>
      <w:r w:rsidRPr="00581E99">
        <w:rPr>
          <w:lang w:eastAsia="ja-JP"/>
        </w:rPr>
        <w:fldChar w:fldCharType="begin"/>
      </w:r>
      <w:r w:rsidRPr="00581E99">
        <w:rPr>
          <w:lang w:eastAsia="ja-JP"/>
        </w:rPr>
        <w:instrText xml:space="preserve"> HYPERLINK "https://onlinelibrary.wiley.com/doi/abs/10.1111/maec.12335" </w:instrText>
      </w:r>
      <w:r w:rsidRPr="00581E99">
        <w:rPr>
          <w:lang w:eastAsia="ja-JP"/>
        </w:rPr>
      </w:r>
      <w:r w:rsidRPr="00581E99">
        <w:rPr>
          <w:lang w:eastAsia="ja-JP"/>
        </w:rPr>
        <w:fldChar w:fldCharType="separate"/>
      </w:r>
      <w:r w:rsidRPr="00581E99">
        <w:rPr>
          <w:rStyle w:val="Hyperlink"/>
        </w:rPr>
        <w:t xml:space="preserve">The putative impacts of the non‐native seaweed </w:t>
      </w:r>
      <w:r w:rsidRPr="00581E99">
        <w:rPr>
          <w:rStyle w:val="Hyperlink"/>
          <w:i/>
          <w:iCs/>
        </w:rPr>
        <w:t xml:space="preserve">Sargassum </w:t>
      </w:r>
      <w:proofErr w:type="spellStart"/>
      <w:r w:rsidRPr="00581E99">
        <w:rPr>
          <w:rStyle w:val="Hyperlink"/>
          <w:i/>
          <w:iCs/>
        </w:rPr>
        <w:t>muticum</w:t>
      </w:r>
      <w:proofErr w:type="spellEnd"/>
      <w:r w:rsidRPr="00581E99">
        <w:rPr>
          <w:rStyle w:val="Hyperlink"/>
        </w:rPr>
        <w:t xml:space="preserve"> on native communities in tidepools of Southern California and investigation into the feasibility of local eradication</w:t>
      </w:r>
      <w:bookmarkEnd w:id="822"/>
      <w:r w:rsidRPr="00581E99">
        <w:rPr>
          <w:lang w:eastAsia="ja-JP"/>
        </w:rPr>
        <w:fldChar w:fldCharType="end"/>
      </w:r>
      <w:r>
        <w:rPr>
          <w:lang w:eastAsia="ja-JP"/>
        </w:rPr>
        <w:t>,</w:t>
      </w:r>
      <w:r w:rsidRPr="007A30D7">
        <w:rPr>
          <w:lang w:eastAsia="ja-JP"/>
        </w:rPr>
        <w:t xml:space="preserve"> </w:t>
      </w:r>
      <w:r w:rsidRPr="00581E99">
        <w:rPr>
          <w:i/>
          <w:iCs/>
          <w:lang w:eastAsia="ja-JP"/>
        </w:rPr>
        <w:t>Marine Ecology</w:t>
      </w:r>
      <w:r w:rsidRPr="00581E99">
        <w:rPr>
          <w:lang w:eastAsia="ja-JP"/>
        </w:rPr>
        <w:t>, vol.</w:t>
      </w:r>
      <w:r w:rsidRPr="007A30D7">
        <w:rPr>
          <w:lang w:eastAsia="ja-JP"/>
        </w:rPr>
        <w:t xml:space="preserve"> 37,</w:t>
      </w:r>
      <w:r w:rsidRPr="00581E99">
        <w:rPr>
          <w:lang w:eastAsia="ja-JP"/>
        </w:rPr>
        <w:t xml:space="preserve"> no. 3, pp.</w:t>
      </w:r>
      <w:r w:rsidRPr="007A30D7">
        <w:rPr>
          <w:lang w:eastAsia="ja-JP"/>
        </w:rPr>
        <w:t xml:space="preserve"> 645</w:t>
      </w:r>
      <w:r w:rsidRPr="00581E99">
        <w:t>–</w:t>
      </w:r>
      <w:r w:rsidRPr="007A30D7">
        <w:rPr>
          <w:lang w:eastAsia="ja-JP"/>
        </w:rPr>
        <w:t>67</w:t>
      </w:r>
      <w:r w:rsidRPr="00581E99">
        <w:rPr>
          <w:lang w:eastAsia="ja-JP"/>
        </w:rPr>
        <w:t xml:space="preserve">, DOI: </w:t>
      </w:r>
      <w:r w:rsidRPr="007A30D7">
        <w:rPr>
          <w:lang w:eastAsia="ja-JP"/>
        </w:rPr>
        <w:t>10.1111/maec.12335.</w:t>
      </w:r>
    </w:p>
    <w:p w14:paraId="45272C54" w14:textId="5E04E99D" w:rsidR="006939E1" w:rsidRPr="00DD01E4" w:rsidRDefault="00B5740F" w:rsidP="00C80491">
      <w:pPr>
        <w:spacing w:line="240" w:lineRule="auto"/>
        <w:rPr>
          <w:rFonts w:ascii="Calibri" w:hAnsi="Calibri" w:cs="Calibri"/>
        </w:rPr>
      </w:pPr>
      <w:r w:rsidRPr="00DD01E4">
        <w:t xml:space="preserve">Sousa, R, Gutiérrez, JL &amp; Aldridge, DC 2009, </w:t>
      </w:r>
      <w:hyperlink r:id="rId582" w:history="1">
        <w:r w:rsidRPr="00DD01E4">
          <w:rPr>
            <w:rStyle w:val="Hyperlink"/>
          </w:rPr>
          <w:t>Non-indigenous invasive bivalves as ecosystem engineers</w:t>
        </w:r>
      </w:hyperlink>
      <w:r w:rsidRPr="00DD01E4">
        <w:t xml:space="preserve">, </w:t>
      </w:r>
      <w:r w:rsidRPr="00DD01E4">
        <w:rPr>
          <w:i/>
        </w:rPr>
        <w:t>Biological Invasions</w:t>
      </w:r>
      <w:r w:rsidRPr="00DD01E4">
        <w:t>, vol. 11, no. 10, pp. 2367-85</w:t>
      </w:r>
      <w:r w:rsidR="00DD01E4">
        <w:t xml:space="preserve">, DOI: </w:t>
      </w:r>
      <w:r w:rsidR="00DD01E4" w:rsidRPr="00DD01E4">
        <w:rPr>
          <w:rFonts w:ascii="Calibri" w:hAnsi="Calibri" w:cs="Calibri"/>
        </w:rPr>
        <w:t>10.1007/s10530-009-9422-7</w:t>
      </w:r>
      <w:r w:rsidR="00DD01E4">
        <w:rPr>
          <w:rFonts w:ascii="Calibri" w:hAnsi="Calibri" w:cs="Calibri"/>
        </w:rPr>
        <w:t>.</w:t>
      </w:r>
    </w:p>
    <w:p w14:paraId="43E11018" w14:textId="5E48BADD" w:rsidR="006939E1" w:rsidRDefault="00B5740F" w:rsidP="00C80491">
      <w:pPr>
        <w:pStyle w:val="EndNoteBibliography"/>
        <w:rPr>
          <w:noProof w:val="0"/>
          <w:lang w:val="en-AU"/>
        </w:rPr>
      </w:pPr>
      <w:r w:rsidRPr="00DD01E4">
        <w:rPr>
          <w:noProof w:val="0"/>
          <w:lang w:val="en-AU"/>
        </w:rPr>
        <w:t xml:space="preserve">Spinuzzi, S, Schneider, KR, Walters, LJ, Yuan, WS &amp; Hoffman, EA 2013, </w:t>
      </w:r>
      <w:hyperlink r:id="rId583" w:history="1">
        <w:r w:rsidRPr="00DD01E4">
          <w:rPr>
            <w:rStyle w:val="Hyperlink"/>
            <w:noProof w:val="0"/>
            <w:lang w:val="en-AU"/>
          </w:rPr>
          <w:t>Tracking the distribution of non-native marine invertebrates (</w:t>
        </w:r>
        <w:r w:rsidRPr="00DD01E4">
          <w:rPr>
            <w:rStyle w:val="Hyperlink"/>
            <w:i/>
            <w:iCs/>
            <w:noProof w:val="0"/>
            <w:lang w:val="en-AU"/>
          </w:rPr>
          <w:t xml:space="preserve">Mytella </w:t>
        </w:r>
        <w:proofErr w:type="spellStart"/>
        <w:r w:rsidRPr="00DD01E4">
          <w:rPr>
            <w:rStyle w:val="Hyperlink"/>
            <w:i/>
            <w:iCs/>
            <w:noProof w:val="0"/>
            <w:lang w:val="en-AU"/>
          </w:rPr>
          <w:t>charruana</w:t>
        </w:r>
        <w:proofErr w:type="spellEnd"/>
        <w:r w:rsidRPr="00DD01E4">
          <w:rPr>
            <w:rStyle w:val="Hyperlink"/>
            <w:noProof w:val="0"/>
            <w:lang w:val="en-AU"/>
          </w:rPr>
          <w:t xml:space="preserve">, </w:t>
        </w:r>
        <w:r w:rsidRPr="00DD01E4">
          <w:rPr>
            <w:rStyle w:val="Hyperlink"/>
            <w:i/>
            <w:iCs/>
            <w:noProof w:val="0"/>
            <w:lang w:val="en-AU"/>
          </w:rPr>
          <w:t>Perna viridis</w:t>
        </w:r>
        <w:r w:rsidRPr="00DD01E4">
          <w:rPr>
            <w:rStyle w:val="Hyperlink"/>
            <w:noProof w:val="0"/>
            <w:lang w:val="en-AU"/>
          </w:rPr>
          <w:t xml:space="preserve"> and </w:t>
        </w:r>
        <w:proofErr w:type="spellStart"/>
        <w:r w:rsidRPr="00DD01E4">
          <w:rPr>
            <w:rStyle w:val="Hyperlink"/>
            <w:i/>
            <w:iCs/>
            <w:noProof w:val="0"/>
            <w:lang w:val="en-AU"/>
          </w:rPr>
          <w:t>Megabalanus</w:t>
        </w:r>
        <w:proofErr w:type="spellEnd"/>
        <w:r w:rsidRPr="00DD01E4">
          <w:rPr>
            <w:rStyle w:val="Hyperlink"/>
            <w:i/>
            <w:iCs/>
            <w:noProof w:val="0"/>
            <w:lang w:val="en-AU"/>
          </w:rPr>
          <w:t xml:space="preserve"> </w:t>
        </w:r>
        <w:proofErr w:type="spellStart"/>
        <w:r w:rsidRPr="00DD01E4">
          <w:rPr>
            <w:rStyle w:val="Hyperlink"/>
            <w:i/>
            <w:iCs/>
            <w:noProof w:val="0"/>
            <w:lang w:val="en-AU"/>
          </w:rPr>
          <w:t>coccopoma</w:t>
        </w:r>
        <w:proofErr w:type="spellEnd"/>
        <w:r w:rsidRPr="00DD01E4">
          <w:rPr>
            <w:rStyle w:val="Hyperlink"/>
            <w:noProof w:val="0"/>
            <w:lang w:val="en-AU"/>
          </w:rPr>
          <w:t>) along the south-eastern USA</w:t>
        </w:r>
      </w:hyperlink>
      <w:r w:rsidRPr="00DD01E4">
        <w:rPr>
          <w:noProof w:val="0"/>
          <w:lang w:val="en-AU"/>
        </w:rPr>
        <w:t xml:space="preserve">, </w:t>
      </w:r>
      <w:r w:rsidRPr="00DD01E4">
        <w:rPr>
          <w:i/>
          <w:noProof w:val="0"/>
          <w:lang w:val="en-AU"/>
        </w:rPr>
        <w:t>Marine Biodiversity Records</w:t>
      </w:r>
      <w:r w:rsidRPr="00DD01E4">
        <w:rPr>
          <w:noProof w:val="0"/>
          <w:lang w:val="en-AU"/>
        </w:rPr>
        <w:t>, vol. 6</w:t>
      </w:r>
      <w:r w:rsidR="00DD01E4">
        <w:rPr>
          <w:noProof w:val="0"/>
          <w:lang w:val="en-AU"/>
        </w:rPr>
        <w:t xml:space="preserve">, e55, DOI: </w:t>
      </w:r>
      <w:r w:rsidR="00DD01E4" w:rsidRPr="00DD01E4">
        <w:rPr>
          <w:noProof w:val="0"/>
          <w:lang w:val="en-AU"/>
        </w:rPr>
        <w:t>10.1017/S1755267213000316</w:t>
      </w:r>
      <w:r w:rsidR="00DD01E4">
        <w:rPr>
          <w:noProof w:val="0"/>
          <w:lang w:val="en-AU"/>
        </w:rPr>
        <w:t>.</w:t>
      </w:r>
    </w:p>
    <w:p w14:paraId="1CDF93EB" w14:textId="3A674305" w:rsidR="00046E18" w:rsidRPr="00046E18" w:rsidRDefault="00046E18" w:rsidP="00046E18">
      <w:pPr>
        <w:rPr>
          <w:rFonts w:ascii="Calibri" w:hAnsi="Calibri" w:cs="Calibri"/>
        </w:rPr>
      </w:pPr>
      <w:r>
        <w:t xml:space="preserve">Stafford, H, Willan, RC &amp; Neil, KM 2007, </w:t>
      </w:r>
      <w:hyperlink r:id="rId584" w:history="1">
        <w:r w:rsidRPr="00046E18">
          <w:rPr>
            <w:rStyle w:val="Hyperlink"/>
            <w:rFonts w:ascii="Calibri" w:hAnsi="Calibri" w:cs="Calibri"/>
          </w:rPr>
          <w:t xml:space="preserve">The invasive Asian Green Mussel, </w:t>
        </w:r>
        <w:r w:rsidRPr="00046E18">
          <w:rPr>
            <w:rStyle w:val="Hyperlink"/>
            <w:rFonts w:ascii="Calibri" w:hAnsi="Calibri" w:cs="Calibri"/>
            <w:i/>
            <w:iCs/>
          </w:rPr>
          <w:t>Perna viridis</w:t>
        </w:r>
        <w:r w:rsidRPr="00046E18">
          <w:rPr>
            <w:rStyle w:val="Hyperlink"/>
            <w:rFonts w:ascii="Calibri" w:hAnsi="Calibri" w:cs="Calibri"/>
          </w:rPr>
          <w:t xml:space="preserve"> (Linnaeus, 1758) (Bivalvia: Mytilidae), breeds in Trinity Inlet, tropical northern Australia</w:t>
        </w:r>
      </w:hyperlink>
      <w:r>
        <w:rPr>
          <w:rFonts w:ascii="Calibri" w:hAnsi="Calibri" w:cs="Calibri"/>
        </w:rPr>
        <w:t xml:space="preserve">, </w:t>
      </w:r>
      <w:r>
        <w:rPr>
          <w:rFonts w:ascii="Calibri" w:hAnsi="Calibri" w:cs="Calibri"/>
          <w:i/>
          <w:iCs/>
        </w:rPr>
        <w:t xml:space="preserve">Molluscan Research, </w:t>
      </w:r>
      <w:r>
        <w:rPr>
          <w:rFonts w:ascii="Calibri" w:hAnsi="Calibri" w:cs="Calibri"/>
        </w:rPr>
        <w:t xml:space="preserve">vol. 27, no. 2, pp. 105-109, DOI: </w:t>
      </w:r>
      <w:r w:rsidRPr="00046E18">
        <w:rPr>
          <w:rFonts w:ascii="Calibri" w:hAnsi="Calibri" w:cs="Calibri"/>
        </w:rPr>
        <w:t>10.11646/MR.27.2.4</w:t>
      </w:r>
      <w:r>
        <w:rPr>
          <w:rFonts w:ascii="Calibri" w:hAnsi="Calibri" w:cs="Calibri"/>
        </w:rPr>
        <w:t xml:space="preserve">. </w:t>
      </w:r>
    </w:p>
    <w:p w14:paraId="3EE80DA6" w14:textId="4DA956F5" w:rsidR="00C80491" w:rsidRPr="00DD01E4" w:rsidRDefault="00C80491" w:rsidP="00C80491">
      <w:pPr>
        <w:spacing w:line="240" w:lineRule="auto"/>
        <w:rPr>
          <w:lang w:eastAsia="ja-JP"/>
        </w:rPr>
      </w:pPr>
      <w:r w:rsidRPr="007A30D7">
        <w:rPr>
          <w:lang w:eastAsia="ja-JP"/>
        </w:rPr>
        <w:t>St-Hilaire</w:t>
      </w:r>
      <w:r w:rsidRPr="00581E99">
        <w:rPr>
          <w:lang w:eastAsia="ja-JP"/>
        </w:rPr>
        <w:t>,</w:t>
      </w:r>
      <w:r w:rsidRPr="007A30D7">
        <w:rPr>
          <w:lang w:eastAsia="ja-JP"/>
        </w:rPr>
        <w:t xml:space="preserve"> S, Krause</w:t>
      </w:r>
      <w:r w:rsidRPr="00581E99">
        <w:rPr>
          <w:lang w:eastAsia="ja-JP"/>
        </w:rPr>
        <w:t>,</w:t>
      </w:r>
      <w:r w:rsidRPr="007A30D7">
        <w:rPr>
          <w:lang w:eastAsia="ja-JP"/>
        </w:rPr>
        <w:t xml:space="preserve"> J, Wight</w:t>
      </w:r>
      <w:r w:rsidRPr="00581E99">
        <w:rPr>
          <w:lang w:eastAsia="ja-JP"/>
        </w:rPr>
        <w:t>,</w:t>
      </w:r>
      <w:r w:rsidRPr="007A30D7">
        <w:rPr>
          <w:lang w:eastAsia="ja-JP"/>
        </w:rPr>
        <w:t xml:space="preserve"> K, Poirier</w:t>
      </w:r>
      <w:r w:rsidRPr="00581E99">
        <w:rPr>
          <w:lang w:eastAsia="ja-JP"/>
        </w:rPr>
        <w:t>,</w:t>
      </w:r>
      <w:r w:rsidRPr="007A30D7">
        <w:rPr>
          <w:lang w:eastAsia="ja-JP"/>
        </w:rPr>
        <w:t xml:space="preserve"> L &amp; Singh</w:t>
      </w:r>
      <w:r w:rsidRPr="00581E99">
        <w:rPr>
          <w:lang w:eastAsia="ja-JP"/>
        </w:rPr>
        <w:t>,</w:t>
      </w:r>
      <w:r w:rsidRPr="007A30D7">
        <w:rPr>
          <w:lang w:eastAsia="ja-JP"/>
        </w:rPr>
        <w:t xml:space="preserve"> K 2016, </w:t>
      </w:r>
      <w:hyperlink r:id="rId585" w:history="1">
        <w:r w:rsidRPr="00581E99">
          <w:rPr>
            <w:rStyle w:val="Hyperlink"/>
          </w:rPr>
          <w:t>Break-even analysis for a green crab fishery in PEI, Canada</w:t>
        </w:r>
      </w:hyperlink>
      <w:r w:rsidRPr="00581E99">
        <w:rPr>
          <w:lang w:eastAsia="ja-JP"/>
        </w:rPr>
        <w:t>,</w:t>
      </w:r>
      <w:r w:rsidRPr="007A30D7">
        <w:rPr>
          <w:lang w:eastAsia="ja-JP"/>
        </w:rPr>
        <w:t xml:space="preserve"> </w:t>
      </w:r>
      <w:r w:rsidRPr="00581E99">
        <w:rPr>
          <w:i/>
          <w:iCs/>
          <w:lang w:eastAsia="ja-JP"/>
        </w:rPr>
        <w:t>Management of Biological Invasions</w:t>
      </w:r>
      <w:r w:rsidRPr="00581E99">
        <w:rPr>
          <w:lang w:eastAsia="ja-JP"/>
        </w:rPr>
        <w:t>, vol.</w:t>
      </w:r>
      <w:r w:rsidRPr="007A30D7">
        <w:rPr>
          <w:lang w:eastAsia="ja-JP"/>
        </w:rPr>
        <w:t xml:space="preserve"> 7,</w:t>
      </w:r>
      <w:r w:rsidRPr="00581E99">
        <w:rPr>
          <w:lang w:eastAsia="ja-JP"/>
        </w:rPr>
        <w:t xml:space="preserve"> no. 3,</w:t>
      </w:r>
      <w:r w:rsidRPr="007A30D7">
        <w:rPr>
          <w:lang w:eastAsia="ja-JP"/>
        </w:rPr>
        <w:t xml:space="preserve"> </w:t>
      </w:r>
      <w:r w:rsidRPr="00581E99">
        <w:rPr>
          <w:lang w:eastAsia="ja-JP"/>
        </w:rPr>
        <w:t xml:space="preserve">pp. </w:t>
      </w:r>
      <w:r w:rsidRPr="007A30D7">
        <w:rPr>
          <w:lang w:eastAsia="ja-JP"/>
        </w:rPr>
        <w:t>297</w:t>
      </w:r>
      <w:r w:rsidRPr="00581E99">
        <w:t>–</w:t>
      </w:r>
      <w:r w:rsidRPr="007A30D7">
        <w:rPr>
          <w:lang w:eastAsia="ja-JP"/>
        </w:rPr>
        <w:t>303</w:t>
      </w:r>
      <w:r w:rsidRPr="00581E99">
        <w:rPr>
          <w:lang w:eastAsia="ja-JP"/>
        </w:rPr>
        <w:t>, DOI:</w:t>
      </w:r>
      <w:r w:rsidRPr="007A30D7">
        <w:rPr>
          <w:lang w:eastAsia="ja-JP"/>
        </w:rPr>
        <w:t xml:space="preserve"> 10.3391/mbi.2016.7.3.09.</w:t>
      </w:r>
    </w:p>
    <w:p w14:paraId="2C333B37" w14:textId="1A20FBFE" w:rsidR="006939E1" w:rsidRPr="00DD01E4" w:rsidRDefault="00B5740F" w:rsidP="00C80491">
      <w:pPr>
        <w:pStyle w:val="EndNoteBibliography"/>
        <w:rPr>
          <w:noProof w:val="0"/>
          <w:lang w:val="en-AU"/>
        </w:rPr>
      </w:pPr>
      <w:proofErr w:type="spellStart"/>
      <w:r w:rsidRPr="00DD01E4">
        <w:rPr>
          <w:noProof w:val="0"/>
          <w:lang w:val="en-AU"/>
        </w:rPr>
        <w:t>Stenyakina</w:t>
      </w:r>
      <w:proofErr w:type="spellEnd"/>
      <w:r w:rsidRPr="00DD01E4">
        <w:rPr>
          <w:noProof w:val="0"/>
          <w:lang w:val="en-AU"/>
        </w:rPr>
        <w:t xml:space="preserve">, A, Walters, L, Hoffman, E &amp; </w:t>
      </w:r>
      <w:proofErr w:type="spellStart"/>
      <w:r w:rsidRPr="00DD01E4">
        <w:rPr>
          <w:noProof w:val="0"/>
          <w:lang w:val="en-AU"/>
        </w:rPr>
        <w:t>Calestani</w:t>
      </w:r>
      <w:proofErr w:type="spellEnd"/>
      <w:r w:rsidRPr="00DD01E4">
        <w:rPr>
          <w:noProof w:val="0"/>
          <w:lang w:val="en-AU"/>
        </w:rPr>
        <w:t xml:space="preserve">, C 2010, </w:t>
      </w:r>
      <w:hyperlink r:id="rId586" w:history="1">
        <w:r w:rsidRPr="00DD01E4">
          <w:rPr>
            <w:rStyle w:val="Hyperlink"/>
            <w:noProof w:val="0"/>
            <w:lang w:val="en-AU"/>
          </w:rPr>
          <w:t xml:space="preserve">Food availability and sex reversal in </w:t>
        </w:r>
        <w:r w:rsidRPr="00DD01E4">
          <w:rPr>
            <w:rStyle w:val="Hyperlink"/>
            <w:i/>
            <w:noProof w:val="0"/>
            <w:lang w:val="en-AU"/>
          </w:rPr>
          <w:t xml:space="preserve">Mytella </w:t>
        </w:r>
        <w:proofErr w:type="spellStart"/>
        <w:r w:rsidRPr="00DD01E4">
          <w:rPr>
            <w:rStyle w:val="Hyperlink"/>
            <w:i/>
            <w:noProof w:val="0"/>
            <w:lang w:val="en-AU"/>
          </w:rPr>
          <w:t>charruana</w:t>
        </w:r>
        <w:proofErr w:type="spellEnd"/>
        <w:r w:rsidRPr="00DD01E4">
          <w:rPr>
            <w:rStyle w:val="Hyperlink"/>
            <w:noProof w:val="0"/>
            <w:lang w:val="en-AU"/>
          </w:rPr>
          <w:t>, an introduced bivalve in the southeastern United States</w:t>
        </w:r>
      </w:hyperlink>
      <w:r w:rsidRPr="00DD01E4">
        <w:rPr>
          <w:noProof w:val="0"/>
          <w:lang w:val="en-AU"/>
        </w:rPr>
        <w:t xml:space="preserve">, </w:t>
      </w:r>
      <w:r w:rsidRPr="00DD01E4">
        <w:rPr>
          <w:i/>
          <w:noProof w:val="0"/>
          <w:lang w:val="en-AU"/>
        </w:rPr>
        <w:t>Molecular Reproduction and Development: Incorporating Gamete Research</w:t>
      </w:r>
      <w:r w:rsidRPr="00DD01E4">
        <w:rPr>
          <w:noProof w:val="0"/>
          <w:lang w:val="en-AU"/>
        </w:rPr>
        <w:t>, vol. 77, no. 3, pp. 222-30</w:t>
      </w:r>
      <w:r w:rsidR="00DD01E4">
        <w:rPr>
          <w:noProof w:val="0"/>
          <w:lang w:val="en-AU"/>
        </w:rPr>
        <w:t xml:space="preserve">, DOI: </w:t>
      </w:r>
      <w:r w:rsidR="00DD01E4" w:rsidRPr="00DD01E4">
        <w:rPr>
          <w:noProof w:val="0"/>
          <w:lang w:val="en-AU"/>
        </w:rPr>
        <w:t>10.1002/mrd.21132</w:t>
      </w:r>
      <w:r w:rsidR="00DD01E4">
        <w:rPr>
          <w:noProof w:val="0"/>
          <w:lang w:val="en-AU"/>
        </w:rPr>
        <w:t>.</w:t>
      </w:r>
    </w:p>
    <w:p w14:paraId="0BD38C87" w14:textId="6B01A921" w:rsidR="006939E1" w:rsidRDefault="00B5740F" w:rsidP="00C80491">
      <w:pPr>
        <w:pStyle w:val="EndNoteBibliography"/>
        <w:rPr>
          <w:noProof w:val="0"/>
          <w:lang w:val="en-AU"/>
        </w:rPr>
      </w:pPr>
      <w:r w:rsidRPr="00DD01E4">
        <w:rPr>
          <w:noProof w:val="0"/>
          <w:lang w:val="en-AU"/>
        </w:rPr>
        <w:t>S</w:t>
      </w:r>
      <w:r w:rsidR="00202E8B" w:rsidRPr="00DD01E4">
        <w:rPr>
          <w:noProof w:val="0"/>
          <w:lang w:val="en-AU"/>
        </w:rPr>
        <w:t>tokes</w:t>
      </w:r>
      <w:r w:rsidRPr="00DD01E4">
        <w:rPr>
          <w:noProof w:val="0"/>
          <w:lang w:val="en-AU"/>
        </w:rPr>
        <w:t>, NA &amp; B</w:t>
      </w:r>
      <w:r w:rsidR="00202E8B" w:rsidRPr="00DD01E4">
        <w:rPr>
          <w:noProof w:val="0"/>
          <w:lang w:val="en-AU"/>
        </w:rPr>
        <w:t>urreson</w:t>
      </w:r>
      <w:r w:rsidRPr="00DD01E4">
        <w:rPr>
          <w:noProof w:val="0"/>
          <w:lang w:val="en-AU"/>
        </w:rPr>
        <w:t xml:space="preserve">, EM 1995, </w:t>
      </w:r>
      <w:hyperlink r:id="rId587" w:history="1">
        <w:r w:rsidRPr="00DD01E4">
          <w:rPr>
            <w:rStyle w:val="Hyperlink"/>
            <w:noProof w:val="0"/>
            <w:lang w:val="en-AU"/>
          </w:rPr>
          <w:t xml:space="preserve">A sensitive and specific DNA probe for the oyster pathogen </w:t>
        </w:r>
        <w:proofErr w:type="spellStart"/>
        <w:r w:rsidRPr="00DD01E4">
          <w:rPr>
            <w:rStyle w:val="Hyperlink"/>
            <w:i/>
            <w:iCs/>
            <w:noProof w:val="0"/>
            <w:lang w:val="en-AU"/>
          </w:rPr>
          <w:t>Haplosporidium</w:t>
        </w:r>
        <w:proofErr w:type="spellEnd"/>
        <w:r w:rsidRPr="00DD01E4">
          <w:rPr>
            <w:rStyle w:val="Hyperlink"/>
            <w:i/>
            <w:iCs/>
            <w:noProof w:val="0"/>
            <w:lang w:val="en-AU"/>
          </w:rPr>
          <w:t xml:space="preserve"> nelsoni</w:t>
        </w:r>
      </w:hyperlink>
      <w:r w:rsidRPr="00DD01E4">
        <w:rPr>
          <w:noProof w:val="0"/>
          <w:lang w:val="en-AU"/>
        </w:rPr>
        <w:t xml:space="preserve">, </w:t>
      </w:r>
      <w:r w:rsidRPr="00DD01E4">
        <w:rPr>
          <w:i/>
          <w:noProof w:val="0"/>
          <w:lang w:val="en-AU"/>
        </w:rPr>
        <w:t>Journal of Eukaryotic Microbiology</w:t>
      </w:r>
      <w:r w:rsidRPr="00DD01E4">
        <w:rPr>
          <w:noProof w:val="0"/>
          <w:lang w:val="en-AU"/>
        </w:rPr>
        <w:t>, vol. 42, no. 4, pp. 350-7</w:t>
      </w:r>
      <w:r w:rsidR="00DD01E4">
        <w:rPr>
          <w:noProof w:val="0"/>
          <w:lang w:val="en-AU"/>
        </w:rPr>
        <w:t xml:space="preserve">, DOI: </w:t>
      </w:r>
      <w:r w:rsidR="00DD01E4" w:rsidRPr="00DD01E4">
        <w:rPr>
          <w:noProof w:val="0"/>
          <w:lang w:val="en-AU"/>
        </w:rPr>
        <w:t>10.1111/j.1550-7408.1995.tb01593.x</w:t>
      </w:r>
      <w:r w:rsidR="00DD01E4">
        <w:rPr>
          <w:noProof w:val="0"/>
          <w:lang w:val="en-AU"/>
        </w:rPr>
        <w:t>.</w:t>
      </w:r>
    </w:p>
    <w:p w14:paraId="4275A1C3" w14:textId="5CFD9BC3" w:rsidR="00046E18" w:rsidRDefault="00046E18" w:rsidP="00C80491">
      <w:pPr>
        <w:pStyle w:val="EndNoteBibliography"/>
        <w:rPr>
          <w:noProof w:val="0"/>
          <w:lang w:val="en-AU"/>
        </w:rPr>
      </w:pPr>
      <w:proofErr w:type="spellStart"/>
      <w:r w:rsidRPr="007F3FF4">
        <w:rPr>
          <w:noProof w:val="0"/>
          <w:lang w:val="en-AU"/>
        </w:rPr>
        <w:t>Streftaris</w:t>
      </w:r>
      <w:proofErr w:type="spellEnd"/>
      <w:r w:rsidRPr="007F3FF4">
        <w:rPr>
          <w:noProof w:val="0"/>
          <w:lang w:val="en-AU"/>
        </w:rPr>
        <w:t xml:space="preserve">, N &amp; </w:t>
      </w:r>
      <w:proofErr w:type="spellStart"/>
      <w:r>
        <w:rPr>
          <w:noProof w:val="0"/>
          <w:lang w:val="en-AU"/>
        </w:rPr>
        <w:t>Z</w:t>
      </w:r>
      <w:r w:rsidRPr="007F3FF4">
        <w:rPr>
          <w:noProof w:val="0"/>
          <w:lang w:val="en-AU"/>
        </w:rPr>
        <w:t>enetos</w:t>
      </w:r>
      <w:proofErr w:type="spellEnd"/>
      <w:r>
        <w:rPr>
          <w:noProof w:val="0"/>
          <w:lang w:val="en-AU"/>
        </w:rPr>
        <w:t xml:space="preserve">, </w:t>
      </w:r>
      <w:r w:rsidRPr="007F3FF4">
        <w:rPr>
          <w:noProof w:val="0"/>
          <w:lang w:val="en-AU"/>
        </w:rPr>
        <w:t>A</w:t>
      </w:r>
      <w:r>
        <w:rPr>
          <w:noProof w:val="0"/>
          <w:lang w:val="en-AU"/>
        </w:rPr>
        <w:t xml:space="preserve"> </w:t>
      </w:r>
      <w:r w:rsidRPr="007F3FF4">
        <w:rPr>
          <w:noProof w:val="0"/>
          <w:lang w:val="en-AU"/>
        </w:rPr>
        <w:t>2006</w:t>
      </w:r>
      <w:r>
        <w:rPr>
          <w:noProof w:val="0"/>
          <w:lang w:val="en-AU"/>
        </w:rPr>
        <w:t>,</w:t>
      </w:r>
      <w:r w:rsidRPr="007F3FF4">
        <w:rPr>
          <w:noProof w:val="0"/>
          <w:lang w:val="en-AU"/>
        </w:rPr>
        <w:t xml:space="preserve"> </w:t>
      </w:r>
      <w:hyperlink r:id="rId588" w:history="1">
        <w:r w:rsidRPr="007F3FF4">
          <w:rPr>
            <w:rStyle w:val="Hyperlink"/>
            <w:noProof w:val="0"/>
            <w:lang w:val="en-AU"/>
          </w:rPr>
          <w:t>Alien Marine Species in the Mediterranean - the 100 ‘Worst Invasives’ and their Impact</w:t>
        </w:r>
      </w:hyperlink>
      <w:r>
        <w:rPr>
          <w:noProof w:val="0"/>
          <w:lang w:val="en-AU"/>
        </w:rPr>
        <w:t>,</w:t>
      </w:r>
      <w:r w:rsidRPr="007F3FF4">
        <w:rPr>
          <w:noProof w:val="0"/>
          <w:lang w:val="en-AU"/>
        </w:rPr>
        <w:t xml:space="preserve"> </w:t>
      </w:r>
      <w:r w:rsidRPr="007F3FF4">
        <w:rPr>
          <w:i/>
          <w:iCs/>
          <w:noProof w:val="0"/>
          <w:lang w:val="en-AU"/>
        </w:rPr>
        <w:t>Mediterranean Marine Science</w:t>
      </w:r>
      <w:r w:rsidRPr="007F3FF4">
        <w:rPr>
          <w:noProof w:val="0"/>
          <w:lang w:val="en-AU"/>
        </w:rPr>
        <w:t xml:space="preserve">, </w:t>
      </w:r>
      <w:r>
        <w:rPr>
          <w:noProof w:val="0"/>
          <w:lang w:val="en-AU"/>
        </w:rPr>
        <w:t xml:space="preserve">vol. </w:t>
      </w:r>
      <w:r w:rsidRPr="007F3FF4">
        <w:rPr>
          <w:noProof w:val="0"/>
          <w:lang w:val="en-AU"/>
        </w:rPr>
        <w:t>7</w:t>
      </w:r>
      <w:r>
        <w:rPr>
          <w:noProof w:val="0"/>
          <w:lang w:val="en-AU"/>
        </w:rPr>
        <w:t xml:space="preserve">, no. </w:t>
      </w:r>
      <w:r w:rsidRPr="007F3FF4">
        <w:rPr>
          <w:noProof w:val="0"/>
          <w:lang w:val="en-AU"/>
        </w:rPr>
        <w:t>1,</w:t>
      </w:r>
      <w:r>
        <w:rPr>
          <w:noProof w:val="0"/>
          <w:lang w:val="en-AU"/>
        </w:rPr>
        <w:t xml:space="preserve"> pp.</w:t>
      </w:r>
      <w:r w:rsidRPr="007F3FF4">
        <w:rPr>
          <w:noProof w:val="0"/>
          <w:lang w:val="en-AU"/>
        </w:rPr>
        <w:t xml:space="preserve"> 87–118</w:t>
      </w:r>
      <w:r>
        <w:rPr>
          <w:noProof w:val="0"/>
          <w:lang w:val="en-AU"/>
        </w:rPr>
        <w:t xml:space="preserve">, DOI: </w:t>
      </w:r>
      <w:r w:rsidRPr="007F3FF4">
        <w:rPr>
          <w:noProof w:val="0"/>
          <w:lang w:val="en-AU"/>
        </w:rPr>
        <w:t>10.12681/mms.180</w:t>
      </w:r>
      <w:r>
        <w:rPr>
          <w:noProof w:val="0"/>
          <w:lang w:val="en-AU"/>
        </w:rPr>
        <w:t>.</w:t>
      </w:r>
    </w:p>
    <w:p w14:paraId="58AED6C6" w14:textId="259200AB" w:rsidR="00BD2644" w:rsidRPr="00BD2644" w:rsidRDefault="00BD2644" w:rsidP="00C80491">
      <w:pPr>
        <w:pStyle w:val="EndNoteBibliography"/>
        <w:rPr>
          <w:noProof w:val="0"/>
          <w:lang w:val="en-AU"/>
        </w:rPr>
      </w:pPr>
      <w:r>
        <w:rPr>
          <w:noProof w:val="0"/>
          <w:lang w:val="en-AU"/>
        </w:rPr>
        <w:t xml:space="preserve">Suja, G, Lijo, J, Kripa, V, Mohamed, KS, Vijayan, KK &amp; Sanil, NK 2020, </w:t>
      </w:r>
      <w:hyperlink r:id="rId589" w:history="1">
        <w:r w:rsidRPr="00BD2644">
          <w:rPr>
            <w:rStyle w:val="Hyperlink"/>
            <w:noProof w:val="0"/>
            <w:lang w:val="en-AU"/>
          </w:rPr>
          <w:t xml:space="preserve">A comparison of parasites, pathological conditions and condition index of wild and farmed populations of </w:t>
        </w:r>
        <w:r w:rsidRPr="00BD2644">
          <w:rPr>
            <w:rStyle w:val="Hyperlink"/>
            <w:i/>
            <w:iCs/>
            <w:noProof w:val="0"/>
            <w:lang w:val="en-AU"/>
          </w:rPr>
          <w:t>Magallana bilineata</w:t>
        </w:r>
        <w:r w:rsidRPr="00BD2644">
          <w:rPr>
            <w:rStyle w:val="Hyperlink"/>
            <w:noProof w:val="0"/>
            <w:lang w:val="en-AU"/>
          </w:rPr>
          <w:t xml:space="preserve"> (Roding, 1798) from </w:t>
        </w:r>
        <w:proofErr w:type="spellStart"/>
        <w:r w:rsidRPr="00BD2644">
          <w:rPr>
            <w:rStyle w:val="Hyperlink"/>
            <w:noProof w:val="0"/>
            <w:lang w:val="en-AU"/>
          </w:rPr>
          <w:t>Vembanad</w:t>
        </w:r>
        <w:proofErr w:type="spellEnd"/>
        <w:r w:rsidRPr="00BD2644">
          <w:rPr>
            <w:rStyle w:val="Hyperlink"/>
            <w:noProof w:val="0"/>
            <w:lang w:val="en-AU"/>
          </w:rPr>
          <w:t xml:space="preserve"> Lake, west coast of India</w:t>
        </w:r>
      </w:hyperlink>
      <w:r>
        <w:rPr>
          <w:noProof w:val="0"/>
          <w:lang w:val="en-AU"/>
        </w:rPr>
        <w:t xml:space="preserve">, </w:t>
      </w:r>
      <w:r>
        <w:rPr>
          <w:i/>
          <w:iCs/>
          <w:noProof w:val="0"/>
          <w:lang w:val="en-AU"/>
        </w:rPr>
        <w:t xml:space="preserve">Aquaculture, </w:t>
      </w:r>
      <w:r>
        <w:rPr>
          <w:noProof w:val="0"/>
          <w:lang w:val="en-AU"/>
        </w:rPr>
        <w:t xml:space="preserve">vol. 515, pp. 734548, DOI: </w:t>
      </w:r>
      <w:r w:rsidRPr="00BD2644">
        <w:rPr>
          <w:noProof w:val="0"/>
          <w:lang w:val="en-AU"/>
        </w:rPr>
        <w:t>10.1016/j.aquaculture.2019.734548</w:t>
      </w:r>
      <w:r>
        <w:rPr>
          <w:noProof w:val="0"/>
          <w:lang w:val="en-AU"/>
        </w:rPr>
        <w:t>.</w:t>
      </w:r>
    </w:p>
    <w:p w14:paraId="4DC2BC48" w14:textId="03618A8C" w:rsidR="006939E1" w:rsidRPr="00DD01E4" w:rsidRDefault="00B5740F" w:rsidP="00C80491">
      <w:pPr>
        <w:pStyle w:val="EndNoteBibliography"/>
        <w:rPr>
          <w:noProof w:val="0"/>
          <w:lang w:val="en-AU"/>
        </w:rPr>
      </w:pPr>
      <w:r w:rsidRPr="00DD01E4">
        <w:rPr>
          <w:noProof w:val="0"/>
          <w:lang w:val="en-AU"/>
        </w:rPr>
        <w:lastRenderedPageBreak/>
        <w:t xml:space="preserve">Summerson, R, </w:t>
      </w:r>
      <w:proofErr w:type="spellStart"/>
      <w:r w:rsidRPr="00DD01E4">
        <w:rPr>
          <w:noProof w:val="0"/>
          <w:lang w:val="en-AU"/>
        </w:rPr>
        <w:t>Skirtun</w:t>
      </w:r>
      <w:proofErr w:type="spellEnd"/>
      <w:r w:rsidRPr="00DD01E4">
        <w:rPr>
          <w:noProof w:val="0"/>
          <w:lang w:val="en-AU"/>
        </w:rPr>
        <w:t xml:space="preserve">, M, Mazur, K, Arthur, T, </w:t>
      </w:r>
      <w:proofErr w:type="spellStart"/>
      <w:r w:rsidRPr="00DD01E4">
        <w:rPr>
          <w:noProof w:val="0"/>
          <w:lang w:val="en-AU"/>
        </w:rPr>
        <w:t>Curtotti</w:t>
      </w:r>
      <w:proofErr w:type="spellEnd"/>
      <w:r w:rsidRPr="00DD01E4">
        <w:rPr>
          <w:noProof w:val="0"/>
          <w:lang w:val="en-AU"/>
        </w:rPr>
        <w:t xml:space="preserve">, R &amp; Smart, R 2013, </w:t>
      </w:r>
      <w:r w:rsidRPr="00DD01E4">
        <w:rPr>
          <w:i/>
          <w:noProof w:val="0"/>
          <w:lang w:val="en-AU"/>
        </w:rPr>
        <w:t>Economic evaluation of the costs of biosecurity response options to address an incursion of Mytilopsis sallei (black-striped mussel) intro Australia</w:t>
      </w:r>
      <w:r w:rsidRPr="00DD01E4">
        <w:rPr>
          <w:noProof w:val="0"/>
          <w:lang w:val="en-AU"/>
        </w:rPr>
        <w:t>.</w:t>
      </w:r>
      <w:r w:rsidR="00C24444" w:rsidRPr="00DD01E4">
        <w:rPr>
          <w:noProof w:val="0"/>
          <w:lang w:val="en-AU"/>
        </w:rPr>
        <w:t xml:space="preserve"> ABARES Report to client prepared for Plant Health Australia, Canberra, Australia, p. 115. </w:t>
      </w:r>
    </w:p>
    <w:p w14:paraId="4D487662" w14:textId="6A46F2E7" w:rsidR="00CB26D9" w:rsidRPr="00DD01E4" w:rsidRDefault="00CB26D9" w:rsidP="00C80491">
      <w:pPr>
        <w:spacing w:line="240" w:lineRule="auto"/>
      </w:pPr>
      <w:r w:rsidRPr="00DD01E4">
        <w:t xml:space="preserve">Summerson, R, Hester, S, Graham, S 2018, </w:t>
      </w:r>
      <w:hyperlink r:id="rId590" w:history="1">
        <w:r w:rsidRPr="00DD01E4">
          <w:rPr>
            <w:rStyle w:val="Hyperlink"/>
          </w:rPr>
          <w:t>Methodology to guide responses to marine pest incursions under the National Environmental Biosecurity Response Agreement</w:t>
        </w:r>
      </w:hyperlink>
      <w:r w:rsidRPr="00DD01E4">
        <w:t>, CEBRA Project 1608E, Department of Agriculture and Water Resources, Canberra, accessed 4 May 2023.</w:t>
      </w:r>
    </w:p>
    <w:p w14:paraId="3E2E91AC" w14:textId="7F00EC4C" w:rsidR="006939E1" w:rsidRPr="00DD01E4" w:rsidRDefault="00B5740F" w:rsidP="00C80491">
      <w:pPr>
        <w:pStyle w:val="EndNoteBibliography"/>
        <w:rPr>
          <w:noProof w:val="0"/>
          <w:lang w:val="en-AU"/>
        </w:rPr>
      </w:pPr>
      <w:bookmarkStart w:id="823" w:name="_Hlk166493663"/>
      <w:r w:rsidRPr="00DD01E4">
        <w:rPr>
          <w:noProof w:val="0"/>
          <w:lang w:val="en-AU"/>
        </w:rPr>
        <w:t>Sutton, CA &amp; Hewitt, CL 200</w:t>
      </w:r>
      <w:r w:rsidR="00E04E42">
        <w:rPr>
          <w:noProof w:val="0"/>
          <w:lang w:val="en-AU"/>
        </w:rPr>
        <w:t>4</w:t>
      </w:r>
      <w:r w:rsidRPr="00DD01E4">
        <w:rPr>
          <w:noProof w:val="0"/>
          <w:lang w:val="en-AU"/>
        </w:rPr>
        <w:t xml:space="preserve">, </w:t>
      </w:r>
      <w:r w:rsidRPr="00DD01E4">
        <w:rPr>
          <w:i/>
          <w:noProof w:val="0"/>
          <w:lang w:val="en-AU"/>
        </w:rPr>
        <w:t>Detection Kits for Community-based Monitoring of Introduced Marine Pests</w:t>
      </w:r>
      <w:r w:rsidR="00C24444" w:rsidRPr="00DD01E4">
        <w:rPr>
          <w:i/>
          <w:noProof w:val="0"/>
          <w:lang w:val="en-AU"/>
        </w:rPr>
        <w:t>.</w:t>
      </w:r>
      <w:r w:rsidRPr="00DD01E4">
        <w:rPr>
          <w:i/>
          <w:noProof w:val="0"/>
          <w:lang w:val="en-AU"/>
        </w:rPr>
        <w:t xml:space="preserve"> </w:t>
      </w:r>
      <w:r w:rsidRPr="00DD01E4">
        <w:rPr>
          <w:iCs/>
          <w:noProof w:val="0"/>
          <w:lang w:val="en-AU"/>
        </w:rPr>
        <w:t>Final Report to NHT/C &amp; CS NHT 21247, Centre for Research on Introduced Marine Pests</w:t>
      </w:r>
      <w:r w:rsidRPr="00DD01E4">
        <w:rPr>
          <w:noProof w:val="0"/>
          <w:lang w:val="en-AU"/>
        </w:rPr>
        <w:t>.</w:t>
      </w:r>
    </w:p>
    <w:bookmarkEnd w:id="823"/>
    <w:p w14:paraId="16EB75EA" w14:textId="72087D50" w:rsidR="006939E1" w:rsidRDefault="00B5740F" w:rsidP="00C80491">
      <w:pPr>
        <w:pStyle w:val="EndNoteBibliography"/>
        <w:rPr>
          <w:noProof w:val="0"/>
          <w:lang w:val="en-AU"/>
        </w:rPr>
      </w:pPr>
      <w:r w:rsidRPr="00DD01E4">
        <w:rPr>
          <w:noProof w:val="0"/>
          <w:lang w:val="en-AU"/>
        </w:rPr>
        <w:t xml:space="preserve">Swami, B &amp; </w:t>
      </w:r>
      <w:proofErr w:type="spellStart"/>
      <w:r w:rsidRPr="00DD01E4">
        <w:rPr>
          <w:noProof w:val="0"/>
          <w:lang w:val="en-AU"/>
        </w:rPr>
        <w:t>Karande</w:t>
      </w:r>
      <w:proofErr w:type="spellEnd"/>
      <w:r w:rsidRPr="00DD01E4">
        <w:rPr>
          <w:noProof w:val="0"/>
          <w:lang w:val="en-AU"/>
        </w:rPr>
        <w:t>, A 1988, Recruitment and growth of biofouling invertebrates during monsoon in Bombay waters, west coast of India</w:t>
      </w:r>
      <w:r w:rsidR="00C24444" w:rsidRPr="00DD01E4">
        <w:rPr>
          <w:noProof w:val="0"/>
          <w:lang w:val="en-AU"/>
        </w:rPr>
        <w:t xml:space="preserve">, </w:t>
      </w:r>
      <w:r w:rsidR="00C24444" w:rsidRPr="00DD01E4">
        <w:rPr>
          <w:i/>
          <w:iCs/>
          <w:noProof w:val="0"/>
          <w:lang w:val="en-AU"/>
        </w:rPr>
        <w:t>Indian Journal of Marine Sciences</w:t>
      </w:r>
      <w:r w:rsidR="00C24444" w:rsidRPr="00DD01E4">
        <w:rPr>
          <w:noProof w:val="0"/>
          <w:lang w:val="en-AU"/>
        </w:rPr>
        <w:t>, vol. 17</w:t>
      </w:r>
      <w:r w:rsidR="005222EE" w:rsidRPr="00DD01E4">
        <w:rPr>
          <w:noProof w:val="0"/>
          <w:lang w:val="en-AU"/>
        </w:rPr>
        <w:t>,</w:t>
      </w:r>
      <w:r w:rsidR="00C24444" w:rsidRPr="00DD01E4">
        <w:rPr>
          <w:noProof w:val="0"/>
          <w:lang w:val="en-AU"/>
        </w:rPr>
        <w:t xml:space="preserve"> </w:t>
      </w:r>
      <w:r w:rsidR="005222EE" w:rsidRPr="00DD01E4">
        <w:rPr>
          <w:noProof w:val="0"/>
          <w:lang w:val="en-AU"/>
        </w:rPr>
        <w:t>p</w:t>
      </w:r>
      <w:r w:rsidR="00C24444" w:rsidRPr="00DD01E4">
        <w:rPr>
          <w:noProof w:val="0"/>
          <w:lang w:val="en-AU"/>
        </w:rPr>
        <w:t>p.142-49.</w:t>
      </w:r>
    </w:p>
    <w:p w14:paraId="728FDB19" w14:textId="09E90491" w:rsidR="005704F6" w:rsidRPr="00DD01E4" w:rsidRDefault="005704F6" w:rsidP="005704F6">
      <w:pPr>
        <w:pStyle w:val="EndNoteBibliography"/>
        <w:rPr>
          <w:noProof w:val="0"/>
          <w:lang w:val="en-AU"/>
        </w:rPr>
      </w:pPr>
      <w:r w:rsidRPr="005704F6">
        <w:rPr>
          <w:noProof w:val="0"/>
          <w:lang w:val="en-AU"/>
        </w:rPr>
        <w:t>Tait, L</w:t>
      </w:r>
      <w:r>
        <w:rPr>
          <w:noProof w:val="0"/>
          <w:lang w:val="en-AU"/>
        </w:rPr>
        <w:t xml:space="preserve">W &amp; </w:t>
      </w:r>
      <w:r w:rsidRPr="005704F6">
        <w:rPr>
          <w:noProof w:val="0"/>
          <w:lang w:val="en-AU"/>
        </w:rPr>
        <w:t>Inglis, G</w:t>
      </w:r>
      <w:r>
        <w:rPr>
          <w:noProof w:val="0"/>
          <w:lang w:val="en-AU"/>
        </w:rPr>
        <w:t xml:space="preserve">J </w:t>
      </w:r>
      <w:r w:rsidRPr="005704F6">
        <w:rPr>
          <w:noProof w:val="0"/>
          <w:lang w:val="en-AU"/>
        </w:rPr>
        <w:t>2016</w:t>
      </w:r>
      <w:r>
        <w:rPr>
          <w:noProof w:val="0"/>
          <w:lang w:val="en-AU"/>
        </w:rPr>
        <w:t xml:space="preserve">, </w:t>
      </w:r>
      <w:r w:rsidRPr="005704F6">
        <w:rPr>
          <w:i/>
          <w:iCs/>
          <w:noProof w:val="0"/>
          <w:lang w:val="en-AU"/>
        </w:rPr>
        <w:t>Optimising settlement arrays for surveillance of non-indigenous biofouling species - a literature review</w:t>
      </w:r>
      <w:r>
        <w:rPr>
          <w:noProof w:val="0"/>
          <w:lang w:val="en-AU"/>
        </w:rPr>
        <w:t xml:space="preserve">, </w:t>
      </w:r>
      <w:r w:rsidRPr="005704F6">
        <w:rPr>
          <w:noProof w:val="0"/>
          <w:lang w:val="en-AU"/>
        </w:rPr>
        <w:t>NIWA Client Report No. CHC2014-042, prepared for Ministry for Primary Industries Project RFP16696 - Settlement Arrays, pp. 60</w:t>
      </w:r>
      <w:r>
        <w:rPr>
          <w:noProof w:val="0"/>
          <w:lang w:val="en-AU"/>
        </w:rPr>
        <w:t>.</w:t>
      </w:r>
    </w:p>
    <w:p w14:paraId="31477DED" w14:textId="0F92EE95" w:rsidR="006939E1" w:rsidRDefault="00B5740F" w:rsidP="00C80491">
      <w:pPr>
        <w:pStyle w:val="EndNoteBibliography"/>
        <w:rPr>
          <w:noProof w:val="0"/>
          <w:lang w:val="en-AU"/>
        </w:rPr>
      </w:pPr>
      <w:r w:rsidRPr="00DD01E4">
        <w:rPr>
          <w:noProof w:val="0"/>
          <w:lang w:val="en-AU"/>
        </w:rPr>
        <w:t xml:space="preserve">Tait, L, Inglis, G, Seaward, K, Spong, K &amp; Wilkens, S 2016, </w:t>
      </w:r>
      <w:hyperlink r:id="rId591" w:history="1">
        <w:r w:rsidRPr="00DD01E4">
          <w:rPr>
            <w:rStyle w:val="Hyperlink"/>
            <w:noProof w:val="0"/>
            <w:lang w:val="en-AU"/>
          </w:rPr>
          <w:t>Optimising settlement arrays for surveillance of non-indigenous biofouling species</w:t>
        </w:r>
      </w:hyperlink>
      <w:r w:rsidRPr="00DD01E4">
        <w:rPr>
          <w:noProof w:val="0"/>
          <w:lang w:val="en-AU"/>
        </w:rPr>
        <w:t xml:space="preserve">, </w:t>
      </w:r>
      <w:r w:rsidR="00C24444" w:rsidRPr="00DD01E4">
        <w:rPr>
          <w:iCs/>
          <w:noProof w:val="0"/>
          <w:lang w:val="en-AU"/>
        </w:rPr>
        <w:t>MPI Technical Paper</w:t>
      </w:r>
      <w:r w:rsidRPr="00DD01E4">
        <w:rPr>
          <w:noProof w:val="0"/>
          <w:lang w:val="en-AU"/>
        </w:rPr>
        <w:t xml:space="preserve"> </w:t>
      </w:r>
      <w:r w:rsidR="00C24444" w:rsidRPr="00DD01E4">
        <w:rPr>
          <w:noProof w:val="0"/>
          <w:lang w:val="en-AU"/>
        </w:rPr>
        <w:t>N</w:t>
      </w:r>
      <w:r w:rsidRPr="00DD01E4">
        <w:rPr>
          <w:noProof w:val="0"/>
          <w:lang w:val="en-AU"/>
        </w:rPr>
        <w:t>o. 2016/71,</w:t>
      </w:r>
      <w:r w:rsidR="00C24444" w:rsidRPr="00DD01E4">
        <w:rPr>
          <w:noProof w:val="0"/>
          <w:lang w:val="en-AU"/>
        </w:rPr>
        <w:t xml:space="preserve"> </w:t>
      </w:r>
      <w:proofErr w:type="spellStart"/>
      <w:r w:rsidR="00C24444" w:rsidRPr="00DD01E4">
        <w:rPr>
          <w:noProof w:val="0"/>
          <w:lang w:val="en-AU"/>
        </w:rPr>
        <w:t>Wellignton</w:t>
      </w:r>
      <w:proofErr w:type="spellEnd"/>
      <w:r w:rsidR="00C24444" w:rsidRPr="00DD01E4">
        <w:rPr>
          <w:noProof w:val="0"/>
          <w:lang w:val="en-AU"/>
        </w:rPr>
        <w:t>, New Zealand</w:t>
      </w:r>
      <w:r w:rsidRPr="00DD01E4">
        <w:rPr>
          <w:noProof w:val="0"/>
          <w:lang w:val="en-AU"/>
        </w:rPr>
        <w:t xml:space="preserve"> p. 74.</w:t>
      </w:r>
    </w:p>
    <w:p w14:paraId="22A4A4E9" w14:textId="31D67975" w:rsidR="00286468" w:rsidRPr="00286468" w:rsidRDefault="00286468" w:rsidP="00C80491">
      <w:pPr>
        <w:pStyle w:val="EndNoteBibliography"/>
        <w:rPr>
          <w:noProof w:val="0"/>
          <w:lang w:val="en-AU"/>
        </w:rPr>
      </w:pPr>
      <w:r>
        <w:rPr>
          <w:noProof w:val="0"/>
          <w:lang w:val="en-AU"/>
        </w:rPr>
        <w:t xml:space="preserve">Takenaka, R, </w:t>
      </w:r>
      <w:proofErr w:type="spellStart"/>
      <w:r>
        <w:rPr>
          <w:noProof w:val="0"/>
          <w:lang w:val="en-AU"/>
        </w:rPr>
        <w:t>Komorita</w:t>
      </w:r>
      <w:proofErr w:type="spellEnd"/>
      <w:r>
        <w:rPr>
          <w:noProof w:val="0"/>
          <w:lang w:val="en-AU"/>
        </w:rPr>
        <w:t xml:space="preserve">, T &amp; Tsutsumi, H 2018, </w:t>
      </w:r>
      <w:hyperlink r:id="rId592" w:history="1">
        <w:r w:rsidRPr="00286468">
          <w:rPr>
            <w:rStyle w:val="Hyperlink"/>
            <w:noProof w:val="0"/>
            <w:lang w:val="en-AU"/>
          </w:rPr>
          <w:t xml:space="preserve">Accumulation of organic matter within a muddy carpet created by the Asian date mussel, </w:t>
        </w:r>
        <w:r w:rsidRPr="00286468">
          <w:rPr>
            <w:rStyle w:val="Hyperlink"/>
            <w:i/>
            <w:iCs/>
            <w:noProof w:val="0"/>
            <w:lang w:val="en-AU"/>
          </w:rPr>
          <w:t>Arcuatula senhousia</w:t>
        </w:r>
        <w:r w:rsidRPr="00286468">
          <w:rPr>
            <w:rStyle w:val="Hyperlink"/>
            <w:noProof w:val="0"/>
            <w:lang w:val="en-AU"/>
          </w:rPr>
          <w:t>, on the Midori River tidal flats, Japan</w:t>
        </w:r>
      </w:hyperlink>
      <w:r>
        <w:rPr>
          <w:noProof w:val="0"/>
          <w:lang w:val="en-AU"/>
        </w:rPr>
        <w:t xml:space="preserve">, </w:t>
      </w:r>
      <w:r>
        <w:rPr>
          <w:i/>
          <w:iCs/>
          <w:noProof w:val="0"/>
          <w:lang w:val="en-AU"/>
        </w:rPr>
        <w:t xml:space="preserve">Plankton and Benthos Research, </w:t>
      </w:r>
      <w:r>
        <w:rPr>
          <w:noProof w:val="0"/>
          <w:lang w:val="en-AU"/>
        </w:rPr>
        <w:t xml:space="preserve">vol. 13, no. 1, pp. 1-9, DOI: </w:t>
      </w:r>
      <w:r w:rsidRPr="00286468">
        <w:rPr>
          <w:noProof w:val="0"/>
          <w:lang w:val="en-AU"/>
        </w:rPr>
        <w:t>10.3800/pbr.13.1</w:t>
      </w:r>
      <w:r>
        <w:rPr>
          <w:noProof w:val="0"/>
          <w:lang w:val="en-AU"/>
        </w:rPr>
        <w:t>.</w:t>
      </w:r>
    </w:p>
    <w:p w14:paraId="20DBB648" w14:textId="4F229DD0" w:rsidR="00246AE3" w:rsidRDefault="00246AE3" w:rsidP="00C80491">
      <w:pPr>
        <w:pStyle w:val="EndNoteBibliography"/>
        <w:rPr>
          <w:noProof w:val="0"/>
          <w:lang w:val="en-AU"/>
        </w:rPr>
      </w:pPr>
      <w:r w:rsidRPr="00246AE3">
        <w:rPr>
          <w:noProof w:val="0"/>
          <w:lang w:val="en-AU"/>
        </w:rPr>
        <w:t>Talman</w:t>
      </w:r>
      <w:r>
        <w:rPr>
          <w:noProof w:val="0"/>
          <w:lang w:val="en-AU"/>
        </w:rPr>
        <w:t>,</w:t>
      </w:r>
      <w:r w:rsidRPr="00246AE3">
        <w:rPr>
          <w:noProof w:val="0"/>
          <w:lang w:val="en-AU"/>
        </w:rPr>
        <w:t xml:space="preserve"> S 1998</w:t>
      </w:r>
      <w:r>
        <w:rPr>
          <w:noProof w:val="0"/>
          <w:lang w:val="en-AU"/>
        </w:rPr>
        <w:t xml:space="preserve">, </w:t>
      </w:r>
      <w:r w:rsidRPr="00246AE3">
        <w:rPr>
          <w:i/>
          <w:iCs/>
          <w:noProof w:val="0"/>
          <w:lang w:val="en-AU"/>
        </w:rPr>
        <w:t xml:space="preserve">The ecology of an exotic marine bivalve, </w:t>
      </w:r>
      <w:proofErr w:type="spellStart"/>
      <w:r w:rsidRPr="00246AE3">
        <w:rPr>
          <w:i/>
          <w:iCs/>
          <w:noProof w:val="0"/>
          <w:lang w:val="en-AU"/>
        </w:rPr>
        <w:t>Corbula</w:t>
      </w:r>
      <w:proofErr w:type="spellEnd"/>
      <w:r w:rsidRPr="00246AE3">
        <w:rPr>
          <w:i/>
          <w:iCs/>
          <w:noProof w:val="0"/>
          <w:lang w:val="en-AU"/>
        </w:rPr>
        <w:t xml:space="preserve"> gibba, in Port Phillip Bay</w:t>
      </w:r>
      <w:r>
        <w:rPr>
          <w:noProof w:val="0"/>
          <w:lang w:val="en-AU"/>
        </w:rPr>
        <w:t xml:space="preserve">, </w:t>
      </w:r>
      <w:r w:rsidRPr="00246AE3">
        <w:rPr>
          <w:noProof w:val="0"/>
          <w:lang w:val="en-AU"/>
        </w:rPr>
        <w:t>Marine and Freshwater Resources Institute, Queenscliff, Victoria (Internal Rep No. 8)</w:t>
      </w:r>
      <w:r>
        <w:rPr>
          <w:noProof w:val="0"/>
          <w:lang w:val="en-AU"/>
        </w:rPr>
        <w:t>.</w:t>
      </w:r>
    </w:p>
    <w:p w14:paraId="5752C70D" w14:textId="3F096AE0" w:rsidR="00246AE3" w:rsidRDefault="00246AE3" w:rsidP="00C80491">
      <w:pPr>
        <w:pStyle w:val="EndNoteBibliography"/>
        <w:rPr>
          <w:noProof w:val="0"/>
          <w:lang w:val="en-AU"/>
        </w:rPr>
      </w:pPr>
      <w:r w:rsidRPr="00246AE3">
        <w:rPr>
          <w:noProof w:val="0"/>
          <w:lang w:val="en-AU"/>
        </w:rPr>
        <w:t xml:space="preserve">Talman, SG 2000, </w:t>
      </w:r>
      <w:hyperlink r:id="rId593" w:history="1">
        <w:r w:rsidRPr="00246AE3">
          <w:rPr>
            <w:rStyle w:val="Hyperlink"/>
            <w:noProof w:val="0"/>
            <w:lang w:val="en-AU"/>
          </w:rPr>
          <w:t xml:space="preserve">The ecology and impacts of the introduced basket clam, </w:t>
        </w:r>
        <w:proofErr w:type="spellStart"/>
        <w:r w:rsidRPr="00246AE3">
          <w:rPr>
            <w:rStyle w:val="Hyperlink"/>
            <w:i/>
            <w:iCs/>
            <w:noProof w:val="0"/>
            <w:lang w:val="en-AU"/>
          </w:rPr>
          <w:t>Corbula</w:t>
        </w:r>
        <w:proofErr w:type="spellEnd"/>
        <w:r w:rsidRPr="00246AE3">
          <w:rPr>
            <w:rStyle w:val="Hyperlink"/>
            <w:i/>
            <w:iCs/>
            <w:noProof w:val="0"/>
            <w:lang w:val="en-AU"/>
          </w:rPr>
          <w:t xml:space="preserve"> gibba</w:t>
        </w:r>
        <w:r w:rsidRPr="00246AE3">
          <w:rPr>
            <w:rStyle w:val="Hyperlink"/>
            <w:noProof w:val="0"/>
            <w:lang w:val="en-AU"/>
          </w:rPr>
          <w:t>, in Port Phillip Bay, Australia</w:t>
        </w:r>
      </w:hyperlink>
      <w:r w:rsidRPr="00246AE3">
        <w:rPr>
          <w:noProof w:val="0"/>
          <w:lang w:val="en-AU"/>
        </w:rPr>
        <w:t>, PhD dissertation, pp. 162.</w:t>
      </w:r>
    </w:p>
    <w:p w14:paraId="4DF0FAA3" w14:textId="1EFE67AA" w:rsidR="00246AE3" w:rsidRPr="00246AE3" w:rsidRDefault="00246AE3" w:rsidP="00C80491">
      <w:pPr>
        <w:pStyle w:val="EndNoteBibliography"/>
        <w:rPr>
          <w:noProof w:val="0"/>
          <w:lang w:val="en-AU"/>
        </w:rPr>
      </w:pPr>
      <w:r>
        <w:rPr>
          <w:noProof w:val="0"/>
          <w:lang w:val="en-AU"/>
        </w:rPr>
        <w:t xml:space="preserve">Talman, SG &amp; Keough, MJ 2001, </w:t>
      </w:r>
      <w:hyperlink r:id="rId594" w:history="1">
        <w:r w:rsidRPr="00246AE3">
          <w:rPr>
            <w:rStyle w:val="Hyperlink"/>
            <w:noProof w:val="0"/>
            <w:lang w:val="en-AU"/>
          </w:rPr>
          <w:t xml:space="preserve">Impact of an exotic clam, </w:t>
        </w:r>
        <w:proofErr w:type="spellStart"/>
        <w:r w:rsidRPr="00246AE3">
          <w:rPr>
            <w:rStyle w:val="Hyperlink"/>
            <w:i/>
            <w:iCs/>
            <w:noProof w:val="0"/>
            <w:lang w:val="en-AU"/>
          </w:rPr>
          <w:t>Corbula</w:t>
        </w:r>
        <w:proofErr w:type="spellEnd"/>
        <w:r w:rsidRPr="00246AE3">
          <w:rPr>
            <w:rStyle w:val="Hyperlink"/>
            <w:i/>
            <w:iCs/>
            <w:noProof w:val="0"/>
            <w:lang w:val="en-AU"/>
          </w:rPr>
          <w:t xml:space="preserve"> gibba</w:t>
        </w:r>
        <w:r w:rsidRPr="00246AE3">
          <w:rPr>
            <w:rStyle w:val="Hyperlink"/>
            <w:noProof w:val="0"/>
            <w:lang w:val="en-AU"/>
          </w:rPr>
          <w:t xml:space="preserve">, on the commercial scallop </w:t>
        </w:r>
        <w:r w:rsidRPr="00246AE3">
          <w:rPr>
            <w:rStyle w:val="Hyperlink"/>
            <w:i/>
            <w:iCs/>
            <w:noProof w:val="0"/>
            <w:lang w:val="en-AU"/>
          </w:rPr>
          <w:t xml:space="preserve">Pecten </w:t>
        </w:r>
        <w:proofErr w:type="spellStart"/>
        <w:r w:rsidRPr="00246AE3">
          <w:rPr>
            <w:rStyle w:val="Hyperlink"/>
            <w:i/>
            <w:iCs/>
            <w:noProof w:val="0"/>
            <w:lang w:val="en-AU"/>
          </w:rPr>
          <w:t>fumatus</w:t>
        </w:r>
        <w:proofErr w:type="spellEnd"/>
        <w:r w:rsidRPr="00246AE3">
          <w:rPr>
            <w:rStyle w:val="Hyperlink"/>
            <w:noProof w:val="0"/>
            <w:lang w:val="en-AU"/>
          </w:rPr>
          <w:t xml:space="preserve"> in Port Phillip Bay, south-east Australia: evidence of resource-restricted growth in a subtidal environment</w:t>
        </w:r>
      </w:hyperlink>
      <w:r>
        <w:rPr>
          <w:noProof w:val="0"/>
          <w:lang w:val="en-AU"/>
        </w:rPr>
        <w:t xml:space="preserve">, </w:t>
      </w:r>
      <w:r>
        <w:rPr>
          <w:i/>
          <w:iCs/>
          <w:noProof w:val="0"/>
          <w:lang w:val="en-AU"/>
        </w:rPr>
        <w:t xml:space="preserve">Marine Ecology Progress Series, </w:t>
      </w:r>
      <w:r>
        <w:rPr>
          <w:noProof w:val="0"/>
          <w:lang w:val="en-AU"/>
        </w:rPr>
        <w:t xml:space="preserve">vol. 221, pp. 135-43, DOI: </w:t>
      </w:r>
      <w:r w:rsidRPr="00246AE3">
        <w:rPr>
          <w:noProof w:val="0"/>
          <w:lang w:val="en-AU"/>
        </w:rPr>
        <w:t>10.3354/meps221135</w:t>
      </w:r>
      <w:r>
        <w:rPr>
          <w:noProof w:val="0"/>
          <w:lang w:val="en-AU"/>
        </w:rPr>
        <w:t xml:space="preserve">. </w:t>
      </w:r>
    </w:p>
    <w:p w14:paraId="3CA92357" w14:textId="0B864F1B" w:rsidR="00492E58" w:rsidRPr="00DD01E4" w:rsidRDefault="00B5740F" w:rsidP="00C80491">
      <w:pPr>
        <w:pStyle w:val="EndNoteBibliography"/>
        <w:rPr>
          <w:noProof w:val="0"/>
          <w:lang w:val="en-AU"/>
        </w:rPr>
      </w:pPr>
      <w:r w:rsidRPr="00DD01E4">
        <w:rPr>
          <w:noProof w:val="0"/>
          <w:lang w:val="en-AU"/>
        </w:rPr>
        <w:t xml:space="preserve">Tan, K &amp; Morton, B 2006, </w:t>
      </w:r>
      <w:hyperlink r:id="rId595" w:history="1">
        <w:r w:rsidRPr="00DD01E4">
          <w:rPr>
            <w:rStyle w:val="Hyperlink"/>
            <w:noProof w:val="0"/>
            <w:lang w:val="en-AU"/>
          </w:rPr>
          <w:t xml:space="preserve">The invasive </w:t>
        </w:r>
        <w:r w:rsidR="00DD01E4" w:rsidRPr="00DD01E4">
          <w:rPr>
            <w:rStyle w:val="Hyperlink"/>
            <w:noProof w:val="0"/>
            <w:lang w:val="en-AU"/>
          </w:rPr>
          <w:t>Caribbean</w:t>
        </w:r>
        <w:r w:rsidRPr="00DD01E4">
          <w:rPr>
            <w:rStyle w:val="Hyperlink"/>
            <w:noProof w:val="0"/>
            <w:lang w:val="en-AU"/>
          </w:rPr>
          <w:t xml:space="preserve"> bivalve </w:t>
        </w:r>
        <w:r w:rsidRPr="00DD01E4">
          <w:rPr>
            <w:rStyle w:val="Hyperlink"/>
            <w:i/>
            <w:noProof w:val="0"/>
            <w:lang w:val="en-AU"/>
          </w:rPr>
          <w:t xml:space="preserve">Mytilopsis sallei </w:t>
        </w:r>
        <w:r w:rsidRPr="00DD01E4">
          <w:rPr>
            <w:rStyle w:val="Hyperlink"/>
            <w:noProof w:val="0"/>
            <w:lang w:val="en-AU"/>
          </w:rPr>
          <w:t>(</w:t>
        </w:r>
        <w:proofErr w:type="spellStart"/>
        <w:r w:rsidRPr="00DD01E4">
          <w:rPr>
            <w:rStyle w:val="Hyperlink"/>
            <w:noProof w:val="0"/>
            <w:lang w:val="en-AU"/>
          </w:rPr>
          <w:t>Dreissenidae</w:t>
        </w:r>
        <w:proofErr w:type="spellEnd"/>
        <w:r w:rsidRPr="00DD01E4">
          <w:rPr>
            <w:rStyle w:val="Hyperlink"/>
            <w:noProof w:val="0"/>
            <w:lang w:val="en-AU"/>
          </w:rPr>
          <w:t>) introduced to Singapore and Johor Bahru, Malaysia</w:t>
        </w:r>
      </w:hyperlink>
      <w:r w:rsidRPr="00DD01E4">
        <w:rPr>
          <w:noProof w:val="0"/>
          <w:lang w:val="en-AU"/>
        </w:rPr>
        <w:t xml:space="preserve">, </w:t>
      </w:r>
      <w:r w:rsidRPr="00DD01E4">
        <w:rPr>
          <w:i/>
          <w:noProof w:val="0"/>
          <w:lang w:val="en-AU"/>
        </w:rPr>
        <w:t>Raffles Bulletin of Zoology</w:t>
      </w:r>
      <w:r w:rsidRPr="00DD01E4">
        <w:rPr>
          <w:noProof w:val="0"/>
          <w:lang w:val="en-AU"/>
        </w:rPr>
        <w:t>, vol. 54, no. 2, pp. 429-34.</w:t>
      </w:r>
    </w:p>
    <w:p w14:paraId="7A8D30D0" w14:textId="185E5952" w:rsidR="002A53E0" w:rsidRPr="00DD01E4" w:rsidRDefault="00492E58" w:rsidP="00C80491">
      <w:pPr>
        <w:spacing w:line="240" w:lineRule="auto"/>
        <w:rPr>
          <w:rFonts w:ascii="Calibri" w:hAnsi="Calibri" w:cs="Calibri"/>
        </w:rPr>
      </w:pPr>
      <w:r w:rsidRPr="00DD01E4">
        <w:t xml:space="preserve">Tang, F &amp; Aldridge, DC 2019, </w:t>
      </w:r>
      <w:hyperlink r:id="rId596" w:history="1">
        <w:proofErr w:type="spellStart"/>
        <w:r w:rsidRPr="00DD01E4">
          <w:rPr>
            <w:rStyle w:val="Hyperlink"/>
          </w:rPr>
          <w:t>Microcapsulated</w:t>
        </w:r>
        <w:proofErr w:type="spellEnd"/>
        <w:r w:rsidRPr="00DD01E4">
          <w:rPr>
            <w:rStyle w:val="Hyperlink"/>
          </w:rPr>
          <w:t xml:space="preserve"> biocides for the targeted control of invasive bivalves</w:t>
        </w:r>
      </w:hyperlink>
      <w:r w:rsidRPr="00DD01E4">
        <w:t xml:space="preserve">, </w:t>
      </w:r>
      <w:r w:rsidRPr="00DD01E4">
        <w:rPr>
          <w:i/>
          <w:iCs/>
        </w:rPr>
        <w:t>Scientific Reports</w:t>
      </w:r>
      <w:r w:rsidRPr="00DD01E4">
        <w:t>, vol. 9, no. 1, pp. 1-10</w:t>
      </w:r>
      <w:r w:rsidR="00DD01E4">
        <w:t xml:space="preserve">, DOI: </w:t>
      </w:r>
      <w:r w:rsidR="00DD01E4" w:rsidRPr="00DD01E4">
        <w:rPr>
          <w:rFonts w:ascii="Calibri" w:hAnsi="Calibri" w:cs="Calibri"/>
        </w:rPr>
        <w:t>10.1038/s41598-019-55392-4</w:t>
      </w:r>
      <w:r w:rsidR="00DD01E4">
        <w:rPr>
          <w:rFonts w:ascii="Calibri" w:hAnsi="Calibri" w:cs="Calibri"/>
        </w:rPr>
        <w:t>.</w:t>
      </w:r>
    </w:p>
    <w:p w14:paraId="6709CD4A" w14:textId="3D50177F" w:rsidR="006939E1" w:rsidRPr="00DD01E4" w:rsidRDefault="00B5740F" w:rsidP="00C80491">
      <w:pPr>
        <w:pStyle w:val="EndNoteBibliography"/>
        <w:rPr>
          <w:noProof w:val="0"/>
          <w:lang w:val="en-AU"/>
        </w:rPr>
      </w:pPr>
      <w:r w:rsidRPr="00DD01E4">
        <w:rPr>
          <w:noProof w:val="0"/>
          <w:lang w:val="en-AU"/>
        </w:rPr>
        <w:t xml:space="preserve">Tay, TS, Gan, BQ, Lee, SCS, Lim, CS, Tan, KS &amp; Teo, SLM 2018, </w:t>
      </w:r>
      <w:hyperlink r:id="rId597" w:history="1">
        <w:r w:rsidRPr="00DD01E4">
          <w:rPr>
            <w:rStyle w:val="Hyperlink"/>
            <w:noProof w:val="0"/>
            <w:lang w:val="en-AU"/>
          </w:rPr>
          <w:t xml:space="preserve">Larval development of the invasive </w:t>
        </w:r>
        <w:proofErr w:type="spellStart"/>
        <w:r w:rsidRPr="00DD01E4">
          <w:rPr>
            <w:rStyle w:val="Hyperlink"/>
            <w:noProof w:val="0"/>
            <w:lang w:val="en-AU"/>
          </w:rPr>
          <w:t>charru</w:t>
        </w:r>
        <w:proofErr w:type="spellEnd"/>
        <w:r w:rsidRPr="00DD01E4">
          <w:rPr>
            <w:rStyle w:val="Hyperlink"/>
            <w:noProof w:val="0"/>
            <w:lang w:val="en-AU"/>
          </w:rPr>
          <w:t xml:space="preserve"> mussel, </w:t>
        </w:r>
        <w:r w:rsidRPr="00DD01E4">
          <w:rPr>
            <w:rStyle w:val="Hyperlink"/>
            <w:i/>
            <w:noProof w:val="0"/>
            <w:lang w:val="en-AU"/>
          </w:rPr>
          <w:t>Mytella strigata</w:t>
        </w:r>
        <w:r w:rsidRPr="00DD01E4">
          <w:rPr>
            <w:rStyle w:val="Hyperlink"/>
            <w:noProof w:val="0"/>
            <w:lang w:val="en-AU"/>
          </w:rPr>
          <w:t xml:space="preserve"> (Bivalvia: Mytilidae)</w:t>
        </w:r>
      </w:hyperlink>
      <w:r w:rsidRPr="00DD01E4">
        <w:rPr>
          <w:noProof w:val="0"/>
          <w:lang w:val="en-AU"/>
        </w:rPr>
        <w:t xml:space="preserve">, </w:t>
      </w:r>
      <w:r w:rsidRPr="00DD01E4">
        <w:rPr>
          <w:i/>
          <w:noProof w:val="0"/>
          <w:lang w:val="en-AU"/>
        </w:rPr>
        <w:t>Invertebrate Reproduction &amp; Development</w:t>
      </w:r>
      <w:r w:rsidRPr="00DD01E4">
        <w:rPr>
          <w:noProof w:val="0"/>
          <w:lang w:val="en-AU"/>
        </w:rPr>
        <w:t>, vol. 62, no. 4, pp. 248-56</w:t>
      </w:r>
      <w:r w:rsidR="00DD01E4">
        <w:rPr>
          <w:noProof w:val="0"/>
          <w:lang w:val="en-AU"/>
        </w:rPr>
        <w:t xml:space="preserve">, DOI: </w:t>
      </w:r>
      <w:r w:rsidR="00DD01E4" w:rsidRPr="00DD01E4">
        <w:rPr>
          <w:noProof w:val="0"/>
          <w:lang w:val="en-AU"/>
        </w:rPr>
        <w:t>10.1080/07924259.2018.1505671</w:t>
      </w:r>
      <w:r w:rsidR="00DD01E4">
        <w:rPr>
          <w:noProof w:val="0"/>
          <w:lang w:val="en-AU"/>
        </w:rPr>
        <w:t>.</w:t>
      </w:r>
    </w:p>
    <w:p w14:paraId="1B59B845" w14:textId="6BA13EC7" w:rsidR="006939E1" w:rsidRPr="00DD01E4" w:rsidRDefault="00B5740F" w:rsidP="00C80491">
      <w:pPr>
        <w:pStyle w:val="EndNoteBibliography"/>
        <w:rPr>
          <w:noProof w:val="0"/>
          <w:lang w:val="en-AU"/>
        </w:rPr>
      </w:pPr>
      <w:r w:rsidRPr="00DD01E4">
        <w:rPr>
          <w:noProof w:val="0"/>
          <w:lang w:val="en-AU"/>
        </w:rPr>
        <w:t xml:space="preserve">Therriault, TW, Docker, MF, Orlova, MI, Heath, DD &amp; MacIsaac, HJ 2004, </w:t>
      </w:r>
      <w:hyperlink r:id="rId598" w:history="1">
        <w:r w:rsidRPr="00DD01E4">
          <w:rPr>
            <w:rStyle w:val="Hyperlink"/>
            <w:noProof w:val="0"/>
            <w:lang w:val="en-AU"/>
          </w:rPr>
          <w:t xml:space="preserve">Molecular resolution of the family </w:t>
        </w:r>
        <w:proofErr w:type="spellStart"/>
        <w:r w:rsidRPr="00DD01E4">
          <w:rPr>
            <w:rStyle w:val="Hyperlink"/>
            <w:noProof w:val="0"/>
            <w:lang w:val="en-AU"/>
          </w:rPr>
          <w:t>Dreissenidae</w:t>
        </w:r>
        <w:proofErr w:type="spellEnd"/>
        <w:r w:rsidRPr="00DD01E4">
          <w:rPr>
            <w:rStyle w:val="Hyperlink"/>
            <w:noProof w:val="0"/>
            <w:lang w:val="en-AU"/>
          </w:rPr>
          <w:t xml:space="preserve"> (Mollusca: Bivalvia) with emphasis on Ponto-Caspian species, including first report of </w:t>
        </w:r>
        <w:r w:rsidRPr="00DD01E4">
          <w:rPr>
            <w:rStyle w:val="Hyperlink"/>
            <w:i/>
            <w:noProof w:val="0"/>
            <w:lang w:val="en-AU"/>
          </w:rPr>
          <w:t xml:space="preserve">Mytilopsis </w:t>
        </w:r>
        <w:proofErr w:type="spellStart"/>
        <w:r w:rsidRPr="00DD01E4">
          <w:rPr>
            <w:rStyle w:val="Hyperlink"/>
            <w:i/>
            <w:noProof w:val="0"/>
            <w:lang w:val="en-AU"/>
          </w:rPr>
          <w:t>leucophaeata</w:t>
        </w:r>
        <w:proofErr w:type="spellEnd"/>
        <w:r w:rsidRPr="00DD01E4">
          <w:rPr>
            <w:rStyle w:val="Hyperlink"/>
            <w:noProof w:val="0"/>
            <w:lang w:val="en-AU"/>
          </w:rPr>
          <w:t xml:space="preserve"> in the Black Sea basin</w:t>
        </w:r>
      </w:hyperlink>
      <w:r w:rsidRPr="00DD01E4">
        <w:rPr>
          <w:noProof w:val="0"/>
          <w:lang w:val="en-AU"/>
        </w:rPr>
        <w:t xml:space="preserve">, </w:t>
      </w:r>
      <w:r w:rsidRPr="00DD01E4">
        <w:rPr>
          <w:i/>
          <w:noProof w:val="0"/>
          <w:lang w:val="en-AU"/>
        </w:rPr>
        <w:t>Molecular Phylogenetics and Evolution</w:t>
      </w:r>
      <w:r w:rsidRPr="00DD01E4">
        <w:rPr>
          <w:noProof w:val="0"/>
          <w:lang w:val="en-AU"/>
        </w:rPr>
        <w:t>, vol. 30, no. 3, pp. 479-89</w:t>
      </w:r>
      <w:r w:rsidR="00DD01E4">
        <w:rPr>
          <w:noProof w:val="0"/>
          <w:lang w:val="en-AU"/>
        </w:rPr>
        <w:t xml:space="preserve">, DOI: </w:t>
      </w:r>
      <w:r w:rsidR="00DD01E4" w:rsidRPr="00DD01E4">
        <w:rPr>
          <w:noProof w:val="0"/>
          <w:lang w:val="en-AU"/>
        </w:rPr>
        <w:t>10.1016/s1055-7903(03)00240-9</w:t>
      </w:r>
      <w:r w:rsidR="00DD01E4">
        <w:rPr>
          <w:noProof w:val="0"/>
          <w:lang w:val="en-AU"/>
        </w:rPr>
        <w:t>.</w:t>
      </w:r>
    </w:p>
    <w:p w14:paraId="60DA8B67" w14:textId="75420882" w:rsidR="006939E1" w:rsidRDefault="00B5740F" w:rsidP="00C80491">
      <w:pPr>
        <w:pStyle w:val="EndNoteBibliography"/>
        <w:rPr>
          <w:noProof w:val="0"/>
          <w:lang w:val="en-AU"/>
        </w:rPr>
      </w:pPr>
      <w:r w:rsidRPr="00DD01E4">
        <w:rPr>
          <w:noProof w:val="0"/>
          <w:lang w:val="en-AU"/>
        </w:rPr>
        <w:t xml:space="preserve">Therriault, TW, Nelson, JC, Carlton, JT, Liggan, L, Otani, M, Kawai, H, Scriven, D, Ruiz, GM &amp; Clarke Murray, C 2018, </w:t>
      </w:r>
      <w:hyperlink r:id="rId599" w:history="1">
        <w:r w:rsidRPr="00DD01E4">
          <w:rPr>
            <w:rStyle w:val="Hyperlink"/>
            <w:noProof w:val="0"/>
            <w:lang w:val="en-AU"/>
          </w:rPr>
          <w:t xml:space="preserve">The invasion risk of species associated with Japanese </w:t>
        </w:r>
        <w:r w:rsidR="005222EE" w:rsidRPr="00DD01E4">
          <w:rPr>
            <w:rStyle w:val="Hyperlink"/>
            <w:noProof w:val="0"/>
            <w:lang w:val="en-AU"/>
          </w:rPr>
          <w:t>t</w:t>
        </w:r>
        <w:r w:rsidRPr="00DD01E4">
          <w:rPr>
            <w:rStyle w:val="Hyperlink"/>
            <w:noProof w:val="0"/>
            <w:lang w:val="en-AU"/>
          </w:rPr>
          <w:t xml:space="preserve">sunami </w:t>
        </w:r>
        <w:r w:rsidR="005222EE" w:rsidRPr="00DD01E4">
          <w:rPr>
            <w:rStyle w:val="Hyperlink"/>
            <w:noProof w:val="0"/>
            <w:lang w:val="en-AU"/>
          </w:rPr>
          <w:t>m</w:t>
        </w:r>
        <w:r w:rsidRPr="00DD01E4">
          <w:rPr>
            <w:rStyle w:val="Hyperlink"/>
            <w:noProof w:val="0"/>
            <w:lang w:val="en-AU"/>
          </w:rPr>
          <w:t xml:space="preserve">arine </w:t>
        </w:r>
        <w:r w:rsidR="005222EE" w:rsidRPr="00DD01E4">
          <w:rPr>
            <w:rStyle w:val="Hyperlink"/>
            <w:noProof w:val="0"/>
            <w:lang w:val="en-AU"/>
          </w:rPr>
          <w:t>d</w:t>
        </w:r>
        <w:r w:rsidRPr="00DD01E4">
          <w:rPr>
            <w:rStyle w:val="Hyperlink"/>
            <w:noProof w:val="0"/>
            <w:lang w:val="en-AU"/>
          </w:rPr>
          <w:t xml:space="preserve">ebris in </w:t>
        </w:r>
        <w:r w:rsidRPr="00DD01E4">
          <w:rPr>
            <w:rStyle w:val="Hyperlink"/>
            <w:noProof w:val="0"/>
            <w:lang w:val="en-AU"/>
          </w:rPr>
          <w:lastRenderedPageBreak/>
          <w:t>Pacific North America and Hawaii</w:t>
        </w:r>
      </w:hyperlink>
      <w:r w:rsidRPr="00DD01E4">
        <w:rPr>
          <w:noProof w:val="0"/>
          <w:lang w:val="en-AU"/>
        </w:rPr>
        <w:t xml:space="preserve">, </w:t>
      </w:r>
      <w:r w:rsidRPr="00DD01E4">
        <w:rPr>
          <w:i/>
          <w:noProof w:val="0"/>
          <w:lang w:val="en-AU"/>
        </w:rPr>
        <w:t>Marine Pollution Bulletin</w:t>
      </w:r>
      <w:r w:rsidRPr="00DD01E4">
        <w:rPr>
          <w:noProof w:val="0"/>
          <w:lang w:val="en-AU"/>
        </w:rPr>
        <w:t>, vol. 132, pp. 82-9</w:t>
      </w:r>
      <w:r w:rsidR="00DD01E4" w:rsidRPr="00DD01E4">
        <w:rPr>
          <w:noProof w:val="0"/>
          <w:lang w:val="en-AU"/>
        </w:rPr>
        <w:t>, DOI: 10.1016/j.marpolbul.2017.12.063.</w:t>
      </w:r>
    </w:p>
    <w:p w14:paraId="69114BA4" w14:textId="3940F92A" w:rsidR="00E04E42" w:rsidRPr="00E04E42" w:rsidRDefault="00E04E42" w:rsidP="00C80491">
      <w:pPr>
        <w:pStyle w:val="EndNoteBibliography"/>
        <w:rPr>
          <w:noProof w:val="0"/>
          <w:lang w:val="en-AU"/>
        </w:rPr>
      </w:pPr>
      <w:bookmarkStart w:id="824" w:name="_Hlk189945178"/>
      <w:r>
        <w:rPr>
          <w:noProof w:val="0"/>
          <w:lang w:val="en-AU"/>
        </w:rPr>
        <w:t xml:space="preserve">Thomas, AC, Howard, J, Nguyen, PL, </w:t>
      </w:r>
      <w:proofErr w:type="spellStart"/>
      <w:r>
        <w:rPr>
          <w:noProof w:val="0"/>
          <w:lang w:val="en-AU"/>
        </w:rPr>
        <w:t>Seimon</w:t>
      </w:r>
      <w:proofErr w:type="spellEnd"/>
      <w:r>
        <w:rPr>
          <w:noProof w:val="0"/>
          <w:lang w:val="en-AU"/>
        </w:rPr>
        <w:t xml:space="preserve">, TA &amp; Goldberg, CS 2018, </w:t>
      </w:r>
      <w:hyperlink r:id="rId600" w:history="1">
        <w:r w:rsidRPr="00E04E42">
          <w:rPr>
            <w:rStyle w:val="Hyperlink"/>
            <w:noProof w:val="0"/>
            <w:lang w:val="en-AU"/>
          </w:rPr>
          <w:t>eDNA Sampler: a fully integrated environmental DNA sampling system</w:t>
        </w:r>
      </w:hyperlink>
      <w:r>
        <w:rPr>
          <w:noProof w:val="0"/>
          <w:lang w:val="en-AU"/>
        </w:rPr>
        <w:t xml:space="preserve">, </w:t>
      </w:r>
      <w:r>
        <w:rPr>
          <w:i/>
          <w:iCs/>
          <w:noProof w:val="0"/>
          <w:lang w:val="en-AU"/>
        </w:rPr>
        <w:t>Methods in Ecology and Evolution</w:t>
      </w:r>
      <w:r>
        <w:rPr>
          <w:noProof w:val="0"/>
          <w:lang w:val="en-AU"/>
        </w:rPr>
        <w:t xml:space="preserve">, vol. 9, no. 6, pp. 1379-1385, DOI: </w:t>
      </w:r>
      <w:r w:rsidRPr="00E04E42">
        <w:rPr>
          <w:noProof w:val="0"/>
          <w:lang w:val="en-AU"/>
        </w:rPr>
        <w:t>10.1111/2041-210X.12994</w:t>
      </w:r>
      <w:r>
        <w:rPr>
          <w:noProof w:val="0"/>
          <w:lang w:val="en-AU"/>
        </w:rPr>
        <w:t xml:space="preserve">. </w:t>
      </w:r>
    </w:p>
    <w:bookmarkEnd w:id="824"/>
    <w:p w14:paraId="666B2C27" w14:textId="54A02440" w:rsidR="00C4635B" w:rsidRPr="00DD01E4" w:rsidRDefault="00C4635B" w:rsidP="00C4635B">
      <w:pPr>
        <w:spacing w:line="240" w:lineRule="auto"/>
        <w:rPr>
          <w:lang w:eastAsia="ja-JP"/>
        </w:rPr>
      </w:pPr>
      <w:r w:rsidRPr="00757E85">
        <w:rPr>
          <w:lang w:eastAsia="ja-JP"/>
        </w:rPr>
        <w:t>Thompson</w:t>
      </w:r>
      <w:r w:rsidRPr="00581E99">
        <w:rPr>
          <w:lang w:eastAsia="ja-JP"/>
        </w:rPr>
        <w:t>,</w:t>
      </w:r>
      <w:r w:rsidRPr="00757E85">
        <w:rPr>
          <w:lang w:eastAsia="ja-JP"/>
        </w:rPr>
        <w:t xml:space="preserve"> WL 2004, </w:t>
      </w:r>
      <w:hyperlink r:id="rId601" w:history="1">
        <w:r w:rsidRPr="00581E99">
          <w:rPr>
            <w:rStyle w:val="Hyperlink"/>
          </w:rPr>
          <w:t xml:space="preserve">Sampling </w:t>
        </w:r>
        <w:r w:rsidRPr="00581E99">
          <w:rPr>
            <w:rStyle w:val="Hyperlink"/>
            <w:lang w:eastAsia="ja-JP"/>
          </w:rPr>
          <w:t>r</w:t>
        </w:r>
        <w:r w:rsidRPr="00581E99">
          <w:rPr>
            <w:rStyle w:val="Hyperlink"/>
          </w:rPr>
          <w:t xml:space="preserve">are or </w:t>
        </w:r>
        <w:r w:rsidRPr="00581E99">
          <w:rPr>
            <w:rStyle w:val="Hyperlink"/>
            <w:lang w:eastAsia="ja-JP"/>
          </w:rPr>
          <w:t>e</w:t>
        </w:r>
        <w:r w:rsidRPr="00581E99">
          <w:rPr>
            <w:rStyle w:val="Hyperlink"/>
          </w:rPr>
          <w:t xml:space="preserve">lusive </w:t>
        </w:r>
        <w:r w:rsidRPr="00581E99">
          <w:rPr>
            <w:rStyle w:val="Hyperlink"/>
            <w:lang w:eastAsia="ja-JP"/>
          </w:rPr>
          <w:t>s</w:t>
        </w:r>
        <w:r w:rsidRPr="00581E99">
          <w:rPr>
            <w:rStyle w:val="Hyperlink"/>
          </w:rPr>
          <w:t xml:space="preserve">pecies </w:t>
        </w:r>
        <w:r w:rsidRPr="00581E99">
          <w:rPr>
            <w:rStyle w:val="Hyperlink"/>
            <w:lang w:eastAsia="ja-JP"/>
          </w:rPr>
          <w:t>c</w:t>
        </w:r>
        <w:r w:rsidRPr="00581E99">
          <w:rPr>
            <w:rStyle w:val="Hyperlink"/>
          </w:rPr>
          <w:t xml:space="preserve">oncepts, </w:t>
        </w:r>
        <w:r w:rsidRPr="00581E99">
          <w:rPr>
            <w:rStyle w:val="Hyperlink"/>
            <w:lang w:eastAsia="ja-JP"/>
          </w:rPr>
          <w:t>d</w:t>
        </w:r>
        <w:r w:rsidRPr="00581E99">
          <w:rPr>
            <w:rStyle w:val="Hyperlink"/>
          </w:rPr>
          <w:t xml:space="preserve">esigns, and </w:t>
        </w:r>
        <w:r w:rsidRPr="00581E99">
          <w:rPr>
            <w:rStyle w:val="Hyperlink"/>
            <w:lang w:eastAsia="ja-JP"/>
          </w:rPr>
          <w:t>t</w:t>
        </w:r>
        <w:r w:rsidRPr="00581E99">
          <w:rPr>
            <w:rStyle w:val="Hyperlink"/>
          </w:rPr>
          <w:t xml:space="preserve">echniques for </w:t>
        </w:r>
        <w:r w:rsidRPr="00581E99">
          <w:rPr>
            <w:rStyle w:val="Hyperlink"/>
            <w:lang w:eastAsia="ja-JP"/>
          </w:rPr>
          <w:t>e</w:t>
        </w:r>
        <w:r w:rsidRPr="00581E99">
          <w:rPr>
            <w:rStyle w:val="Hyperlink"/>
          </w:rPr>
          <w:t xml:space="preserve">stimating </w:t>
        </w:r>
        <w:r w:rsidRPr="00581E99">
          <w:rPr>
            <w:rStyle w:val="Hyperlink"/>
            <w:lang w:eastAsia="ja-JP"/>
          </w:rPr>
          <w:t>p</w:t>
        </w:r>
        <w:r w:rsidRPr="00581E99">
          <w:rPr>
            <w:rStyle w:val="Hyperlink"/>
          </w:rPr>
          <w:t xml:space="preserve">opulation </w:t>
        </w:r>
        <w:r w:rsidRPr="00581E99">
          <w:rPr>
            <w:rStyle w:val="Hyperlink"/>
            <w:lang w:eastAsia="ja-JP"/>
          </w:rPr>
          <w:t>p</w:t>
        </w:r>
        <w:r w:rsidRPr="00581E99">
          <w:rPr>
            <w:rStyle w:val="Hyperlink"/>
          </w:rPr>
          <w:t>arameters</w:t>
        </w:r>
      </w:hyperlink>
      <w:r w:rsidRPr="00581E99">
        <w:rPr>
          <w:lang w:eastAsia="ja-JP"/>
        </w:rPr>
        <w:t xml:space="preserve">, </w:t>
      </w:r>
      <w:r w:rsidRPr="00757E85">
        <w:rPr>
          <w:lang w:eastAsia="ja-JP"/>
        </w:rPr>
        <w:t>Island Press: Washington DC</w:t>
      </w:r>
      <w:r w:rsidRPr="00581E99">
        <w:rPr>
          <w:lang w:eastAsia="ja-JP"/>
        </w:rPr>
        <w:t>, accessed 21 March 2023.</w:t>
      </w:r>
    </w:p>
    <w:p w14:paraId="60D0C09D" w14:textId="5EDD496A" w:rsidR="00FA1E54" w:rsidRDefault="00FA1E54" w:rsidP="00C80491">
      <w:pPr>
        <w:pStyle w:val="EndNoteBibliography"/>
        <w:rPr>
          <w:noProof w:val="0"/>
          <w:lang w:val="en-AU"/>
        </w:rPr>
      </w:pPr>
      <w:r w:rsidRPr="00846769">
        <w:rPr>
          <w:noProof w:val="0"/>
          <w:lang w:val="en-AU"/>
        </w:rPr>
        <w:t xml:space="preserve">Thompson, JK </w:t>
      </w:r>
      <w:r w:rsidR="00846769" w:rsidRPr="00846769">
        <w:rPr>
          <w:noProof w:val="0"/>
          <w:lang w:val="en-AU"/>
        </w:rPr>
        <w:t xml:space="preserve">&amp; </w:t>
      </w:r>
      <w:proofErr w:type="spellStart"/>
      <w:r w:rsidR="00846769" w:rsidRPr="00846769">
        <w:rPr>
          <w:noProof w:val="0"/>
          <w:lang w:val="en-AU"/>
        </w:rPr>
        <w:t>Parchaso</w:t>
      </w:r>
      <w:proofErr w:type="spellEnd"/>
      <w:r w:rsidR="00846769" w:rsidRPr="00846769">
        <w:rPr>
          <w:noProof w:val="0"/>
          <w:lang w:val="en-AU"/>
        </w:rPr>
        <w:t xml:space="preserve">, F </w:t>
      </w:r>
      <w:r w:rsidRPr="00846769">
        <w:rPr>
          <w:noProof w:val="0"/>
          <w:lang w:val="en-AU"/>
        </w:rPr>
        <w:t xml:space="preserve">2012, </w:t>
      </w:r>
      <w:hyperlink r:id="rId602" w:history="1">
        <w:r w:rsidR="00846769" w:rsidRPr="00846769">
          <w:rPr>
            <w:rStyle w:val="Hyperlink"/>
            <w:noProof w:val="0"/>
            <w:lang w:val="en-AU"/>
          </w:rPr>
          <w:t xml:space="preserve">Conceptual model for </w:t>
        </w:r>
        <w:r w:rsidR="00846769" w:rsidRPr="00846769">
          <w:rPr>
            <w:rStyle w:val="Hyperlink"/>
            <w:i/>
            <w:iCs/>
            <w:noProof w:val="0"/>
            <w:lang w:val="en-AU"/>
          </w:rPr>
          <w:t xml:space="preserve">Potamocorbula amurensis. </w:t>
        </w:r>
        <w:r w:rsidR="00846769" w:rsidRPr="00846769">
          <w:rPr>
            <w:rStyle w:val="Hyperlink"/>
            <w:noProof w:val="0"/>
            <w:lang w:val="en-AU"/>
          </w:rPr>
          <w:t>DRERIP Conceptual Model</w:t>
        </w:r>
      </w:hyperlink>
      <w:r w:rsidR="00846769" w:rsidRPr="00846769">
        <w:rPr>
          <w:noProof w:val="0"/>
          <w:lang w:val="en-AU"/>
        </w:rPr>
        <w:t xml:space="preserve">, Sacramento (CA). Ecosystem Restoration Program, pp47. </w:t>
      </w:r>
    </w:p>
    <w:p w14:paraId="54C7EBCD" w14:textId="580AE3C3" w:rsidR="00001DDB" w:rsidRPr="00001DDB" w:rsidRDefault="00001DDB" w:rsidP="00C80491">
      <w:pPr>
        <w:pStyle w:val="EndNoteBibliography"/>
        <w:rPr>
          <w:noProof w:val="0"/>
          <w:lang w:val="en-AU"/>
        </w:rPr>
      </w:pPr>
      <w:r>
        <w:rPr>
          <w:noProof w:val="0"/>
          <w:lang w:val="en-AU"/>
        </w:rPr>
        <w:t xml:space="preserve">Tobin, PC, Berec L &amp; </w:t>
      </w:r>
      <w:proofErr w:type="spellStart"/>
      <w:r>
        <w:rPr>
          <w:noProof w:val="0"/>
          <w:lang w:val="en-AU"/>
        </w:rPr>
        <w:t>Liebhold</w:t>
      </w:r>
      <w:proofErr w:type="spellEnd"/>
      <w:r>
        <w:rPr>
          <w:noProof w:val="0"/>
          <w:lang w:val="en-AU"/>
        </w:rPr>
        <w:t xml:space="preserve">, AM 2011, </w:t>
      </w:r>
      <w:hyperlink r:id="rId603" w:history="1">
        <w:r w:rsidRPr="00001DDB">
          <w:rPr>
            <w:rStyle w:val="Hyperlink"/>
            <w:noProof w:val="0"/>
            <w:lang w:val="en-AU"/>
          </w:rPr>
          <w:t>Exploiting Allee effects for managing biological invasions</w:t>
        </w:r>
      </w:hyperlink>
      <w:r>
        <w:rPr>
          <w:noProof w:val="0"/>
          <w:lang w:val="en-AU"/>
        </w:rPr>
        <w:t xml:space="preserve">, </w:t>
      </w:r>
      <w:r>
        <w:rPr>
          <w:i/>
          <w:iCs/>
          <w:noProof w:val="0"/>
          <w:lang w:val="en-AU"/>
        </w:rPr>
        <w:t xml:space="preserve">Ecology Letters, </w:t>
      </w:r>
      <w:r>
        <w:rPr>
          <w:noProof w:val="0"/>
          <w:lang w:val="en-AU"/>
        </w:rPr>
        <w:t xml:space="preserve">vol. 14, no. 6, pp. 615-624, DOI: </w:t>
      </w:r>
      <w:r w:rsidRPr="00001DDB">
        <w:rPr>
          <w:noProof w:val="0"/>
          <w:lang w:val="en-AU"/>
        </w:rPr>
        <w:t>10.1111/j.1461-0248.2011.01614.x</w:t>
      </w:r>
      <w:r>
        <w:rPr>
          <w:noProof w:val="0"/>
          <w:lang w:val="en-AU"/>
        </w:rPr>
        <w:t>.</w:t>
      </w:r>
    </w:p>
    <w:p w14:paraId="46462338" w14:textId="598AD285" w:rsidR="00C80491" w:rsidRDefault="00C80491" w:rsidP="00C80491">
      <w:pPr>
        <w:pStyle w:val="EndNoteBibliography"/>
        <w:rPr>
          <w:noProof w:val="0"/>
          <w:lang w:val="en-AU"/>
        </w:rPr>
      </w:pPr>
      <w:proofErr w:type="spellStart"/>
      <w:r w:rsidRPr="00C80491">
        <w:rPr>
          <w:noProof w:val="0"/>
          <w:lang w:val="en-AU"/>
        </w:rPr>
        <w:t>Trebitz</w:t>
      </w:r>
      <w:proofErr w:type="spellEnd"/>
      <w:r w:rsidRPr="00C80491">
        <w:rPr>
          <w:noProof w:val="0"/>
          <w:lang w:val="en-AU"/>
        </w:rPr>
        <w:t xml:space="preserve">, AS, Hoffman, JC, Darling, JA, Pilgrim, EM, Kelly, JR, Brown, EA, </w:t>
      </w:r>
      <w:proofErr w:type="spellStart"/>
      <w:r w:rsidRPr="00C80491">
        <w:rPr>
          <w:noProof w:val="0"/>
          <w:lang w:val="en-AU"/>
        </w:rPr>
        <w:t>Chadderton</w:t>
      </w:r>
      <w:proofErr w:type="spellEnd"/>
      <w:r w:rsidRPr="00C80491">
        <w:rPr>
          <w:noProof w:val="0"/>
          <w:lang w:val="en-AU"/>
        </w:rPr>
        <w:t xml:space="preserve">, WL, Egan, SP, Grey, EK, </w:t>
      </w:r>
      <w:proofErr w:type="spellStart"/>
      <w:r w:rsidRPr="00C80491">
        <w:rPr>
          <w:noProof w:val="0"/>
          <w:lang w:val="en-AU"/>
        </w:rPr>
        <w:t>Hashsham</w:t>
      </w:r>
      <w:proofErr w:type="spellEnd"/>
      <w:r w:rsidRPr="00C80491">
        <w:rPr>
          <w:noProof w:val="0"/>
          <w:lang w:val="en-AU"/>
        </w:rPr>
        <w:t xml:space="preserve">, SA, </w:t>
      </w:r>
      <w:proofErr w:type="spellStart"/>
      <w:r w:rsidRPr="00C80491">
        <w:rPr>
          <w:noProof w:val="0"/>
          <w:lang w:val="en-AU"/>
        </w:rPr>
        <w:t>Klymus</w:t>
      </w:r>
      <w:proofErr w:type="spellEnd"/>
      <w:r w:rsidRPr="00C80491">
        <w:rPr>
          <w:noProof w:val="0"/>
          <w:lang w:val="en-AU"/>
        </w:rPr>
        <w:t xml:space="preserve">, KE, Mahon, AR, Ram, JL, Schultz, MT, Stepien, CA &amp; Schardt, JC 2017, </w:t>
      </w:r>
      <w:hyperlink r:id="rId604" w:history="1">
        <w:r w:rsidRPr="00C80491">
          <w:rPr>
            <w:rStyle w:val="Hyperlink"/>
            <w:noProof w:val="0"/>
            <w:lang w:val="en-AU"/>
          </w:rPr>
          <w:t>Early detection monitoring for aquatic non-indigenous species: optimizing surveillance, incorporating advanced technologies, and identifying research needs</w:t>
        </w:r>
      </w:hyperlink>
      <w:r w:rsidRPr="00C80491">
        <w:rPr>
          <w:noProof w:val="0"/>
          <w:lang w:val="en-AU"/>
        </w:rPr>
        <w:t xml:space="preserve">, </w:t>
      </w:r>
      <w:r w:rsidRPr="00C80491">
        <w:rPr>
          <w:i/>
          <w:iCs/>
          <w:noProof w:val="0"/>
          <w:lang w:val="en-AU"/>
        </w:rPr>
        <w:t>Journal of Environmental Management,</w:t>
      </w:r>
      <w:r w:rsidRPr="00C80491">
        <w:rPr>
          <w:noProof w:val="0"/>
          <w:lang w:val="en-AU"/>
        </w:rPr>
        <w:t xml:space="preserve"> vol. 202, no. 1, pp. 299-310, DOI: 10.1016/j.jenvman.2017.07.045</w:t>
      </w:r>
      <w:r>
        <w:rPr>
          <w:noProof w:val="0"/>
          <w:lang w:val="en-AU"/>
        </w:rPr>
        <w:t>.</w:t>
      </w:r>
    </w:p>
    <w:p w14:paraId="6AFD80B0" w14:textId="56582EB0" w:rsidR="002039BE" w:rsidRPr="00846769" w:rsidRDefault="002039BE" w:rsidP="00C80491">
      <w:pPr>
        <w:pStyle w:val="EndNoteBibliography"/>
        <w:rPr>
          <w:noProof w:val="0"/>
          <w:lang w:val="en-AU"/>
        </w:rPr>
      </w:pPr>
      <w:r>
        <w:rPr>
          <w:noProof w:val="0"/>
          <w:lang w:val="en-AU"/>
        </w:rPr>
        <w:t xml:space="preserve">Troost, K, 2009, </w:t>
      </w:r>
      <w:hyperlink r:id="rId605" w:history="1">
        <w:r w:rsidRPr="002039BE">
          <w:rPr>
            <w:rStyle w:val="Hyperlink"/>
            <w:noProof w:val="0"/>
            <w:lang w:val="en-AU"/>
          </w:rPr>
          <w:t>Pacific oysters in Dutch estuaries: Causes of success and consequences for native bivalves</w:t>
        </w:r>
      </w:hyperlink>
      <w:r>
        <w:rPr>
          <w:noProof w:val="0"/>
          <w:lang w:val="en-AU"/>
        </w:rPr>
        <w:t>, PhD thesis, University of Groningen, Haren, the Netherlands.</w:t>
      </w:r>
    </w:p>
    <w:p w14:paraId="5F266584" w14:textId="36BAED21" w:rsidR="006939E1" w:rsidRDefault="00B5740F" w:rsidP="00C80491">
      <w:pPr>
        <w:pStyle w:val="EndNoteBibliography"/>
        <w:rPr>
          <w:noProof w:val="0"/>
          <w:lang w:val="en-AU"/>
        </w:rPr>
      </w:pPr>
      <w:r w:rsidRPr="00DD01E4">
        <w:rPr>
          <w:noProof w:val="0"/>
          <w:lang w:val="en-AU"/>
        </w:rPr>
        <w:t xml:space="preserve">Udhayakumar, M &amp; </w:t>
      </w:r>
      <w:proofErr w:type="spellStart"/>
      <w:r w:rsidRPr="00DD01E4">
        <w:rPr>
          <w:noProof w:val="0"/>
          <w:lang w:val="en-AU"/>
        </w:rPr>
        <w:t>Karande</w:t>
      </w:r>
      <w:proofErr w:type="spellEnd"/>
      <w:r w:rsidRPr="00DD01E4">
        <w:rPr>
          <w:noProof w:val="0"/>
          <w:lang w:val="en-AU"/>
        </w:rPr>
        <w:t xml:space="preserve">, A 1989, </w:t>
      </w:r>
      <w:hyperlink r:id="rId606" w:history="1">
        <w:r w:rsidRPr="00DD01E4">
          <w:rPr>
            <w:rStyle w:val="Hyperlink"/>
            <w:noProof w:val="0"/>
            <w:lang w:val="en-AU"/>
          </w:rPr>
          <w:t xml:space="preserve">Byssal threads of </w:t>
        </w:r>
        <w:r w:rsidRPr="00DD01E4">
          <w:rPr>
            <w:rStyle w:val="Hyperlink"/>
            <w:i/>
            <w:noProof w:val="0"/>
            <w:lang w:val="en-AU"/>
          </w:rPr>
          <w:t>Mytilopsis sallei</w:t>
        </w:r>
        <w:r w:rsidRPr="00DD01E4">
          <w:rPr>
            <w:rStyle w:val="Hyperlink"/>
            <w:noProof w:val="0"/>
            <w:lang w:val="en-AU"/>
          </w:rPr>
          <w:t xml:space="preserve"> (</w:t>
        </w:r>
        <w:proofErr w:type="spellStart"/>
        <w:r w:rsidRPr="00DD01E4">
          <w:rPr>
            <w:rStyle w:val="Hyperlink"/>
            <w:noProof w:val="0"/>
            <w:lang w:val="en-AU"/>
          </w:rPr>
          <w:t>Recluz</w:t>
        </w:r>
        <w:proofErr w:type="spellEnd"/>
        <w:r w:rsidRPr="00DD01E4">
          <w:rPr>
            <w:rStyle w:val="Hyperlink"/>
            <w:noProof w:val="0"/>
            <w:lang w:val="en-AU"/>
          </w:rPr>
          <w:t>) and their adhesive strength</w:t>
        </w:r>
      </w:hyperlink>
      <w:r w:rsidRPr="00DD01E4">
        <w:rPr>
          <w:noProof w:val="0"/>
          <w:lang w:val="en-AU"/>
        </w:rPr>
        <w:t xml:space="preserve">, </w:t>
      </w:r>
      <w:r w:rsidRPr="00DD01E4">
        <w:rPr>
          <w:i/>
          <w:noProof w:val="0"/>
          <w:lang w:val="en-AU"/>
        </w:rPr>
        <w:t>Proceedings: Animal Sciences</w:t>
      </w:r>
      <w:r w:rsidRPr="00DD01E4">
        <w:rPr>
          <w:noProof w:val="0"/>
          <w:lang w:val="en-AU"/>
        </w:rPr>
        <w:t>, vol. 98, no. 1, pp. 65-76</w:t>
      </w:r>
      <w:r w:rsidR="00DD01E4">
        <w:rPr>
          <w:noProof w:val="0"/>
          <w:lang w:val="en-AU"/>
        </w:rPr>
        <w:t xml:space="preserve">, DOI: </w:t>
      </w:r>
      <w:r w:rsidR="00DD01E4" w:rsidRPr="00DD01E4">
        <w:rPr>
          <w:noProof w:val="0"/>
          <w:lang w:val="en-AU"/>
        </w:rPr>
        <w:t>10.1007/BF03179566</w:t>
      </w:r>
      <w:r w:rsidR="00DD01E4">
        <w:rPr>
          <w:noProof w:val="0"/>
          <w:lang w:val="en-AU"/>
        </w:rPr>
        <w:t xml:space="preserve">. </w:t>
      </w:r>
    </w:p>
    <w:p w14:paraId="4F917C17" w14:textId="35929103" w:rsidR="00E50272" w:rsidRPr="00E50272" w:rsidRDefault="00E50272" w:rsidP="00C80491">
      <w:pPr>
        <w:pStyle w:val="EndNoteBibliography"/>
        <w:rPr>
          <w:noProof w:val="0"/>
          <w:lang w:val="en-AU"/>
        </w:rPr>
      </w:pPr>
      <w:proofErr w:type="spellStart"/>
      <w:r>
        <w:rPr>
          <w:noProof w:val="0"/>
          <w:lang w:val="en-AU"/>
        </w:rPr>
        <w:t>Vakily</w:t>
      </w:r>
      <w:proofErr w:type="spellEnd"/>
      <w:r>
        <w:rPr>
          <w:noProof w:val="0"/>
          <w:lang w:val="en-AU"/>
        </w:rPr>
        <w:t xml:space="preserve">, JM 1989, </w:t>
      </w:r>
      <w:hyperlink r:id="rId607" w:history="1">
        <w:r w:rsidRPr="00E50272">
          <w:rPr>
            <w:rStyle w:val="Hyperlink"/>
            <w:noProof w:val="0"/>
            <w:lang w:val="en-AU"/>
          </w:rPr>
          <w:t xml:space="preserve">The biology and culture of mussels of the genus </w:t>
        </w:r>
        <w:r w:rsidRPr="00E50272">
          <w:rPr>
            <w:rStyle w:val="Hyperlink"/>
            <w:i/>
            <w:iCs/>
            <w:noProof w:val="0"/>
            <w:lang w:val="en-AU"/>
          </w:rPr>
          <w:t>Perna,</w:t>
        </w:r>
      </w:hyperlink>
      <w:r>
        <w:rPr>
          <w:i/>
          <w:iCs/>
          <w:noProof w:val="0"/>
          <w:lang w:val="en-AU"/>
        </w:rPr>
        <w:t xml:space="preserve"> </w:t>
      </w:r>
      <w:r w:rsidRPr="00046E18">
        <w:rPr>
          <w:i/>
          <w:iCs/>
          <w:noProof w:val="0"/>
          <w:lang w:val="en-AU"/>
        </w:rPr>
        <w:t>ICLARM Studies and Reviews,</w:t>
      </w:r>
      <w:r>
        <w:rPr>
          <w:noProof w:val="0"/>
          <w:lang w:val="en-AU"/>
        </w:rPr>
        <w:t xml:space="preserve"> vol. 17, </w:t>
      </w:r>
      <w:r w:rsidR="00046E18">
        <w:rPr>
          <w:noProof w:val="0"/>
          <w:lang w:val="en-AU"/>
        </w:rPr>
        <w:t xml:space="preserve">63 p. </w:t>
      </w:r>
      <w:r>
        <w:rPr>
          <w:noProof w:val="0"/>
          <w:lang w:val="en-AU"/>
        </w:rPr>
        <w:t xml:space="preserve"> </w:t>
      </w:r>
    </w:p>
    <w:p w14:paraId="3743002D" w14:textId="2C843634" w:rsidR="006939E1" w:rsidRPr="00DD01E4" w:rsidRDefault="00B5740F" w:rsidP="00C80491">
      <w:pPr>
        <w:pStyle w:val="EndNoteBibliography"/>
        <w:rPr>
          <w:noProof w:val="0"/>
          <w:lang w:val="en-AU"/>
        </w:rPr>
      </w:pPr>
      <w:r w:rsidRPr="00DD01E4">
        <w:rPr>
          <w:noProof w:val="0"/>
          <w:lang w:val="en-AU"/>
        </w:rPr>
        <w:t xml:space="preserve">Vallejo Jr, B, </w:t>
      </w:r>
      <w:proofErr w:type="spellStart"/>
      <w:r w:rsidRPr="00DD01E4">
        <w:rPr>
          <w:noProof w:val="0"/>
          <w:lang w:val="en-AU"/>
        </w:rPr>
        <w:t>Conejar-Espedido</w:t>
      </w:r>
      <w:proofErr w:type="spellEnd"/>
      <w:r w:rsidRPr="00DD01E4">
        <w:rPr>
          <w:noProof w:val="0"/>
          <w:lang w:val="en-AU"/>
        </w:rPr>
        <w:t xml:space="preserve">, J, </w:t>
      </w:r>
      <w:proofErr w:type="spellStart"/>
      <w:r w:rsidRPr="00DD01E4">
        <w:rPr>
          <w:noProof w:val="0"/>
          <w:lang w:val="en-AU"/>
        </w:rPr>
        <w:t>Manubag</w:t>
      </w:r>
      <w:proofErr w:type="spellEnd"/>
      <w:r w:rsidRPr="00DD01E4">
        <w:rPr>
          <w:noProof w:val="0"/>
          <w:lang w:val="en-AU"/>
        </w:rPr>
        <w:t xml:space="preserve">, L, Artiaga, KCC, </w:t>
      </w:r>
      <w:proofErr w:type="spellStart"/>
      <w:r w:rsidRPr="00DD01E4">
        <w:rPr>
          <w:noProof w:val="0"/>
          <w:lang w:val="en-AU"/>
        </w:rPr>
        <w:t>Damatac</w:t>
      </w:r>
      <w:proofErr w:type="spellEnd"/>
      <w:r w:rsidRPr="00DD01E4">
        <w:rPr>
          <w:noProof w:val="0"/>
          <w:lang w:val="en-AU"/>
        </w:rPr>
        <w:t xml:space="preserve"> II, AM, Imperial, ICV, Itong, TAB, Fontanilla, IK &amp; Cao, EP 2017, </w:t>
      </w:r>
      <w:hyperlink r:id="rId608" w:history="1">
        <w:r w:rsidRPr="00DD01E4">
          <w:rPr>
            <w:rStyle w:val="Hyperlink"/>
            <w:noProof w:val="0"/>
            <w:lang w:val="en-AU"/>
          </w:rPr>
          <w:t xml:space="preserve">First record of the Charru mussel </w:t>
        </w:r>
        <w:r w:rsidRPr="00DD01E4">
          <w:rPr>
            <w:rStyle w:val="Hyperlink"/>
            <w:i/>
            <w:noProof w:val="0"/>
            <w:lang w:val="en-AU"/>
          </w:rPr>
          <w:t xml:space="preserve">Mytella </w:t>
        </w:r>
        <w:proofErr w:type="spellStart"/>
        <w:r w:rsidRPr="00DD01E4">
          <w:rPr>
            <w:rStyle w:val="Hyperlink"/>
            <w:i/>
            <w:noProof w:val="0"/>
            <w:lang w:val="en-AU"/>
          </w:rPr>
          <w:t>charruana</w:t>
        </w:r>
        <w:proofErr w:type="spellEnd"/>
        <w:r w:rsidRPr="00DD01E4">
          <w:rPr>
            <w:rStyle w:val="Hyperlink"/>
            <w:noProof w:val="0"/>
            <w:lang w:val="en-AU"/>
          </w:rPr>
          <w:t xml:space="preserve"> </w:t>
        </w:r>
        <w:proofErr w:type="spellStart"/>
        <w:r w:rsidRPr="00DD01E4">
          <w:rPr>
            <w:rStyle w:val="Hyperlink"/>
            <w:noProof w:val="0"/>
            <w:lang w:val="en-AU"/>
          </w:rPr>
          <w:t>d'Orbignyi</w:t>
        </w:r>
        <w:proofErr w:type="spellEnd"/>
        <w:r w:rsidRPr="00DD01E4">
          <w:rPr>
            <w:rStyle w:val="Hyperlink"/>
            <w:noProof w:val="0"/>
            <w:lang w:val="en-AU"/>
          </w:rPr>
          <w:t>, 1846 (Bivalvia: Mytilidae) from Manila Bay, Luzon, Philippines</w:t>
        </w:r>
      </w:hyperlink>
      <w:r w:rsidRPr="00DD01E4">
        <w:rPr>
          <w:noProof w:val="0"/>
          <w:lang w:val="en-AU"/>
        </w:rPr>
        <w:t xml:space="preserve">, </w:t>
      </w:r>
      <w:proofErr w:type="spellStart"/>
      <w:r w:rsidRPr="00DD01E4">
        <w:rPr>
          <w:i/>
          <w:noProof w:val="0"/>
          <w:lang w:val="en-AU"/>
        </w:rPr>
        <w:t>BioInvasions</w:t>
      </w:r>
      <w:proofErr w:type="spellEnd"/>
      <w:r w:rsidRPr="00DD01E4">
        <w:rPr>
          <w:i/>
          <w:noProof w:val="0"/>
          <w:lang w:val="en-AU"/>
        </w:rPr>
        <w:t xml:space="preserve"> Record</w:t>
      </w:r>
      <w:r w:rsidR="00DD01E4">
        <w:rPr>
          <w:i/>
          <w:noProof w:val="0"/>
          <w:lang w:val="en-AU"/>
        </w:rPr>
        <w:t>s</w:t>
      </w:r>
      <w:r w:rsidRPr="00DD01E4">
        <w:rPr>
          <w:noProof w:val="0"/>
          <w:lang w:val="en-AU"/>
        </w:rPr>
        <w:t>, vol. 6, no. 1</w:t>
      </w:r>
      <w:r w:rsidR="00DD01E4">
        <w:rPr>
          <w:noProof w:val="0"/>
          <w:lang w:val="en-AU"/>
        </w:rPr>
        <w:t xml:space="preserve">, pp. 49-55, DOI: </w:t>
      </w:r>
      <w:r w:rsidR="00DD01E4" w:rsidRPr="00DD01E4">
        <w:rPr>
          <w:noProof w:val="0"/>
          <w:lang w:val="en-AU"/>
        </w:rPr>
        <w:t>10.3391/bir.2017.6.1.08</w:t>
      </w:r>
      <w:r w:rsidR="00DD01E4">
        <w:rPr>
          <w:noProof w:val="0"/>
          <w:lang w:val="en-AU"/>
        </w:rPr>
        <w:t>.</w:t>
      </w:r>
    </w:p>
    <w:p w14:paraId="43A20980" w14:textId="1797050D" w:rsidR="00C25A55" w:rsidRPr="00DD01E4" w:rsidRDefault="00C80491" w:rsidP="00C80491">
      <w:pPr>
        <w:spacing w:line="240" w:lineRule="auto"/>
        <w:rPr>
          <w:lang w:eastAsia="ja-JP"/>
        </w:rPr>
      </w:pPr>
      <w:r>
        <w:rPr>
          <w:lang w:eastAsia="ja-JP"/>
        </w:rPr>
        <w:t>V</w:t>
      </w:r>
      <w:r w:rsidR="00C25A55" w:rsidRPr="00DD01E4">
        <w:rPr>
          <w:lang w:eastAsia="ja-JP"/>
        </w:rPr>
        <w:t xml:space="preserve">an Havre, Z &amp; Whittle, P 2015, </w:t>
      </w:r>
      <w:hyperlink r:id="rId609" w:history="1">
        <w:r w:rsidR="00C25A55" w:rsidRPr="00DD01E4">
          <w:rPr>
            <w:rStyle w:val="Hyperlink"/>
          </w:rPr>
          <w:t>Designing surveillance for emergency response</w:t>
        </w:r>
      </w:hyperlink>
      <w:r w:rsidR="00C25A55" w:rsidRPr="00DD01E4">
        <w:rPr>
          <w:i/>
          <w:iCs/>
          <w:lang w:eastAsia="ja-JP"/>
        </w:rPr>
        <w:t>,</w:t>
      </w:r>
      <w:r w:rsidR="00C25A55" w:rsidRPr="00DD01E4">
        <w:rPr>
          <w:lang w:eastAsia="ja-JP"/>
        </w:rPr>
        <w:t xml:space="preserve"> in Biosecurity Surveillance: Quantitative Approaches, CAB International, Oxfordshire, United Kingdom, pp. 123</w:t>
      </w:r>
      <w:r w:rsidR="00C25A55" w:rsidRPr="00DD01E4">
        <w:t>–</w:t>
      </w:r>
      <w:r w:rsidR="00C25A55" w:rsidRPr="00DD01E4">
        <w:rPr>
          <w:lang w:eastAsia="ja-JP"/>
        </w:rPr>
        <w:t>33</w:t>
      </w:r>
      <w:r w:rsidR="00DD01E4" w:rsidRPr="00DD01E4">
        <w:rPr>
          <w:lang w:eastAsia="ja-JP"/>
        </w:rPr>
        <w:t>, DOI: 10.1079/9781780643595.0123.</w:t>
      </w:r>
    </w:p>
    <w:p w14:paraId="6FD7B017" w14:textId="6F8B3CE9" w:rsidR="006939E1" w:rsidRDefault="00B5740F" w:rsidP="00C80491">
      <w:pPr>
        <w:spacing w:line="240" w:lineRule="auto"/>
        <w:rPr>
          <w:rFonts w:ascii="Calibri" w:hAnsi="Calibri" w:cs="Calibri"/>
        </w:rPr>
      </w:pPr>
      <w:proofErr w:type="spellStart"/>
      <w:r w:rsidRPr="00DD01E4">
        <w:t>Vekhova</w:t>
      </w:r>
      <w:proofErr w:type="spellEnd"/>
      <w:r w:rsidRPr="00DD01E4">
        <w:t xml:space="preserve">, E 2006, </w:t>
      </w:r>
      <w:hyperlink r:id="rId610" w:history="1">
        <w:r w:rsidRPr="00DD01E4">
          <w:rPr>
            <w:rStyle w:val="Hyperlink"/>
          </w:rPr>
          <w:t xml:space="preserve">Reattachment of certain species of </w:t>
        </w:r>
        <w:proofErr w:type="spellStart"/>
        <w:r w:rsidRPr="00DD01E4">
          <w:rPr>
            <w:rStyle w:val="Hyperlink"/>
          </w:rPr>
          <w:t>mytilid</w:t>
        </w:r>
        <w:proofErr w:type="spellEnd"/>
        <w:r w:rsidRPr="00DD01E4">
          <w:rPr>
            <w:rStyle w:val="Hyperlink"/>
          </w:rPr>
          <w:t xml:space="preserve"> bivalves to various substrates</w:t>
        </w:r>
      </w:hyperlink>
      <w:r w:rsidRPr="00DD01E4">
        <w:t xml:space="preserve">, </w:t>
      </w:r>
      <w:r w:rsidRPr="00DD01E4">
        <w:rPr>
          <w:i/>
        </w:rPr>
        <w:t>Russian Journal of Marine Biology</w:t>
      </w:r>
      <w:r w:rsidRPr="00DD01E4">
        <w:t>, vol. 32, no. 5, pp. 308-11</w:t>
      </w:r>
      <w:r w:rsidR="00DD01E4">
        <w:t xml:space="preserve">, DOI: </w:t>
      </w:r>
      <w:r w:rsidR="00DD01E4" w:rsidRPr="00DD01E4">
        <w:rPr>
          <w:rFonts w:ascii="Calibri" w:hAnsi="Calibri" w:cs="Calibri"/>
        </w:rPr>
        <w:t>10.1134/S1063074006050087</w:t>
      </w:r>
      <w:r w:rsidR="00DD01E4">
        <w:rPr>
          <w:rFonts w:ascii="Calibri" w:hAnsi="Calibri" w:cs="Calibri"/>
        </w:rPr>
        <w:t>.</w:t>
      </w:r>
    </w:p>
    <w:p w14:paraId="4ED56A1A" w14:textId="291C8928" w:rsidR="00C70662" w:rsidRPr="00C70662" w:rsidRDefault="00C70662" w:rsidP="00C80491">
      <w:pPr>
        <w:spacing w:line="240" w:lineRule="auto"/>
        <w:rPr>
          <w:rFonts w:ascii="Calibri" w:hAnsi="Calibri" w:cs="Calibri"/>
        </w:rPr>
      </w:pPr>
      <w:bookmarkStart w:id="825" w:name="_Hlk188618896"/>
      <w:r>
        <w:rPr>
          <w:rFonts w:ascii="Calibri" w:hAnsi="Calibri" w:cs="Calibri"/>
        </w:rPr>
        <w:t xml:space="preserve">Viard, F, David, P &amp; Darling, JA 2016, </w:t>
      </w:r>
      <w:hyperlink r:id="rId611" w:history="1">
        <w:r w:rsidRPr="00C70662">
          <w:rPr>
            <w:rStyle w:val="Hyperlink"/>
            <w:rFonts w:ascii="Calibri" w:hAnsi="Calibri" w:cs="Calibri"/>
          </w:rPr>
          <w:t>Marine invasions enter the genomic era: three lessons from the past, and the way forward</w:t>
        </w:r>
      </w:hyperlink>
      <w:r>
        <w:rPr>
          <w:rFonts w:ascii="Calibri" w:hAnsi="Calibri" w:cs="Calibri"/>
        </w:rPr>
        <w:t xml:space="preserve">, </w:t>
      </w:r>
      <w:r>
        <w:rPr>
          <w:rFonts w:ascii="Calibri" w:hAnsi="Calibri" w:cs="Calibri"/>
          <w:i/>
          <w:iCs/>
        </w:rPr>
        <w:t xml:space="preserve">Current Zoology, </w:t>
      </w:r>
      <w:r>
        <w:rPr>
          <w:rFonts w:ascii="Calibri" w:hAnsi="Calibri" w:cs="Calibri"/>
        </w:rPr>
        <w:t xml:space="preserve">vol. 62, no. 6, pp. 629-642, DOI: </w:t>
      </w:r>
      <w:r w:rsidRPr="00C70662">
        <w:rPr>
          <w:rFonts w:ascii="Calibri" w:hAnsi="Calibri" w:cs="Calibri"/>
        </w:rPr>
        <w:t>10.1093/</w:t>
      </w:r>
      <w:proofErr w:type="spellStart"/>
      <w:r w:rsidRPr="00C70662">
        <w:rPr>
          <w:rFonts w:ascii="Calibri" w:hAnsi="Calibri" w:cs="Calibri"/>
        </w:rPr>
        <w:t>cz</w:t>
      </w:r>
      <w:proofErr w:type="spellEnd"/>
      <w:r w:rsidRPr="00C70662">
        <w:rPr>
          <w:rFonts w:ascii="Calibri" w:hAnsi="Calibri" w:cs="Calibri"/>
        </w:rPr>
        <w:t>/zow053</w:t>
      </w:r>
      <w:r>
        <w:rPr>
          <w:rFonts w:ascii="Calibri" w:hAnsi="Calibri" w:cs="Calibri"/>
        </w:rPr>
        <w:t xml:space="preserve">. </w:t>
      </w:r>
    </w:p>
    <w:bookmarkEnd w:id="825"/>
    <w:p w14:paraId="1F897812" w14:textId="6F491B8C" w:rsidR="00381A09" w:rsidRPr="00E50272" w:rsidRDefault="00381A09" w:rsidP="00C80491">
      <w:pPr>
        <w:spacing w:line="240" w:lineRule="auto"/>
        <w:rPr>
          <w:rFonts w:ascii="Calibri" w:hAnsi="Calibri" w:cs="Calibri"/>
        </w:rPr>
      </w:pPr>
      <w:proofErr w:type="spellStart"/>
      <w:r>
        <w:rPr>
          <w:rFonts w:ascii="Calibri" w:hAnsi="Calibri" w:cs="Calibri"/>
        </w:rPr>
        <w:t>Vichkovitten</w:t>
      </w:r>
      <w:proofErr w:type="spellEnd"/>
      <w:r w:rsidR="00E50272">
        <w:rPr>
          <w:rFonts w:ascii="Calibri" w:hAnsi="Calibri" w:cs="Calibri"/>
        </w:rPr>
        <w:t xml:space="preserve">, T, </w:t>
      </w:r>
      <w:proofErr w:type="spellStart"/>
      <w:r w:rsidR="00E50272">
        <w:rPr>
          <w:rFonts w:ascii="Calibri" w:hAnsi="Calibri" w:cs="Calibri"/>
        </w:rPr>
        <w:t>Intarachart</w:t>
      </w:r>
      <w:proofErr w:type="spellEnd"/>
      <w:r w:rsidR="00E50272">
        <w:rPr>
          <w:rFonts w:ascii="Calibri" w:hAnsi="Calibri" w:cs="Calibri"/>
        </w:rPr>
        <w:t xml:space="preserve">, A &amp; </w:t>
      </w:r>
      <w:proofErr w:type="spellStart"/>
      <w:r w:rsidR="00E50272">
        <w:rPr>
          <w:rFonts w:ascii="Calibri" w:hAnsi="Calibri" w:cs="Calibri"/>
        </w:rPr>
        <w:t>Khaodon</w:t>
      </w:r>
      <w:proofErr w:type="spellEnd"/>
      <w:r w:rsidR="00E50272">
        <w:rPr>
          <w:rFonts w:ascii="Calibri" w:hAnsi="Calibri" w:cs="Calibri"/>
        </w:rPr>
        <w:t xml:space="preserve">, K 2017, </w:t>
      </w:r>
      <w:hyperlink r:id="rId612" w:history="1">
        <w:r w:rsidR="00E50272" w:rsidRPr="00E50272">
          <w:rPr>
            <w:rStyle w:val="Hyperlink"/>
            <w:rFonts w:ascii="Calibri" w:hAnsi="Calibri" w:cs="Calibri"/>
          </w:rPr>
          <w:t>Impact of green mussel (</w:t>
        </w:r>
        <w:r w:rsidR="00E50272" w:rsidRPr="00E50272">
          <w:rPr>
            <w:rStyle w:val="Hyperlink"/>
            <w:rFonts w:ascii="Calibri" w:hAnsi="Calibri" w:cs="Calibri"/>
            <w:i/>
            <w:iCs/>
          </w:rPr>
          <w:t>Perna viridis</w:t>
        </w:r>
        <w:r w:rsidR="00E50272" w:rsidRPr="00E50272">
          <w:rPr>
            <w:rStyle w:val="Hyperlink"/>
            <w:rFonts w:ascii="Calibri" w:hAnsi="Calibri" w:cs="Calibri"/>
          </w:rPr>
          <w:t xml:space="preserve">) raft-culture on </w:t>
        </w:r>
        <w:proofErr w:type="spellStart"/>
        <w:r w:rsidR="00E50272" w:rsidRPr="00E50272">
          <w:rPr>
            <w:rStyle w:val="Hyperlink"/>
            <w:rFonts w:ascii="Calibri" w:hAnsi="Calibri" w:cs="Calibri"/>
          </w:rPr>
          <w:t>bentliic</w:t>
        </w:r>
        <w:proofErr w:type="spellEnd"/>
        <w:r w:rsidR="00E50272" w:rsidRPr="00E50272">
          <w:rPr>
            <w:rStyle w:val="Hyperlink"/>
            <w:rFonts w:ascii="Calibri" w:hAnsi="Calibri" w:cs="Calibri"/>
          </w:rPr>
          <w:t xml:space="preserve"> environment in Sriracha coastal water, Thailand</w:t>
        </w:r>
      </w:hyperlink>
      <w:r w:rsidR="00E50272">
        <w:rPr>
          <w:rFonts w:ascii="Calibri" w:hAnsi="Calibri" w:cs="Calibri"/>
        </w:rPr>
        <w:t xml:space="preserve">, </w:t>
      </w:r>
      <w:r w:rsidR="00E50272">
        <w:rPr>
          <w:rFonts w:ascii="Calibri" w:hAnsi="Calibri" w:cs="Calibri"/>
          <w:i/>
          <w:iCs/>
        </w:rPr>
        <w:t xml:space="preserve">GMSARN International Journal, </w:t>
      </w:r>
      <w:r w:rsidR="00E50272">
        <w:rPr>
          <w:rFonts w:ascii="Calibri" w:hAnsi="Calibri" w:cs="Calibri"/>
        </w:rPr>
        <w:t>vol. 11, no. 3, pp. 116-112.</w:t>
      </w:r>
    </w:p>
    <w:p w14:paraId="14ED6364" w14:textId="3334CA1D" w:rsidR="00F47511" w:rsidRDefault="00F47511" w:rsidP="00C80491">
      <w:pPr>
        <w:spacing w:line="240" w:lineRule="auto"/>
        <w:rPr>
          <w:rFonts w:ascii="Calibri" w:hAnsi="Calibri" w:cs="Calibri"/>
        </w:rPr>
      </w:pPr>
      <w:r w:rsidRPr="00F47511">
        <w:rPr>
          <w:rFonts w:ascii="Calibri" w:hAnsi="Calibri" w:cs="Calibri"/>
        </w:rPr>
        <w:t>Wang</w:t>
      </w:r>
      <w:r>
        <w:rPr>
          <w:rFonts w:ascii="Calibri" w:hAnsi="Calibri" w:cs="Calibri"/>
        </w:rPr>
        <w:t>,</w:t>
      </w:r>
      <w:r w:rsidRPr="00F47511">
        <w:rPr>
          <w:rFonts w:ascii="Calibri" w:hAnsi="Calibri" w:cs="Calibri"/>
        </w:rPr>
        <w:t xml:space="preserve"> JJ, Huang</w:t>
      </w:r>
      <w:r>
        <w:rPr>
          <w:rFonts w:ascii="Calibri" w:hAnsi="Calibri" w:cs="Calibri"/>
        </w:rPr>
        <w:t>,</w:t>
      </w:r>
      <w:r w:rsidRPr="00F47511">
        <w:rPr>
          <w:rFonts w:ascii="Calibri" w:hAnsi="Calibri" w:cs="Calibri"/>
        </w:rPr>
        <w:t xml:space="preserve"> ZG, Zheng</w:t>
      </w:r>
      <w:r>
        <w:rPr>
          <w:rFonts w:ascii="Calibri" w:hAnsi="Calibri" w:cs="Calibri"/>
        </w:rPr>
        <w:t>,</w:t>
      </w:r>
      <w:r w:rsidRPr="00F47511">
        <w:rPr>
          <w:rFonts w:ascii="Calibri" w:hAnsi="Calibri" w:cs="Calibri"/>
        </w:rPr>
        <w:t xml:space="preserve"> CX</w:t>
      </w:r>
      <w:r>
        <w:rPr>
          <w:rFonts w:ascii="Calibri" w:hAnsi="Calibri" w:cs="Calibri"/>
        </w:rPr>
        <w:t xml:space="preserve"> &amp; </w:t>
      </w:r>
      <w:r w:rsidRPr="00F47511">
        <w:rPr>
          <w:rFonts w:ascii="Calibri" w:hAnsi="Calibri" w:cs="Calibri"/>
        </w:rPr>
        <w:t>Lin</w:t>
      </w:r>
      <w:r>
        <w:rPr>
          <w:rFonts w:ascii="Calibri" w:hAnsi="Calibri" w:cs="Calibri"/>
        </w:rPr>
        <w:t>,</w:t>
      </w:r>
      <w:r w:rsidRPr="00F47511">
        <w:rPr>
          <w:rFonts w:ascii="Calibri" w:hAnsi="Calibri" w:cs="Calibri"/>
        </w:rPr>
        <w:t xml:space="preserve"> N, 1999</w:t>
      </w:r>
      <w:r>
        <w:rPr>
          <w:rFonts w:ascii="Calibri" w:hAnsi="Calibri" w:cs="Calibri"/>
        </w:rPr>
        <w:t xml:space="preserve">, </w:t>
      </w:r>
      <w:r w:rsidRPr="00F47511">
        <w:rPr>
          <w:rFonts w:ascii="Calibri" w:hAnsi="Calibri" w:cs="Calibri"/>
        </w:rPr>
        <w:t>Population dynamics and structure of alien species Mytilopsis sallei in Fujian, Chin</w:t>
      </w:r>
      <w:r>
        <w:rPr>
          <w:rFonts w:ascii="Calibri" w:hAnsi="Calibri" w:cs="Calibri"/>
        </w:rPr>
        <w:t>a,</w:t>
      </w:r>
      <w:r w:rsidRPr="00F47511">
        <w:rPr>
          <w:rFonts w:ascii="Calibri" w:hAnsi="Calibri" w:cs="Calibri"/>
        </w:rPr>
        <w:t xml:space="preserve"> </w:t>
      </w:r>
      <w:r w:rsidRPr="00F47511">
        <w:rPr>
          <w:rFonts w:ascii="Calibri" w:hAnsi="Calibri" w:cs="Calibri"/>
          <w:i/>
          <w:iCs/>
        </w:rPr>
        <w:t>Journal of Oceanography in Taiwan Strait</w:t>
      </w:r>
      <w:r w:rsidRPr="00F47511">
        <w:rPr>
          <w:rFonts w:ascii="Calibri" w:hAnsi="Calibri" w:cs="Calibri"/>
        </w:rPr>
        <w:t xml:space="preserve">, </w:t>
      </w:r>
      <w:r>
        <w:rPr>
          <w:rFonts w:ascii="Calibri" w:hAnsi="Calibri" w:cs="Calibri"/>
        </w:rPr>
        <w:t xml:space="preserve">vol. </w:t>
      </w:r>
      <w:r w:rsidRPr="00F47511">
        <w:rPr>
          <w:rFonts w:ascii="Calibri" w:hAnsi="Calibri" w:cs="Calibri"/>
        </w:rPr>
        <w:t>18</w:t>
      </w:r>
      <w:r>
        <w:rPr>
          <w:rFonts w:ascii="Calibri" w:hAnsi="Calibri" w:cs="Calibri"/>
        </w:rPr>
        <w:t xml:space="preserve">, pp. </w:t>
      </w:r>
      <w:r w:rsidRPr="00F47511">
        <w:rPr>
          <w:rFonts w:ascii="Calibri" w:hAnsi="Calibri" w:cs="Calibri"/>
        </w:rPr>
        <w:t>372-377.</w:t>
      </w:r>
    </w:p>
    <w:p w14:paraId="27AF0FB6" w14:textId="69ABB23E" w:rsidR="00B25DD3" w:rsidRPr="00B25DD3" w:rsidRDefault="00B25DD3" w:rsidP="00C80491">
      <w:pPr>
        <w:spacing w:line="240" w:lineRule="auto"/>
        <w:rPr>
          <w:rFonts w:ascii="Calibri" w:hAnsi="Calibri" w:cs="Calibri"/>
        </w:rPr>
      </w:pPr>
      <w:r>
        <w:rPr>
          <w:rFonts w:ascii="Calibri" w:hAnsi="Calibri" w:cs="Calibri"/>
        </w:rPr>
        <w:lastRenderedPageBreak/>
        <w:t xml:space="preserve">Wang, H &amp; Guo, X 2008, </w:t>
      </w:r>
      <w:hyperlink r:id="rId613" w:history="1">
        <w:r w:rsidRPr="00B25DD3">
          <w:rPr>
            <w:rStyle w:val="Hyperlink"/>
            <w:rFonts w:ascii="Calibri" w:hAnsi="Calibri" w:cs="Calibri"/>
          </w:rPr>
          <w:t xml:space="preserve">Identification of </w:t>
        </w:r>
        <w:r w:rsidRPr="00B25DD3">
          <w:rPr>
            <w:rStyle w:val="Hyperlink"/>
            <w:rFonts w:ascii="Calibri" w:hAnsi="Calibri" w:cs="Calibri"/>
            <w:i/>
            <w:iCs/>
          </w:rPr>
          <w:t>Crassostrea ariakensis</w:t>
        </w:r>
        <w:r w:rsidRPr="00B25DD3">
          <w:rPr>
            <w:rStyle w:val="Hyperlink"/>
            <w:rFonts w:ascii="Calibri" w:hAnsi="Calibri" w:cs="Calibri"/>
          </w:rPr>
          <w:t xml:space="preserve"> and related oysters by multiplex species-specific PCR,</w:t>
        </w:r>
      </w:hyperlink>
      <w:r>
        <w:rPr>
          <w:rFonts w:ascii="Calibri" w:hAnsi="Calibri" w:cs="Calibri"/>
        </w:rPr>
        <w:t xml:space="preserve"> </w:t>
      </w:r>
      <w:r>
        <w:rPr>
          <w:rFonts w:ascii="Calibri" w:hAnsi="Calibri" w:cs="Calibri"/>
          <w:i/>
          <w:iCs/>
        </w:rPr>
        <w:t xml:space="preserve">Journal of Shellfish Research, </w:t>
      </w:r>
      <w:r>
        <w:rPr>
          <w:rFonts w:ascii="Calibri" w:hAnsi="Calibri" w:cs="Calibri"/>
        </w:rPr>
        <w:t xml:space="preserve">vol. 23, no. 3, pp. 481-487, DOI: </w:t>
      </w:r>
      <w:r w:rsidRPr="00B25DD3">
        <w:rPr>
          <w:rFonts w:ascii="Calibri" w:hAnsi="Calibri" w:cs="Calibri"/>
        </w:rPr>
        <w:t>10.2983/0730-8000(2008)27[481:IOCAAR]2.0.CO;2</w:t>
      </w:r>
      <w:r>
        <w:rPr>
          <w:rFonts w:ascii="Calibri" w:hAnsi="Calibri" w:cs="Calibri"/>
        </w:rPr>
        <w:t>.</w:t>
      </w:r>
    </w:p>
    <w:p w14:paraId="2215BB0D" w14:textId="2E0D20C5" w:rsidR="007F3FF4" w:rsidRPr="007F3FF4" w:rsidRDefault="007F3FF4" w:rsidP="007F3FF4">
      <w:pPr>
        <w:rPr>
          <w:rFonts w:ascii="Calibri" w:hAnsi="Calibri" w:cs="Calibri"/>
        </w:rPr>
      </w:pPr>
      <w:r w:rsidRPr="007F3FF4">
        <w:rPr>
          <w:rFonts w:ascii="Calibri" w:hAnsi="Calibri" w:cs="Calibri"/>
        </w:rPr>
        <w:t xml:space="preserve">Watson, GJ, </w:t>
      </w:r>
      <w:proofErr w:type="spellStart"/>
      <w:r w:rsidRPr="007F3FF4">
        <w:rPr>
          <w:rFonts w:ascii="Calibri" w:hAnsi="Calibri" w:cs="Calibri"/>
        </w:rPr>
        <w:t>Dyos</w:t>
      </w:r>
      <w:proofErr w:type="spellEnd"/>
      <w:r w:rsidRPr="007F3FF4">
        <w:rPr>
          <w:rFonts w:ascii="Calibri" w:hAnsi="Calibri" w:cs="Calibri"/>
        </w:rPr>
        <w:t>, J, Barfield, P</w:t>
      </w:r>
      <w:r>
        <w:rPr>
          <w:rFonts w:ascii="Calibri" w:hAnsi="Calibri" w:cs="Calibri"/>
        </w:rPr>
        <w:t xml:space="preserve">m Stebbing, P &amp; Dey, KB 2021, </w:t>
      </w:r>
      <w:hyperlink r:id="rId614" w:anchor="citeas" w:history="1">
        <w:r w:rsidRPr="007F3FF4">
          <w:rPr>
            <w:rStyle w:val="Hyperlink"/>
            <w:rFonts w:ascii="Calibri" w:hAnsi="Calibri" w:cs="Calibri"/>
          </w:rPr>
          <w:t xml:space="preserve">Evidence for self-sustaining populations of </w:t>
        </w:r>
        <w:r w:rsidRPr="007F3FF4">
          <w:rPr>
            <w:rStyle w:val="Hyperlink"/>
            <w:rFonts w:ascii="Calibri" w:hAnsi="Calibri" w:cs="Calibri"/>
            <w:i/>
            <w:iCs/>
          </w:rPr>
          <w:t>Arcuatula senhousia</w:t>
        </w:r>
        <w:r w:rsidRPr="007F3FF4">
          <w:rPr>
            <w:rStyle w:val="Hyperlink"/>
            <w:rFonts w:ascii="Calibri" w:hAnsi="Calibri" w:cs="Calibri"/>
          </w:rPr>
          <w:t xml:space="preserve"> in the UK and a review of this species’ potential impacts within Europe</w:t>
        </w:r>
      </w:hyperlink>
      <w:r>
        <w:rPr>
          <w:rFonts w:ascii="Calibri" w:hAnsi="Calibri" w:cs="Calibri"/>
        </w:rPr>
        <w:t xml:space="preserve">, </w:t>
      </w:r>
      <w:r w:rsidRPr="007F3FF4">
        <w:rPr>
          <w:rFonts w:ascii="Calibri" w:hAnsi="Calibri" w:cs="Calibri"/>
          <w:i/>
          <w:iCs/>
        </w:rPr>
        <w:t>Scientific Reports</w:t>
      </w:r>
      <w:r>
        <w:rPr>
          <w:rFonts w:ascii="Calibri" w:hAnsi="Calibri" w:cs="Calibri"/>
        </w:rPr>
        <w:t xml:space="preserve">, vol. </w:t>
      </w:r>
      <w:r w:rsidRPr="007F3FF4">
        <w:rPr>
          <w:rFonts w:ascii="Calibri" w:hAnsi="Calibri" w:cs="Calibri"/>
        </w:rPr>
        <w:t xml:space="preserve">11, </w:t>
      </w:r>
      <w:r>
        <w:rPr>
          <w:rFonts w:ascii="Calibri" w:hAnsi="Calibri" w:cs="Calibri"/>
        </w:rPr>
        <w:t xml:space="preserve">pp. </w:t>
      </w:r>
      <w:r w:rsidRPr="007F3FF4">
        <w:rPr>
          <w:rFonts w:ascii="Calibri" w:hAnsi="Calibri" w:cs="Calibri"/>
        </w:rPr>
        <w:t>9678</w:t>
      </w:r>
      <w:r>
        <w:rPr>
          <w:rFonts w:ascii="Calibri" w:hAnsi="Calibri" w:cs="Calibri"/>
        </w:rPr>
        <w:t xml:space="preserve">, DOI: </w:t>
      </w:r>
      <w:r w:rsidRPr="007F3FF4">
        <w:rPr>
          <w:rFonts w:ascii="Calibri" w:hAnsi="Calibri" w:cs="Calibri"/>
        </w:rPr>
        <w:t>10.1038/s41598-021-86876-x</w:t>
      </w:r>
      <w:r>
        <w:rPr>
          <w:rFonts w:ascii="Calibri" w:hAnsi="Calibri" w:cs="Calibri"/>
        </w:rPr>
        <w:t>.</w:t>
      </w:r>
    </w:p>
    <w:p w14:paraId="188A2515" w14:textId="56E88098" w:rsidR="00A72801" w:rsidRPr="00DD01E4" w:rsidRDefault="00B5740F" w:rsidP="00C80491">
      <w:pPr>
        <w:pStyle w:val="EndNoteBibliography"/>
        <w:rPr>
          <w:noProof w:val="0"/>
          <w:lang w:val="en-AU"/>
        </w:rPr>
      </w:pPr>
      <w:r w:rsidRPr="00DD01E4">
        <w:rPr>
          <w:noProof w:val="0"/>
          <w:lang w:val="en-AU"/>
        </w:rPr>
        <w:t xml:space="preserve">Webb, SC &amp; Duncan, J 2019, </w:t>
      </w:r>
      <w:hyperlink r:id="rId615" w:history="1">
        <w:r w:rsidRPr="00DD01E4">
          <w:rPr>
            <w:rStyle w:val="Hyperlink"/>
            <w:noProof w:val="0"/>
            <w:lang w:val="en-AU"/>
          </w:rPr>
          <w:t>New Zealand shellfish health monitoring 2007 to 2017: insights and projections</w:t>
        </w:r>
      </w:hyperlink>
      <w:r w:rsidRPr="00DD01E4">
        <w:rPr>
          <w:noProof w:val="0"/>
          <w:lang w:val="en-AU"/>
        </w:rPr>
        <w:t>, report prepared for the Ministry for Business, Innovation and Employment (MBIE), Wellington, New Zealand. Cawthron Report No: 2568 p. 67.</w:t>
      </w:r>
    </w:p>
    <w:p w14:paraId="57C3C289" w14:textId="51F04E01" w:rsidR="005222EE" w:rsidRPr="00DD01E4" w:rsidRDefault="00B5740F" w:rsidP="00C80491">
      <w:pPr>
        <w:spacing w:line="240" w:lineRule="auto"/>
      </w:pPr>
      <w:r w:rsidRPr="00DD01E4">
        <w:t xml:space="preserve">Wells, FE 2017, </w:t>
      </w:r>
      <w:hyperlink r:id="rId616" w:history="1">
        <w:r w:rsidRPr="00DD01E4">
          <w:rPr>
            <w:rStyle w:val="Hyperlink"/>
          </w:rPr>
          <w:t xml:space="preserve">If the Asian green mussel, </w:t>
        </w:r>
        <w:r w:rsidRPr="00DD01E4">
          <w:rPr>
            <w:rStyle w:val="Hyperlink"/>
            <w:i/>
            <w:iCs/>
          </w:rPr>
          <w:t>Perna vir</w:t>
        </w:r>
        <w:r w:rsidR="00FA1E54" w:rsidRPr="00DD01E4">
          <w:rPr>
            <w:rStyle w:val="Hyperlink"/>
            <w:i/>
            <w:iCs/>
          </w:rPr>
          <w:t>i</w:t>
        </w:r>
        <w:r w:rsidRPr="00DD01E4">
          <w:rPr>
            <w:rStyle w:val="Hyperlink"/>
            <w:i/>
            <w:iCs/>
          </w:rPr>
          <w:t xml:space="preserve">dis </w:t>
        </w:r>
        <w:r w:rsidRPr="00DD01E4">
          <w:rPr>
            <w:rStyle w:val="Hyperlink"/>
          </w:rPr>
          <w:t>(Linnaeus, 1758), poses the great</w:t>
        </w:r>
        <w:r w:rsidR="00DD01E4">
          <w:rPr>
            <w:rStyle w:val="Hyperlink"/>
          </w:rPr>
          <w:t>est</w:t>
        </w:r>
        <w:r w:rsidRPr="00DD01E4">
          <w:rPr>
            <w:rStyle w:val="Hyperlink"/>
          </w:rPr>
          <w:t xml:space="preserve"> invasive marine species threat to Australia, why has it not invaded?</w:t>
        </w:r>
      </w:hyperlink>
      <w:r w:rsidRPr="00DD01E4">
        <w:t xml:space="preserve">, </w:t>
      </w:r>
      <w:r w:rsidRPr="00DD01E4">
        <w:rPr>
          <w:i/>
          <w:iCs/>
        </w:rPr>
        <w:t>Molluscan Research</w:t>
      </w:r>
      <w:r w:rsidRPr="00DD01E4">
        <w:t>, vol. 37</w:t>
      </w:r>
      <w:r w:rsidR="00DD01E4">
        <w:t>,</w:t>
      </w:r>
      <w:r w:rsidRPr="00DD01E4">
        <w:t xml:space="preserve"> pp.167-74</w:t>
      </w:r>
      <w:r w:rsidR="00DD01E4">
        <w:t xml:space="preserve">, </w:t>
      </w:r>
      <w:r w:rsidR="00DD01E4" w:rsidRPr="00DD01E4">
        <w:t>DOI: 10.1080/13235818.2017.1322676.</w:t>
      </w:r>
    </w:p>
    <w:p w14:paraId="52DC307E" w14:textId="7AE8910C" w:rsidR="006939E1" w:rsidRDefault="00B5740F" w:rsidP="00C80491">
      <w:pPr>
        <w:pStyle w:val="EndNoteBibliography"/>
        <w:rPr>
          <w:noProof w:val="0"/>
          <w:lang w:val="en-AU"/>
        </w:rPr>
      </w:pPr>
      <w:r w:rsidRPr="00DD01E4">
        <w:rPr>
          <w:noProof w:val="0"/>
          <w:lang w:val="en-AU"/>
        </w:rPr>
        <w:t xml:space="preserve">Wells, FE 2019, </w:t>
      </w:r>
      <w:hyperlink r:id="rId617" w:anchor=":~:text=It%20is%20hypothesized%20that%20the,opened%20to%20allow%20vessel%20movements." w:history="1">
        <w:r w:rsidRPr="00DD01E4">
          <w:rPr>
            <w:rStyle w:val="Hyperlink"/>
            <w:noProof w:val="0"/>
            <w:lang w:val="en-AU"/>
          </w:rPr>
          <w:t xml:space="preserve">Environmental emergency: why did the false mussel </w:t>
        </w:r>
        <w:r w:rsidRPr="00DD01E4">
          <w:rPr>
            <w:rStyle w:val="Hyperlink"/>
            <w:i/>
            <w:noProof w:val="0"/>
            <w:lang w:val="en-AU"/>
          </w:rPr>
          <w:t xml:space="preserve">Mytilopsis sallei </w:t>
        </w:r>
        <w:r w:rsidRPr="00DD01E4">
          <w:rPr>
            <w:rStyle w:val="Hyperlink"/>
            <w:noProof w:val="0"/>
            <w:lang w:val="en-AU"/>
          </w:rPr>
          <w:t>not invade Darwin Harbour, Australia?</w:t>
        </w:r>
      </w:hyperlink>
      <w:r w:rsidRPr="00DD01E4">
        <w:rPr>
          <w:noProof w:val="0"/>
          <w:lang w:val="en-AU"/>
        </w:rPr>
        <w:t xml:space="preserve">, </w:t>
      </w:r>
      <w:proofErr w:type="spellStart"/>
      <w:r w:rsidRPr="00DD01E4">
        <w:rPr>
          <w:i/>
          <w:noProof w:val="0"/>
          <w:lang w:val="en-AU"/>
        </w:rPr>
        <w:t>Malacologia</w:t>
      </w:r>
      <w:proofErr w:type="spellEnd"/>
      <w:r w:rsidRPr="00DD01E4">
        <w:rPr>
          <w:noProof w:val="0"/>
          <w:lang w:val="en-AU"/>
        </w:rPr>
        <w:t xml:space="preserve">, vol. 62, no. 2, pp. 247-56, </w:t>
      </w:r>
      <w:r w:rsidR="00DD01E4">
        <w:rPr>
          <w:noProof w:val="0"/>
          <w:lang w:val="en-AU"/>
        </w:rPr>
        <w:t xml:space="preserve">DOI: </w:t>
      </w:r>
      <w:r w:rsidR="00DD01E4" w:rsidRPr="00DD01E4">
        <w:rPr>
          <w:noProof w:val="0"/>
          <w:lang w:val="en-AU"/>
        </w:rPr>
        <w:t>10.4002/040.062.0205</w:t>
      </w:r>
      <w:r w:rsidR="00DD01E4">
        <w:rPr>
          <w:noProof w:val="0"/>
          <w:lang w:val="en-AU"/>
        </w:rPr>
        <w:t>.</w:t>
      </w:r>
    </w:p>
    <w:p w14:paraId="23885342" w14:textId="3D14FE12" w:rsidR="00C44569" w:rsidRPr="00C44569" w:rsidRDefault="00C44569" w:rsidP="00C44569">
      <w:pPr>
        <w:pStyle w:val="EndNoteBibliography"/>
        <w:rPr>
          <w:noProof w:val="0"/>
          <w:lang w:val="en-AU"/>
        </w:rPr>
      </w:pPr>
      <w:r>
        <w:rPr>
          <w:noProof w:val="0"/>
          <w:lang w:val="en-AU"/>
        </w:rPr>
        <w:t xml:space="preserve">Wells, FE, </w:t>
      </w:r>
      <w:proofErr w:type="spellStart"/>
      <w:r>
        <w:rPr>
          <w:noProof w:val="0"/>
          <w:lang w:val="en-AU"/>
        </w:rPr>
        <w:t>Duangdee</w:t>
      </w:r>
      <w:proofErr w:type="spellEnd"/>
      <w:r>
        <w:rPr>
          <w:noProof w:val="0"/>
          <w:lang w:val="en-AU"/>
        </w:rPr>
        <w:t xml:space="preserve">, T, </w:t>
      </w:r>
      <w:proofErr w:type="spellStart"/>
      <w:r>
        <w:rPr>
          <w:noProof w:val="0"/>
          <w:lang w:val="en-AU"/>
        </w:rPr>
        <w:t>Sanpanich</w:t>
      </w:r>
      <w:proofErr w:type="spellEnd"/>
      <w:r>
        <w:rPr>
          <w:noProof w:val="0"/>
          <w:lang w:val="en-AU"/>
        </w:rPr>
        <w:t xml:space="preserve">, K &amp; </w:t>
      </w:r>
      <w:proofErr w:type="spellStart"/>
      <w:r>
        <w:rPr>
          <w:noProof w:val="0"/>
          <w:lang w:val="en-AU"/>
        </w:rPr>
        <w:t>Lukehurst</w:t>
      </w:r>
      <w:proofErr w:type="spellEnd"/>
      <w:r>
        <w:rPr>
          <w:noProof w:val="0"/>
          <w:lang w:val="en-AU"/>
        </w:rPr>
        <w:t xml:space="preserve">, SS 2024, </w:t>
      </w:r>
      <w:hyperlink r:id="rId618" w:history="1">
        <w:r w:rsidRPr="00C44569">
          <w:rPr>
            <w:rStyle w:val="Hyperlink"/>
            <w:noProof w:val="0"/>
            <w:lang w:val="en-AU"/>
          </w:rPr>
          <w:t xml:space="preserve">Status of the invasive </w:t>
        </w:r>
        <w:proofErr w:type="spellStart"/>
        <w:r w:rsidRPr="00C44569">
          <w:rPr>
            <w:rStyle w:val="Hyperlink"/>
            <w:noProof w:val="0"/>
            <w:lang w:val="en-AU"/>
          </w:rPr>
          <w:t>charru</w:t>
        </w:r>
        <w:proofErr w:type="spellEnd"/>
        <w:r w:rsidRPr="00C44569">
          <w:rPr>
            <w:rStyle w:val="Hyperlink"/>
            <w:noProof w:val="0"/>
            <w:lang w:val="en-AU"/>
          </w:rPr>
          <w:t xml:space="preserve"> mussel </w:t>
        </w:r>
        <w:r w:rsidRPr="00C44569">
          <w:rPr>
            <w:rStyle w:val="Hyperlink"/>
            <w:i/>
            <w:iCs/>
            <w:noProof w:val="0"/>
            <w:lang w:val="en-AU"/>
          </w:rPr>
          <w:t>Mytella strigata</w:t>
        </w:r>
        <w:r w:rsidRPr="00C44569">
          <w:rPr>
            <w:rStyle w:val="Hyperlink"/>
            <w:noProof w:val="0"/>
            <w:lang w:val="en-AU"/>
          </w:rPr>
          <w:t xml:space="preserve"> (Hanley, 1843) in the upper Gulf of Thailand five years after it was first surveyed</w:t>
        </w:r>
      </w:hyperlink>
      <w:r>
        <w:rPr>
          <w:noProof w:val="0"/>
          <w:lang w:val="en-AU"/>
        </w:rPr>
        <w:t xml:space="preserve">, </w:t>
      </w:r>
      <w:proofErr w:type="spellStart"/>
      <w:r>
        <w:rPr>
          <w:i/>
          <w:iCs/>
          <w:noProof w:val="0"/>
          <w:lang w:val="en-AU"/>
        </w:rPr>
        <w:t>BioInvasions</w:t>
      </w:r>
      <w:proofErr w:type="spellEnd"/>
      <w:r>
        <w:rPr>
          <w:i/>
          <w:iCs/>
          <w:noProof w:val="0"/>
          <w:lang w:val="en-AU"/>
        </w:rPr>
        <w:t xml:space="preserve"> Records, </w:t>
      </w:r>
      <w:r>
        <w:rPr>
          <w:noProof w:val="0"/>
          <w:lang w:val="en-AU"/>
        </w:rPr>
        <w:t xml:space="preserve">vol. 13, no. 1, pp. 69-82, DOI: </w:t>
      </w:r>
      <w:r w:rsidRPr="00C44569">
        <w:rPr>
          <w:noProof w:val="0"/>
          <w:lang w:val="en-AU"/>
        </w:rPr>
        <w:t>10.3391/bir.2024.13.1.07</w:t>
      </w:r>
      <w:r>
        <w:rPr>
          <w:noProof w:val="0"/>
          <w:lang w:val="en-AU"/>
        </w:rPr>
        <w:t>.</w:t>
      </w:r>
    </w:p>
    <w:p w14:paraId="3E34DDDF" w14:textId="5D3AC925" w:rsidR="00C80491" w:rsidRDefault="00C80491" w:rsidP="00C80491">
      <w:pPr>
        <w:pStyle w:val="EndNoteBibliography"/>
        <w:rPr>
          <w:noProof w:val="0"/>
          <w:lang w:val="en-AU"/>
        </w:rPr>
      </w:pPr>
      <w:r w:rsidRPr="00C80491">
        <w:rPr>
          <w:noProof w:val="0"/>
          <w:lang w:val="en-AU"/>
        </w:rPr>
        <w:t>Westfall</w:t>
      </w:r>
      <w:r>
        <w:rPr>
          <w:noProof w:val="0"/>
          <w:lang w:val="en-AU"/>
        </w:rPr>
        <w:t xml:space="preserve">, </w:t>
      </w:r>
      <w:r w:rsidRPr="00C80491">
        <w:rPr>
          <w:noProof w:val="0"/>
          <w:lang w:val="en-AU"/>
        </w:rPr>
        <w:t>KM, Therriault</w:t>
      </w:r>
      <w:r>
        <w:rPr>
          <w:noProof w:val="0"/>
          <w:lang w:val="en-AU"/>
        </w:rPr>
        <w:t>,</w:t>
      </w:r>
      <w:r w:rsidRPr="00C80491">
        <w:rPr>
          <w:noProof w:val="0"/>
          <w:lang w:val="en-AU"/>
        </w:rPr>
        <w:t xml:space="preserve"> TW,</w:t>
      </w:r>
      <w:r>
        <w:rPr>
          <w:noProof w:val="0"/>
          <w:lang w:val="en-AU"/>
        </w:rPr>
        <w:t xml:space="preserve"> &amp;</w:t>
      </w:r>
      <w:r w:rsidRPr="00C80491">
        <w:rPr>
          <w:noProof w:val="0"/>
          <w:lang w:val="en-AU"/>
        </w:rPr>
        <w:t xml:space="preserve"> Abbott</w:t>
      </w:r>
      <w:r>
        <w:rPr>
          <w:noProof w:val="0"/>
          <w:lang w:val="en-AU"/>
        </w:rPr>
        <w:t>,</w:t>
      </w:r>
      <w:r w:rsidRPr="00C80491">
        <w:rPr>
          <w:noProof w:val="0"/>
          <w:lang w:val="en-AU"/>
        </w:rPr>
        <w:t xml:space="preserve"> CL</w:t>
      </w:r>
      <w:r>
        <w:rPr>
          <w:noProof w:val="0"/>
          <w:lang w:val="en-AU"/>
        </w:rPr>
        <w:t xml:space="preserve"> 2020, </w:t>
      </w:r>
      <w:hyperlink r:id="rId619" w:history="1">
        <w:r w:rsidRPr="00C80491">
          <w:rPr>
            <w:rStyle w:val="Hyperlink"/>
            <w:noProof w:val="0"/>
            <w:lang w:val="en-AU"/>
          </w:rPr>
          <w:t xml:space="preserve">A new approach to molecular </w:t>
        </w:r>
        <w:proofErr w:type="spellStart"/>
        <w:r w:rsidRPr="00C80491">
          <w:rPr>
            <w:rStyle w:val="Hyperlink"/>
            <w:noProof w:val="0"/>
            <w:lang w:val="en-AU"/>
          </w:rPr>
          <w:t>biosurveillance</w:t>
        </w:r>
        <w:proofErr w:type="spellEnd"/>
        <w:r w:rsidRPr="00C80491">
          <w:rPr>
            <w:rStyle w:val="Hyperlink"/>
            <w:noProof w:val="0"/>
            <w:lang w:val="en-AU"/>
          </w:rPr>
          <w:t xml:space="preserve"> of invasive species using DNA metabarcoding</w:t>
        </w:r>
      </w:hyperlink>
      <w:r>
        <w:rPr>
          <w:noProof w:val="0"/>
          <w:lang w:val="en-AU"/>
        </w:rPr>
        <w:t>,</w:t>
      </w:r>
      <w:r w:rsidRPr="00C80491">
        <w:rPr>
          <w:noProof w:val="0"/>
          <w:lang w:val="en-AU"/>
        </w:rPr>
        <w:t xml:space="preserve"> </w:t>
      </w:r>
      <w:r w:rsidRPr="00C80491">
        <w:rPr>
          <w:i/>
          <w:iCs/>
          <w:noProof w:val="0"/>
          <w:lang w:val="en-AU"/>
        </w:rPr>
        <w:t>Global Change Biology</w:t>
      </w:r>
      <w:r>
        <w:rPr>
          <w:noProof w:val="0"/>
          <w:lang w:val="en-AU"/>
        </w:rPr>
        <w:t>,</w:t>
      </w:r>
      <w:r w:rsidRPr="00C80491">
        <w:rPr>
          <w:noProof w:val="0"/>
          <w:lang w:val="en-AU"/>
        </w:rPr>
        <w:t xml:space="preserve"> </w:t>
      </w:r>
      <w:r>
        <w:rPr>
          <w:noProof w:val="0"/>
          <w:lang w:val="en-AU"/>
        </w:rPr>
        <w:t xml:space="preserve">vol. </w:t>
      </w:r>
      <w:r w:rsidRPr="00C80491">
        <w:rPr>
          <w:noProof w:val="0"/>
          <w:lang w:val="en-AU"/>
        </w:rPr>
        <w:t>26</w:t>
      </w:r>
      <w:r>
        <w:rPr>
          <w:noProof w:val="0"/>
          <w:lang w:val="en-AU"/>
        </w:rPr>
        <w:t xml:space="preserve">, no. </w:t>
      </w:r>
      <w:r w:rsidRPr="00C80491">
        <w:rPr>
          <w:noProof w:val="0"/>
          <w:lang w:val="en-AU"/>
        </w:rPr>
        <w:t>2</w:t>
      </w:r>
      <w:r>
        <w:rPr>
          <w:noProof w:val="0"/>
          <w:lang w:val="en-AU"/>
        </w:rPr>
        <w:t xml:space="preserve">, pp. </w:t>
      </w:r>
      <w:r w:rsidRPr="00C80491">
        <w:rPr>
          <w:noProof w:val="0"/>
          <w:lang w:val="en-AU"/>
        </w:rPr>
        <w:t>1012-1022</w:t>
      </w:r>
      <w:r>
        <w:rPr>
          <w:noProof w:val="0"/>
          <w:lang w:val="en-AU"/>
        </w:rPr>
        <w:t>, DOI</w:t>
      </w:r>
      <w:r w:rsidRPr="00C80491">
        <w:rPr>
          <w:noProof w:val="0"/>
          <w:lang w:val="en-AU"/>
        </w:rPr>
        <w:t xml:space="preserve">: 10.1111/gcb.14886. </w:t>
      </w:r>
    </w:p>
    <w:p w14:paraId="2F46C039" w14:textId="60C9C787" w:rsidR="00D841D3" w:rsidRPr="00D841D3" w:rsidRDefault="00D841D3" w:rsidP="00C80491">
      <w:pPr>
        <w:pStyle w:val="EndNoteBibliography"/>
        <w:rPr>
          <w:noProof w:val="0"/>
          <w:lang w:val="en-AU"/>
        </w:rPr>
      </w:pPr>
      <w:r>
        <w:rPr>
          <w:noProof w:val="0"/>
          <w:lang w:val="en-AU"/>
        </w:rPr>
        <w:t xml:space="preserve">Wilcox, C, Heathcote, G, Goldberg, J, Gunn, R, Peel, D &amp; Hardesty, BD 2015, </w:t>
      </w:r>
      <w:hyperlink r:id="rId620" w:history="1">
        <w:r w:rsidRPr="00D841D3">
          <w:rPr>
            <w:rStyle w:val="Hyperlink"/>
            <w:noProof w:val="0"/>
            <w:lang w:val="en-AU"/>
          </w:rPr>
          <w:t>Understanding the sources and effects of abandoned, lost, and discarded fishing gear on marine turtles in northern Australia</w:t>
        </w:r>
      </w:hyperlink>
      <w:r>
        <w:rPr>
          <w:noProof w:val="0"/>
          <w:lang w:val="en-AU"/>
        </w:rPr>
        <w:t xml:space="preserve">, </w:t>
      </w:r>
      <w:r>
        <w:rPr>
          <w:i/>
          <w:iCs/>
          <w:noProof w:val="0"/>
          <w:lang w:val="en-AU"/>
        </w:rPr>
        <w:t xml:space="preserve">Conservation Biology, </w:t>
      </w:r>
      <w:r>
        <w:rPr>
          <w:noProof w:val="0"/>
          <w:lang w:val="en-AU"/>
        </w:rPr>
        <w:t xml:space="preserve">vol. 29, no. 9, pp. 198-206, DOI: </w:t>
      </w:r>
      <w:r w:rsidRPr="00D841D3">
        <w:rPr>
          <w:noProof w:val="0"/>
          <w:lang w:val="en-AU"/>
        </w:rPr>
        <w:t>10.1111/cobi.12355</w:t>
      </w:r>
      <w:r>
        <w:rPr>
          <w:noProof w:val="0"/>
          <w:lang w:val="en-AU"/>
        </w:rPr>
        <w:t xml:space="preserve">. </w:t>
      </w:r>
    </w:p>
    <w:p w14:paraId="5770077B" w14:textId="50B14741" w:rsidR="007F3FF4" w:rsidRPr="00DD01E4" w:rsidRDefault="007F3FF4" w:rsidP="00C80491">
      <w:pPr>
        <w:pStyle w:val="EndNoteBibliography"/>
        <w:rPr>
          <w:noProof w:val="0"/>
          <w:lang w:val="en-AU"/>
        </w:rPr>
      </w:pPr>
      <w:r w:rsidRPr="007F3FF4">
        <w:rPr>
          <w:noProof w:val="0"/>
          <w:lang w:val="en-AU"/>
        </w:rPr>
        <w:t xml:space="preserve">Willan, RC 1985, </w:t>
      </w:r>
      <w:hyperlink r:id="rId621" w:history="1">
        <w:r w:rsidRPr="007F3FF4">
          <w:rPr>
            <w:rStyle w:val="Hyperlink"/>
            <w:noProof w:val="0"/>
            <w:lang w:val="en-AU"/>
          </w:rPr>
          <w:t xml:space="preserve">Successful establishment of the Asian Mussel </w:t>
        </w:r>
        <w:proofErr w:type="spellStart"/>
        <w:r w:rsidRPr="007F3FF4">
          <w:rPr>
            <w:rStyle w:val="Hyperlink"/>
            <w:i/>
            <w:iCs/>
            <w:noProof w:val="0"/>
            <w:lang w:val="en-AU"/>
          </w:rPr>
          <w:t>Musculista</w:t>
        </w:r>
        <w:proofErr w:type="spellEnd"/>
        <w:r w:rsidRPr="007F3FF4">
          <w:rPr>
            <w:rStyle w:val="Hyperlink"/>
            <w:i/>
            <w:iCs/>
            <w:noProof w:val="0"/>
            <w:lang w:val="en-AU"/>
          </w:rPr>
          <w:t xml:space="preserve"> senhousia</w:t>
        </w:r>
        <w:r w:rsidRPr="007F3FF4">
          <w:rPr>
            <w:rStyle w:val="Hyperlink"/>
            <w:noProof w:val="0"/>
            <w:lang w:val="en-AU"/>
          </w:rPr>
          <w:t xml:space="preserve"> in New Zealand</w:t>
        </w:r>
      </w:hyperlink>
      <w:r w:rsidRPr="007F3FF4">
        <w:rPr>
          <w:noProof w:val="0"/>
          <w:lang w:val="en-AU"/>
        </w:rPr>
        <w:t xml:space="preserve">, </w:t>
      </w:r>
      <w:r w:rsidRPr="007F3FF4">
        <w:rPr>
          <w:i/>
          <w:iCs/>
          <w:noProof w:val="0"/>
          <w:lang w:val="en-AU"/>
        </w:rPr>
        <w:t>Records of the Auckland Institute and Museum</w:t>
      </w:r>
      <w:r w:rsidRPr="007F3FF4">
        <w:rPr>
          <w:noProof w:val="0"/>
          <w:lang w:val="en-AU"/>
        </w:rPr>
        <w:t>, vol. 22, pp. 85-96.</w:t>
      </w:r>
    </w:p>
    <w:p w14:paraId="455E7B45" w14:textId="79D2A5A6" w:rsidR="006939E1" w:rsidRPr="00DD01E4" w:rsidRDefault="00B5740F" w:rsidP="00C80491">
      <w:pPr>
        <w:pStyle w:val="EndNoteBibliography"/>
        <w:rPr>
          <w:noProof w:val="0"/>
          <w:lang w:val="en-AU"/>
        </w:rPr>
      </w:pPr>
      <w:r w:rsidRPr="00DD01E4">
        <w:rPr>
          <w:noProof w:val="0"/>
          <w:lang w:val="en-AU"/>
        </w:rPr>
        <w:t xml:space="preserve">Willan, RC 1987, </w:t>
      </w:r>
      <w:hyperlink r:id="rId622" w:history="1">
        <w:r w:rsidRPr="00DD01E4">
          <w:rPr>
            <w:rStyle w:val="Hyperlink"/>
            <w:noProof w:val="0"/>
            <w:lang w:val="en-AU"/>
          </w:rPr>
          <w:t xml:space="preserve">The mussel </w:t>
        </w:r>
        <w:proofErr w:type="spellStart"/>
        <w:r w:rsidRPr="00DD01E4">
          <w:rPr>
            <w:rStyle w:val="Hyperlink"/>
            <w:i/>
            <w:noProof w:val="0"/>
            <w:lang w:val="en-AU"/>
          </w:rPr>
          <w:t>Musculista</w:t>
        </w:r>
        <w:proofErr w:type="spellEnd"/>
        <w:r w:rsidRPr="00DD01E4">
          <w:rPr>
            <w:rStyle w:val="Hyperlink"/>
            <w:i/>
            <w:noProof w:val="0"/>
            <w:lang w:val="en-AU"/>
          </w:rPr>
          <w:t xml:space="preserve"> senhousia </w:t>
        </w:r>
        <w:r w:rsidRPr="00DD01E4">
          <w:rPr>
            <w:rStyle w:val="Hyperlink"/>
            <w:noProof w:val="0"/>
            <w:lang w:val="en-AU"/>
          </w:rPr>
          <w:t>in Australasia; another aggressive alien highlights the need for quarantine at ports</w:t>
        </w:r>
      </w:hyperlink>
      <w:r w:rsidRPr="00DD01E4">
        <w:rPr>
          <w:noProof w:val="0"/>
          <w:lang w:val="en-AU"/>
        </w:rPr>
        <w:t xml:space="preserve">, </w:t>
      </w:r>
      <w:r w:rsidRPr="00DD01E4">
        <w:rPr>
          <w:i/>
          <w:noProof w:val="0"/>
          <w:lang w:val="en-AU"/>
        </w:rPr>
        <w:t>Bulletin of Marine Science</w:t>
      </w:r>
      <w:r w:rsidRPr="00DD01E4">
        <w:rPr>
          <w:noProof w:val="0"/>
          <w:lang w:val="en-AU"/>
        </w:rPr>
        <w:t>, vol. 41, no. 2, pp. 475-89.</w:t>
      </w:r>
    </w:p>
    <w:p w14:paraId="55F19F6A" w14:textId="53C29A16" w:rsidR="0072413F" w:rsidRDefault="00B5740F" w:rsidP="00C80491">
      <w:pPr>
        <w:pStyle w:val="EndNoteBibliography"/>
        <w:rPr>
          <w:noProof w:val="0"/>
          <w:lang w:val="en-AU"/>
        </w:rPr>
      </w:pPr>
      <w:r w:rsidRPr="00DD01E4">
        <w:rPr>
          <w:noProof w:val="0"/>
          <w:lang w:val="en-AU"/>
        </w:rPr>
        <w:t xml:space="preserve">Willan, RC, Russell, BC, </w:t>
      </w:r>
      <w:proofErr w:type="spellStart"/>
      <w:r w:rsidRPr="00DD01E4">
        <w:rPr>
          <w:noProof w:val="0"/>
          <w:lang w:val="en-AU"/>
        </w:rPr>
        <w:t>Murfet</w:t>
      </w:r>
      <w:proofErr w:type="spellEnd"/>
      <w:r w:rsidRPr="00DD01E4">
        <w:rPr>
          <w:noProof w:val="0"/>
          <w:lang w:val="en-AU"/>
        </w:rPr>
        <w:t xml:space="preserve">, NB, Moore, KL, </w:t>
      </w:r>
      <w:proofErr w:type="spellStart"/>
      <w:r w:rsidRPr="00DD01E4">
        <w:rPr>
          <w:noProof w:val="0"/>
          <w:lang w:val="en-AU"/>
        </w:rPr>
        <w:t>McEnnulty</w:t>
      </w:r>
      <w:proofErr w:type="spellEnd"/>
      <w:r w:rsidRPr="00DD01E4">
        <w:rPr>
          <w:noProof w:val="0"/>
          <w:lang w:val="en-AU"/>
        </w:rPr>
        <w:t xml:space="preserve">, FR, Horner, SK, Hewitt, CL, Dally, GM, Campbell, ML &amp; Bourke, ST 2000, </w:t>
      </w:r>
      <w:hyperlink r:id="rId623" w:history="1">
        <w:r w:rsidRPr="00DD01E4">
          <w:rPr>
            <w:rStyle w:val="Hyperlink"/>
            <w:noProof w:val="0"/>
            <w:lang w:val="en-AU"/>
          </w:rPr>
          <w:t>Outbreak of</w:t>
        </w:r>
        <w:r w:rsidRPr="00DD01E4">
          <w:rPr>
            <w:rStyle w:val="Hyperlink"/>
            <w:i/>
            <w:noProof w:val="0"/>
            <w:lang w:val="en-AU"/>
          </w:rPr>
          <w:t xml:space="preserve"> Mytilopsis sallei</w:t>
        </w:r>
        <w:r w:rsidRPr="00DD01E4">
          <w:rPr>
            <w:rStyle w:val="Hyperlink"/>
            <w:noProof w:val="0"/>
            <w:lang w:val="en-AU"/>
          </w:rPr>
          <w:t xml:space="preserve"> (</w:t>
        </w:r>
        <w:proofErr w:type="spellStart"/>
        <w:r w:rsidRPr="00DD01E4">
          <w:rPr>
            <w:rStyle w:val="Hyperlink"/>
            <w:noProof w:val="0"/>
            <w:lang w:val="en-AU"/>
          </w:rPr>
          <w:t>Recluz</w:t>
        </w:r>
        <w:proofErr w:type="spellEnd"/>
        <w:r w:rsidRPr="00DD01E4">
          <w:rPr>
            <w:rStyle w:val="Hyperlink"/>
            <w:noProof w:val="0"/>
            <w:lang w:val="en-AU"/>
          </w:rPr>
          <w:t xml:space="preserve">, 1849)(Bivalvia: </w:t>
        </w:r>
        <w:proofErr w:type="spellStart"/>
        <w:r w:rsidRPr="00DD01E4">
          <w:rPr>
            <w:rStyle w:val="Hyperlink"/>
            <w:noProof w:val="0"/>
            <w:lang w:val="en-AU"/>
          </w:rPr>
          <w:t>Dreissenidae</w:t>
        </w:r>
        <w:proofErr w:type="spellEnd"/>
        <w:r w:rsidRPr="00DD01E4">
          <w:rPr>
            <w:rStyle w:val="Hyperlink"/>
            <w:noProof w:val="0"/>
            <w:lang w:val="en-AU"/>
          </w:rPr>
          <w:t>) in Australia</w:t>
        </w:r>
      </w:hyperlink>
      <w:r w:rsidRPr="00DD01E4">
        <w:rPr>
          <w:noProof w:val="0"/>
          <w:lang w:val="en-AU"/>
        </w:rPr>
        <w:t xml:space="preserve">, </w:t>
      </w:r>
      <w:r w:rsidRPr="00DD01E4">
        <w:rPr>
          <w:i/>
          <w:noProof w:val="0"/>
          <w:lang w:val="en-AU"/>
        </w:rPr>
        <w:t>Molluscan Research</w:t>
      </w:r>
      <w:r w:rsidRPr="00DD01E4">
        <w:rPr>
          <w:noProof w:val="0"/>
          <w:lang w:val="en-AU"/>
        </w:rPr>
        <w:t>, vol. 20, no. 2, pp. 25-30</w:t>
      </w:r>
      <w:r w:rsidR="00DD01E4">
        <w:rPr>
          <w:noProof w:val="0"/>
          <w:lang w:val="en-AU"/>
        </w:rPr>
        <w:t xml:space="preserve">, DOI: </w:t>
      </w:r>
      <w:r w:rsidR="00DD01E4" w:rsidRPr="00DD01E4">
        <w:rPr>
          <w:noProof w:val="0"/>
          <w:lang w:val="en-AU"/>
        </w:rPr>
        <w:t>10.1080/13235818.2000.10673730</w:t>
      </w:r>
      <w:r w:rsidR="00DD01E4">
        <w:rPr>
          <w:noProof w:val="0"/>
          <w:lang w:val="en-AU"/>
        </w:rPr>
        <w:t>.</w:t>
      </w:r>
    </w:p>
    <w:p w14:paraId="69567FED" w14:textId="3184E3A2" w:rsidR="001F6B78" w:rsidRPr="001F6B78" w:rsidRDefault="001F6B78" w:rsidP="00C80491">
      <w:pPr>
        <w:pStyle w:val="EndNoteBibliography"/>
        <w:rPr>
          <w:noProof w:val="0"/>
          <w:lang w:val="en-AU"/>
        </w:rPr>
      </w:pPr>
      <w:r>
        <w:rPr>
          <w:noProof w:val="0"/>
          <w:lang w:val="en-AU"/>
        </w:rPr>
        <w:t xml:space="preserve">Willan, RC 2021, </w:t>
      </w:r>
      <w:hyperlink r:id="rId624" w:history="1">
        <w:r w:rsidRPr="001F6B78">
          <w:rPr>
            <w:rStyle w:val="Hyperlink"/>
            <w:i/>
            <w:iCs/>
            <w:noProof w:val="0"/>
            <w:lang w:val="en-AU"/>
          </w:rPr>
          <w:t xml:space="preserve">Magallana </w:t>
        </w:r>
        <w:r w:rsidRPr="001F6B78">
          <w:rPr>
            <w:rStyle w:val="Hyperlink"/>
            <w:noProof w:val="0"/>
            <w:lang w:val="en-AU"/>
          </w:rPr>
          <w:t>or mayhem?,</w:t>
        </w:r>
      </w:hyperlink>
      <w:r>
        <w:rPr>
          <w:noProof w:val="0"/>
          <w:lang w:val="en-AU"/>
        </w:rPr>
        <w:t xml:space="preserve"> </w:t>
      </w:r>
      <w:r>
        <w:rPr>
          <w:i/>
          <w:iCs/>
          <w:noProof w:val="0"/>
          <w:lang w:val="en-AU"/>
        </w:rPr>
        <w:t xml:space="preserve">Molluscan Research, </w:t>
      </w:r>
      <w:r>
        <w:rPr>
          <w:noProof w:val="0"/>
          <w:lang w:val="en-AU"/>
        </w:rPr>
        <w:t xml:space="preserve">vol. 41, no. 1, pp. 75-79, DOI:  </w:t>
      </w:r>
      <w:r w:rsidRPr="001F6B78">
        <w:rPr>
          <w:noProof w:val="0"/>
          <w:lang w:val="en-AU"/>
        </w:rPr>
        <w:t>10.1080/13235818.2020.1865514</w:t>
      </w:r>
      <w:r>
        <w:rPr>
          <w:noProof w:val="0"/>
          <w:lang w:val="en-AU"/>
        </w:rPr>
        <w:t xml:space="preserve">. </w:t>
      </w:r>
    </w:p>
    <w:p w14:paraId="16562935" w14:textId="3E7A3058" w:rsidR="00144376" w:rsidRPr="00DD01E4" w:rsidRDefault="00B5740F" w:rsidP="00C80491">
      <w:pPr>
        <w:pStyle w:val="EndNoteBibliography"/>
        <w:rPr>
          <w:noProof w:val="0"/>
          <w:lang w:val="en-AU"/>
        </w:rPr>
      </w:pPr>
      <w:r w:rsidRPr="00DD01E4">
        <w:rPr>
          <w:noProof w:val="0"/>
          <w:lang w:val="en-AU"/>
        </w:rPr>
        <w:t xml:space="preserve">Willan, RC, </w:t>
      </w:r>
      <w:proofErr w:type="spellStart"/>
      <w:r w:rsidRPr="00DD01E4">
        <w:rPr>
          <w:noProof w:val="0"/>
          <w:lang w:val="en-AU"/>
        </w:rPr>
        <w:t>Nenadic</w:t>
      </w:r>
      <w:proofErr w:type="spellEnd"/>
      <w:r w:rsidRPr="00DD01E4">
        <w:rPr>
          <w:noProof w:val="0"/>
          <w:lang w:val="en-AU"/>
        </w:rPr>
        <w:t xml:space="preserve">, N, Ramage, A &amp; McDougall, C 2021, </w:t>
      </w:r>
      <w:hyperlink r:id="rId625" w:history="1">
        <w:r w:rsidRPr="00DD01E4">
          <w:rPr>
            <w:rStyle w:val="Hyperlink"/>
            <w:noProof w:val="0"/>
            <w:lang w:val="en-AU"/>
          </w:rPr>
          <w:t xml:space="preserve">Detection and identification of the large, exotic, </w:t>
        </w:r>
        <w:proofErr w:type="spellStart"/>
        <w:r w:rsidRPr="00DD01E4">
          <w:rPr>
            <w:rStyle w:val="Hyperlink"/>
            <w:noProof w:val="0"/>
            <w:lang w:val="en-AU"/>
          </w:rPr>
          <w:t>crassostreine</w:t>
        </w:r>
        <w:proofErr w:type="spellEnd"/>
        <w:r w:rsidRPr="00DD01E4">
          <w:rPr>
            <w:rStyle w:val="Hyperlink"/>
            <w:noProof w:val="0"/>
            <w:lang w:val="en-AU"/>
          </w:rPr>
          <w:t xml:space="preserve"> oyster </w:t>
        </w:r>
        <w:r w:rsidRPr="00DD01E4">
          <w:rPr>
            <w:rStyle w:val="Hyperlink"/>
            <w:i/>
            <w:noProof w:val="0"/>
            <w:lang w:val="en-AU"/>
          </w:rPr>
          <w:t>Magallana bilineata</w:t>
        </w:r>
        <w:r w:rsidRPr="00DD01E4">
          <w:rPr>
            <w:rStyle w:val="Hyperlink"/>
            <w:noProof w:val="0"/>
            <w:lang w:val="en-AU"/>
          </w:rPr>
          <w:t xml:space="preserve"> (</w:t>
        </w:r>
        <w:proofErr w:type="spellStart"/>
        <w:r w:rsidRPr="00DD01E4">
          <w:rPr>
            <w:rStyle w:val="Hyperlink"/>
            <w:noProof w:val="0"/>
            <w:lang w:val="en-AU"/>
          </w:rPr>
          <w:t>Röding</w:t>
        </w:r>
        <w:proofErr w:type="spellEnd"/>
        <w:r w:rsidRPr="00DD01E4">
          <w:rPr>
            <w:rStyle w:val="Hyperlink"/>
            <w:noProof w:val="0"/>
            <w:lang w:val="en-AU"/>
          </w:rPr>
          <w:t>, 1798) in northern Queensland, Australia</w:t>
        </w:r>
      </w:hyperlink>
      <w:r w:rsidRPr="00DD01E4">
        <w:rPr>
          <w:noProof w:val="0"/>
          <w:lang w:val="en-AU"/>
        </w:rPr>
        <w:t xml:space="preserve">, </w:t>
      </w:r>
      <w:r w:rsidRPr="00DD01E4">
        <w:rPr>
          <w:i/>
          <w:noProof w:val="0"/>
          <w:lang w:val="en-AU"/>
        </w:rPr>
        <w:t>Molluscan Research</w:t>
      </w:r>
      <w:r w:rsidRPr="00DD01E4">
        <w:rPr>
          <w:noProof w:val="0"/>
          <w:lang w:val="en-AU"/>
        </w:rPr>
        <w:t>, vol. 41, no. 1, pp. 64-74</w:t>
      </w:r>
      <w:r w:rsidR="00DD01E4" w:rsidRPr="00DD01E4">
        <w:rPr>
          <w:noProof w:val="0"/>
          <w:lang w:val="en-AU"/>
        </w:rPr>
        <w:t>, DOI: 10.1080/13235818.2020.1865515.</w:t>
      </w:r>
    </w:p>
    <w:p w14:paraId="620CC9B1" w14:textId="59D1D745" w:rsidR="006939E1" w:rsidRDefault="00B5740F" w:rsidP="00C80491">
      <w:pPr>
        <w:spacing w:line="240" w:lineRule="auto"/>
        <w:rPr>
          <w:lang w:eastAsia="en-AU"/>
        </w:rPr>
      </w:pPr>
      <w:r w:rsidRPr="00DD01E4">
        <w:rPr>
          <w:lang w:eastAsia="en-AU"/>
        </w:rPr>
        <w:t xml:space="preserve">Wilkens, S &amp; Allen, S 2015, </w:t>
      </w:r>
      <w:r w:rsidRPr="00DD01E4">
        <w:rPr>
          <w:i/>
          <w:iCs/>
          <w:lang w:eastAsia="en-AU"/>
        </w:rPr>
        <w:t xml:space="preserve">Notes on the bivalve </w:t>
      </w:r>
      <w:r w:rsidRPr="00DD01E4">
        <w:rPr>
          <w:rStyle w:val="Emphasis"/>
        </w:rPr>
        <w:t>Perna canaliculus</w:t>
      </w:r>
      <w:r w:rsidRPr="00DD01E4">
        <w:rPr>
          <w:i/>
          <w:iCs/>
          <w:lang w:eastAsia="en-AU"/>
        </w:rPr>
        <w:t xml:space="preserve"> (</w:t>
      </w:r>
      <w:proofErr w:type="spellStart"/>
      <w:r w:rsidRPr="00DD01E4">
        <w:rPr>
          <w:i/>
          <w:iCs/>
          <w:lang w:eastAsia="en-AU"/>
        </w:rPr>
        <w:t>Gmelin</w:t>
      </w:r>
      <w:proofErr w:type="spellEnd"/>
      <w:r w:rsidRPr="00DD01E4">
        <w:rPr>
          <w:i/>
          <w:iCs/>
          <w:lang w:eastAsia="en-AU"/>
        </w:rPr>
        <w:t>, 1791), recently detected on the Australian fishing vessel "Saxon Onward" in New Zealand</w:t>
      </w:r>
      <w:r w:rsidRPr="00DD01E4">
        <w:rPr>
          <w:lang w:eastAsia="en-AU"/>
        </w:rPr>
        <w:t xml:space="preserve">, </w:t>
      </w:r>
      <w:r w:rsidRPr="00DD01E4">
        <w:rPr>
          <w:rStyle w:val="Emphasis"/>
          <w:i w:val="0"/>
          <w:iCs w:val="0"/>
        </w:rPr>
        <w:t>MPI</w:t>
      </w:r>
      <w:r w:rsidRPr="00DD01E4">
        <w:rPr>
          <w:rStyle w:val="Emphasis"/>
        </w:rPr>
        <w:t xml:space="preserve"> </w:t>
      </w:r>
      <w:r w:rsidRPr="00DD01E4">
        <w:rPr>
          <w:rStyle w:val="Emphasis"/>
          <w:i w:val="0"/>
          <w:iCs w:val="0"/>
        </w:rPr>
        <w:t>Technical Report No:</w:t>
      </w:r>
      <w:r w:rsidRPr="00DD01E4">
        <w:rPr>
          <w:rStyle w:val="Emphasis"/>
        </w:rPr>
        <w:t xml:space="preserve"> </w:t>
      </w:r>
      <w:r w:rsidRPr="00DD01E4">
        <w:rPr>
          <w:rStyle w:val="Emphasis"/>
          <w:i w:val="0"/>
          <w:iCs w:val="0"/>
        </w:rPr>
        <w:t>2015/MESN93</w:t>
      </w:r>
      <w:r w:rsidRPr="00DD01E4">
        <w:rPr>
          <w:lang w:eastAsia="en-AU"/>
        </w:rPr>
        <w:t>, Wellington, New Zealand, p. 6.</w:t>
      </w:r>
    </w:p>
    <w:p w14:paraId="7CD02AA7" w14:textId="79548A12" w:rsidR="00246AE3" w:rsidRDefault="00246AE3" w:rsidP="00C80491">
      <w:pPr>
        <w:spacing w:line="240" w:lineRule="auto"/>
      </w:pPr>
      <w:r>
        <w:rPr>
          <w:lang w:eastAsia="en-AU"/>
        </w:rPr>
        <w:t xml:space="preserve">Wiltshire, KH, Rowling, K &amp; Deveney, MR 2010, </w:t>
      </w:r>
      <w:hyperlink r:id="rId626" w:history="1">
        <w:r w:rsidRPr="00246AE3">
          <w:rPr>
            <w:rStyle w:val="Hyperlink"/>
            <w:lang w:eastAsia="en-AU"/>
          </w:rPr>
          <w:t>Introduced marine species in South Australia: a review of records and distribution mapping</w:t>
        </w:r>
      </w:hyperlink>
      <w:r>
        <w:rPr>
          <w:lang w:eastAsia="en-AU"/>
        </w:rPr>
        <w:t xml:space="preserve">, </w:t>
      </w:r>
      <w:r w:rsidRPr="00DD01E4">
        <w:t xml:space="preserve">South Australia Research and Development Institute </w:t>
      </w:r>
      <w:r w:rsidRPr="00DD01E4">
        <w:lastRenderedPageBreak/>
        <w:t>(Aquatic Sciences), Adelaide. SARDI Publication No. F20</w:t>
      </w:r>
      <w:r>
        <w:t>10</w:t>
      </w:r>
      <w:r w:rsidRPr="00DD01E4">
        <w:t xml:space="preserve">/000305-01. SARDI Research Report Series No. </w:t>
      </w:r>
      <w:r>
        <w:t>468, 232pp.</w:t>
      </w:r>
    </w:p>
    <w:p w14:paraId="20A6BD2E" w14:textId="77777777" w:rsidR="00626D48" w:rsidRDefault="00626D48" w:rsidP="00C80491">
      <w:pPr>
        <w:spacing w:line="240" w:lineRule="auto"/>
      </w:pPr>
    </w:p>
    <w:p w14:paraId="42407847" w14:textId="07FFE2C9" w:rsidR="00031CEC" w:rsidRDefault="00031CEC" w:rsidP="00C80491">
      <w:pPr>
        <w:spacing w:line="240" w:lineRule="auto"/>
        <w:rPr>
          <w:lang w:eastAsia="en-AU"/>
        </w:rPr>
      </w:pPr>
      <w:r>
        <w:t>Wiltshire, KH &amp; Deveney, MR 2011</w:t>
      </w:r>
      <w:hyperlink r:id="rId627" w:history="1">
        <w:r w:rsidRPr="00031CEC">
          <w:rPr>
            <w:rStyle w:val="Hyperlink"/>
          </w:rPr>
          <w:t>, Final monitoring report for the 2010-2011 marine pest survey of the Port of Adelaide, South Australia</w:t>
        </w:r>
      </w:hyperlink>
      <w:r>
        <w:t xml:space="preserve">, </w:t>
      </w:r>
      <w:r w:rsidRPr="00DD01E4">
        <w:t>South Australia Research and Development Institute (Aquatic Sciences), Adelaide. SARDI Publication No. F20</w:t>
      </w:r>
      <w:r>
        <w:t>11</w:t>
      </w:r>
      <w:r w:rsidRPr="00DD01E4">
        <w:t>/</w:t>
      </w:r>
      <w:r>
        <w:t>000386-1</w:t>
      </w:r>
      <w:r w:rsidRPr="00DD01E4">
        <w:t xml:space="preserve">. SARDI Research Report Series No. </w:t>
      </w:r>
      <w:r>
        <w:t>575, 34pp.</w:t>
      </w:r>
    </w:p>
    <w:p w14:paraId="627C20A4" w14:textId="3B41DE42" w:rsidR="00246AE3" w:rsidRDefault="00246AE3" w:rsidP="00C80491">
      <w:pPr>
        <w:spacing w:line="240" w:lineRule="auto"/>
      </w:pPr>
      <w:r>
        <w:rPr>
          <w:lang w:eastAsia="en-AU"/>
        </w:rPr>
        <w:t xml:space="preserve">Wiltshire, KH, </w:t>
      </w:r>
      <w:proofErr w:type="spellStart"/>
      <w:r>
        <w:rPr>
          <w:lang w:eastAsia="en-AU"/>
        </w:rPr>
        <w:t>Giblot-Ducray</w:t>
      </w:r>
      <w:proofErr w:type="spellEnd"/>
      <w:r>
        <w:rPr>
          <w:lang w:eastAsia="en-AU"/>
        </w:rPr>
        <w:t xml:space="preserve">, D &amp; Deveney, MR 2017, </w:t>
      </w:r>
      <w:hyperlink r:id="rId628" w:history="1">
        <w:r w:rsidRPr="00246AE3">
          <w:rPr>
            <w:rStyle w:val="Hyperlink"/>
            <w:lang w:eastAsia="en-AU"/>
          </w:rPr>
          <w:t>Applying molecular techniques to surveys for introduced marine pests at ports in Spencer Gulf, South Australia</w:t>
        </w:r>
      </w:hyperlink>
      <w:r>
        <w:rPr>
          <w:lang w:eastAsia="en-AU"/>
        </w:rPr>
        <w:t xml:space="preserve">, </w:t>
      </w:r>
      <w:r w:rsidRPr="00DD01E4">
        <w:t>South Australia Research and Development Institute (Aquatic Sciences), Adelaide. SARDI Publication No. F20</w:t>
      </w:r>
      <w:r>
        <w:t>17</w:t>
      </w:r>
      <w:r w:rsidRPr="00DD01E4">
        <w:t>/</w:t>
      </w:r>
      <w:r>
        <w:t>000202-1. SARDI Research Report Series No. 947, 15pp.</w:t>
      </w:r>
    </w:p>
    <w:p w14:paraId="2744AEE2" w14:textId="0EBD458E" w:rsidR="0077057D" w:rsidRDefault="0077057D" w:rsidP="00C80491">
      <w:pPr>
        <w:spacing w:line="240" w:lineRule="auto"/>
      </w:pPr>
      <w:r>
        <w:t xml:space="preserve">Wiltshire, KH, </w:t>
      </w:r>
      <w:proofErr w:type="spellStart"/>
      <w:r>
        <w:t>Giblot-Ducray</w:t>
      </w:r>
      <w:proofErr w:type="spellEnd"/>
      <w:r>
        <w:t xml:space="preserve">, D, Prowse, T &amp; Deveney, MR 2019a, </w:t>
      </w:r>
      <w:hyperlink r:id="rId629" w:history="1">
        <w:r w:rsidRPr="0077057D">
          <w:rPr>
            <w:rStyle w:val="Hyperlink"/>
          </w:rPr>
          <w:t>Validation of molecular surveillance: parallel traditional and molecular surveys for priority marine pests in the ports of Gladstone, Brisbane, Melbourne and Hobart</w:t>
        </w:r>
      </w:hyperlink>
      <w:r>
        <w:t xml:space="preserve">, </w:t>
      </w:r>
      <w:r w:rsidRPr="00DD01E4">
        <w:t>South Australia Research and Development Institute (Aquatic Sciences), Adelaide. SARDI Publication No. F20</w:t>
      </w:r>
      <w:r>
        <w:t>19</w:t>
      </w:r>
      <w:r w:rsidRPr="00DD01E4">
        <w:t>/</w:t>
      </w:r>
      <w:r>
        <w:t>000040-1. SARDI Research Report Series No. 1019. 137pp.</w:t>
      </w:r>
    </w:p>
    <w:p w14:paraId="3215C5BF" w14:textId="0D885796" w:rsidR="0077057D" w:rsidRDefault="0077057D" w:rsidP="00C80491">
      <w:pPr>
        <w:spacing w:line="240" w:lineRule="auto"/>
      </w:pPr>
      <w:r w:rsidRPr="0077057D">
        <w:t>Wiltshire</w:t>
      </w:r>
      <w:r>
        <w:t>,</w:t>
      </w:r>
      <w:r w:rsidRPr="0077057D">
        <w:t xml:space="preserve"> KH, Prowse</w:t>
      </w:r>
      <w:r>
        <w:t>,</w:t>
      </w:r>
      <w:r w:rsidRPr="0077057D">
        <w:t xml:space="preserve"> T</w:t>
      </w:r>
      <w:r>
        <w:t>AA</w:t>
      </w:r>
      <w:r w:rsidRPr="0077057D">
        <w:t>, Buss</w:t>
      </w:r>
      <w:r>
        <w:t>,</w:t>
      </w:r>
      <w:r w:rsidRPr="0077057D">
        <w:t xml:space="preserve"> JJ, </w:t>
      </w:r>
      <w:proofErr w:type="spellStart"/>
      <w:r w:rsidRPr="0077057D">
        <w:t>Giblot-Ducray</w:t>
      </w:r>
      <w:proofErr w:type="spellEnd"/>
      <w:r>
        <w:t>,</w:t>
      </w:r>
      <w:r w:rsidRPr="0077057D">
        <w:t xml:space="preserve"> D, Lieu</w:t>
      </w:r>
      <w:r>
        <w:t>,</w:t>
      </w:r>
      <w:r w:rsidRPr="0077057D">
        <w:t xml:space="preserve"> YN</w:t>
      </w:r>
      <w:r>
        <w:t xml:space="preserve"> &amp; </w:t>
      </w:r>
      <w:r w:rsidRPr="0077057D">
        <w:t>Deveney</w:t>
      </w:r>
      <w:r>
        <w:t>,</w:t>
      </w:r>
      <w:r w:rsidRPr="0077057D">
        <w:t xml:space="preserve"> MR 2019</w:t>
      </w:r>
      <w:r>
        <w:t>b,</w:t>
      </w:r>
      <w:r w:rsidRPr="0077057D">
        <w:t xml:space="preserve"> </w:t>
      </w:r>
      <w:hyperlink r:id="rId630" w:history="1">
        <w:r w:rsidRPr="0077057D">
          <w:rPr>
            <w:rStyle w:val="Hyperlink"/>
          </w:rPr>
          <w:t>Diagnostic performance of molecular tests used to detect priority marine pests in plankton samples</w:t>
        </w:r>
      </w:hyperlink>
      <w:r>
        <w:t>,</w:t>
      </w:r>
      <w:r w:rsidRPr="0077057D">
        <w:t xml:space="preserve"> South Australian Research and Development Institute (Aquatic Sciences), </w:t>
      </w:r>
      <w:r>
        <w:t xml:space="preserve">Adelaide. </w:t>
      </w:r>
      <w:r w:rsidRPr="0077057D">
        <w:t>SARDI Publication No. F2019/000337-1. SARDI Research Report Series No. 1036</w:t>
      </w:r>
      <w:r>
        <w:t xml:space="preserve">. 58pp. </w:t>
      </w:r>
    </w:p>
    <w:p w14:paraId="6D59D003" w14:textId="6176297A" w:rsidR="00246AE3" w:rsidRDefault="00246AE3" w:rsidP="00C80491">
      <w:pPr>
        <w:spacing w:line="240" w:lineRule="auto"/>
      </w:pPr>
      <w:r>
        <w:t>Wiltshire, KH, Th</w:t>
      </w:r>
      <w:r w:rsidR="0077057D">
        <w:t>ei</w:t>
      </w:r>
      <w:r>
        <w:t xml:space="preserve">l, MJ, </w:t>
      </w:r>
      <w:proofErr w:type="spellStart"/>
      <w:r>
        <w:t>Giblot-Ducray</w:t>
      </w:r>
      <w:proofErr w:type="spellEnd"/>
      <w:r>
        <w:t>, D &amp; Deveney, MR 2019</w:t>
      </w:r>
      <w:r w:rsidR="0077057D">
        <w:t>c</w:t>
      </w:r>
      <w:r>
        <w:t xml:space="preserve">, </w:t>
      </w:r>
      <w:hyperlink r:id="rId631" w:history="1">
        <w:r w:rsidRPr="00246AE3">
          <w:rPr>
            <w:rStyle w:val="Hyperlink"/>
          </w:rPr>
          <w:t>Molecular surveys for priority marine pests in 2018-2019 for the ports of Gove, Weipa, Hay Point, Newcastle, Botany Bay, Port Kembla and Devonport,</w:t>
        </w:r>
      </w:hyperlink>
      <w:r>
        <w:t xml:space="preserve"> </w:t>
      </w:r>
      <w:r w:rsidRPr="00DD01E4">
        <w:t>South Australia Research and Development Institute (Aquatic Sciences), Adelaide. SARDI Publication No. F20</w:t>
      </w:r>
      <w:r>
        <w:t>19</w:t>
      </w:r>
      <w:r w:rsidRPr="00DD01E4">
        <w:t>/000</w:t>
      </w:r>
      <w:r>
        <w:t>406</w:t>
      </w:r>
      <w:r w:rsidRPr="00DD01E4">
        <w:t>-</w:t>
      </w:r>
      <w:r>
        <w:t>1</w:t>
      </w:r>
      <w:r w:rsidRPr="00DD01E4">
        <w:t>. SARDI Research Report Series No. 1</w:t>
      </w:r>
      <w:r>
        <w:t>044,</w:t>
      </w:r>
      <w:r w:rsidRPr="00DD01E4">
        <w:t xml:space="preserve"> </w:t>
      </w:r>
      <w:r>
        <w:t>60pp.</w:t>
      </w:r>
    </w:p>
    <w:p w14:paraId="797BF96C" w14:textId="196541FD" w:rsidR="0077057D" w:rsidRDefault="0077057D" w:rsidP="00C80491">
      <w:pPr>
        <w:spacing w:line="240" w:lineRule="auto"/>
        <w:rPr>
          <w:lang w:eastAsia="en-AU"/>
        </w:rPr>
      </w:pPr>
      <w:r>
        <w:t xml:space="preserve">Wiltshire, KH, Theil, MJ, </w:t>
      </w:r>
      <w:proofErr w:type="spellStart"/>
      <w:r>
        <w:t>Giblot-Ducray</w:t>
      </w:r>
      <w:proofErr w:type="spellEnd"/>
      <w:r>
        <w:t xml:space="preserve">, D, &amp; Deveney, MR 2020, </w:t>
      </w:r>
      <w:hyperlink r:id="rId632" w:history="1">
        <w:r w:rsidRPr="0093605B">
          <w:rPr>
            <w:rStyle w:val="Hyperlink"/>
          </w:rPr>
          <w:t>Molecular su</w:t>
        </w:r>
        <w:r w:rsidR="0093605B" w:rsidRPr="0093605B">
          <w:rPr>
            <w:rStyle w:val="Hyperlink"/>
          </w:rPr>
          <w:t>rv</w:t>
        </w:r>
        <w:r w:rsidRPr="0093605B">
          <w:rPr>
            <w:rStyle w:val="Hyperlink"/>
          </w:rPr>
          <w:t>eys in 2020 of priority marine pests for the ports of Bunbury, Kwinana, Fremantle and Geraldton</w:t>
        </w:r>
        <w:r w:rsidR="0093605B" w:rsidRPr="0093605B">
          <w:rPr>
            <w:rStyle w:val="Hyperlink"/>
          </w:rPr>
          <w:t>.</w:t>
        </w:r>
      </w:hyperlink>
      <w:r w:rsidR="0093605B">
        <w:t xml:space="preserve"> Report to the Department of Agriculture, Water and the Environment. South Australian Research and Development Institute (Aquatic Sciences), Adelaide. SARDI Publication No. F2020/000354-01. SARDI Research Report Series No. 1082. 48pp.</w:t>
      </w:r>
    </w:p>
    <w:p w14:paraId="79EA5DE0" w14:textId="68F85E6B" w:rsidR="00246AE3" w:rsidRDefault="00246AE3" w:rsidP="00246AE3">
      <w:pPr>
        <w:pStyle w:val="EndNoteBibliography"/>
        <w:rPr>
          <w:noProof w:val="0"/>
          <w:lang w:val="en-AU"/>
        </w:rPr>
      </w:pPr>
      <w:r w:rsidRPr="00DD01E4">
        <w:rPr>
          <w:noProof w:val="0"/>
          <w:lang w:val="en-AU"/>
        </w:rPr>
        <w:t xml:space="preserve">Wiltshire, KH, </w:t>
      </w:r>
      <w:proofErr w:type="spellStart"/>
      <w:r w:rsidRPr="00DD01E4">
        <w:rPr>
          <w:noProof w:val="0"/>
          <w:lang w:val="en-AU"/>
        </w:rPr>
        <w:t>Giblot-Ducray</w:t>
      </w:r>
      <w:proofErr w:type="spellEnd"/>
      <w:r w:rsidRPr="00DD01E4">
        <w:rPr>
          <w:noProof w:val="0"/>
          <w:lang w:val="en-AU"/>
        </w:rPr>
        <w:t>, D</w:t>
      </w:r>
      <w:r>
        <w:rPr>
          <w:noProof w:val="0"/>
          <w:lang w:val="en-AU"/>
        </w:rPr>
        <w:t xml:space="preserve"> &amp; </w:t>
      </w:r>
      <w:r w:rsidRPr="00DD01E4">
        <w:rPr>
          <w:noProof w:val="0"/>
          <w:lang w:val="en-AU"/>
        </w:rPr>
        <w:t xml:space="preserve">Deveney, MR 2021, </w:t>
      </w:r>
      <w:hyperlink r:id="rId633" w:history="1">
        <w:r w:rsidRPr="00DD01E4">
          <w:rPr>
            <w:rStyle w:val="Hyperlink"/>
            <w:noProof w:val="0"/>
            <w:lang w:val="en-AU"/>
          </w:rPr>
          <w:t>Development and validation of a quantitative PCR assay for the invasive mussel, Mytella strigata (Hanley, 1843)</w:t>
        </w:r>
      </w:hyperlink>
      <w:r w:rsidRPr="00DD01E4">
        <w:rPr>
          <w:noProof w:val="0"/>
          <w:lang w:val="en-AU"/>
        </w:rPr>
        <w:t>, South Australia Research and Development Institute (Aquatic Sciences), Adelaide. SARDI Publication No. F2021/000305-01. SARDI Research Report Series No. 1107</w:t>
      </w:r>
      <w:r>
        <w:rPr>
          <w:noProof w:val="0"/>
          <w:lang w:val="en-AU"/>
        </w:rPr>
        <w:t>,</w:t>
      </w:r>
      <w:r w:rsidRPr="00DD01E4">
        <w:rPr>
          <w:noProof w:val="0"/>
          <w:lang w:val="en-AU"/>
        </w:rPr>
        <w:t xml:space="preserve"> </w:t>
      </w:r>
      <w:r>
        <w:rPr>
          <w:noProof w:val="0"/>
          <w:lang w:val="en-AU"/>
        </w:rPr>
        <w:t>53pp.</w:t>
      </w:r>
      <w:r w:rsidRPr="00DD01E4">
        <w:rPr>
          <w:noProof w:val="0"/>
          <w:lang w:val="en-AU"/>
        </w:rPr>
        <w:t xml:space="preserve"> </w:t>
      </w:r>
    </w:p>
    <w:p w14:paraId="0D716887" w14:textId="1B9166DB" w:rsidR="0093605B" w:rsidRDefault="0093605B" w:rsidP="00246AE3">
      <w:pPr>
        <w:pStyle w:val="EndNoteBibliography"/>
        <w:rPr>
          <w:noProof w:val="0"/>
          <w:lang w:val="en-AU"/>
        </w:rPr>
      </w:pPr>
      <w:r>
        <w:rPr>
          <w:noProof w:val="0"/>
          <w:lang w:val="en-AU"/>
        </w:rPr>
        <w:t xml:space="preserve">Wiltshire, KH, </w:t>
      </w:r>
      <w:proofErr w:type="spellStart"/>
      <w:r>
        <w:rPr>
          <w:noProof w:val="0"/>
          <w:lang w:val="en-AU"/>
        </w:rPr>
        <w:t>Giblot-Ducray</w:t>
      </w:r>
      <w:proofErr w:type="spellEnd"/>
      <w:r>
        <w:rPr>
          <w:noProof w:val="0"/>
          <w:lang w:val="en-AU"/>
        </w:rPr>
        <w:t xml:space="preserve">, D &amp; Deveney, MR 2022, </w:t>
      </w:r>
      <w:hyperlink r:id="rId634" w:history="1">
        <w:r w:rsidRPr="0093605B">
          <w:rPr>
            <w:rStyle w:val="Hyperlink"/>
            <w:noProof w:val="0"/>
            <w:lang w:val="en-AU"/>
          </w:rPr>
          <w:t>Molecular surveys for priority marine pests in 2021-22 for Thevenard, Port Lincoln, Port Giles, Klein Point, Port Adelaide, South Australia and Portland, Victoria.</w:t>
        </w:r>
      </w:hyperlink>
      <w:r>
        <w:rPr>
          <w:noProof w:val="0"/>
          <w:lang w:val="en-AU"/>
        </w:rPr>
        <w:t xml:space="preserve"> Report to the Department of Agriculture, Fisheries and Forestry. South Australian Research and Development Institute (Aquatic Sciences), Adelaide. SARDI Publication No. F2022/000236-1. SARDI Research Report Series No. 1147. 75pp.</w:t>
      </w:r>
    </w:p>
    <w:p w14:paraId="04225F5E" w14:textId="78F03D5D" w:rsidR="00BE7E96" w:rsidRDefault="00BE7E96" w:rsidP="00246AE3">
      <w:pPr>
        <w:pStyle w:val="EndNoteBibliography"/>
        <w:rPr>
          <w:noProof w:val="0"/>
          <w:lang w:val="en-AU"/>
        </w:rPr>
      </w:pPr>
      <w:bookmarkStart w:id="826" w:name="_Hlk188618369"/>
      <w:r>
        <w:rPr>
          <w:noProof w:val="0"/>
          <w:lang w:val="en-AU"/>
        </w:rPr>
        <w:t xml:space="preserve">Wiltshire, KH 2023, </w:t>
      </w:r>
      <w:hyperlink r:id="rId635" w:history="1">
        <w:r w:rsidRPr="00BE7E96">
          <w:rPr>
            <w:rStyle w:val="Hyperlink"/>
            <w:noProof w:val="0"/>
            <w:lang w:val="en-AU"/>
          </w:rPr>
          <w:t>Statistical modelling approaches for the interpretation of molecular surveillance data.</w:t>
        </w:r>
      </w:hyperlink>
      <w:r>
        <w:rPr>
          <w:noProof w:val="0"/>
          <w:lang w:val="en-AU"/>
        </w:rPr>
        <w:t xml:space="preserve"> Report to the Department of Agriculture, Fisheries and Forestry. South Australian Research and Development Institute (Aquatic Sciences), Adelaide. SARDI Publication No. F2023/000144-1. SARDI Research Report Series No. 1177. 80pp.</w:t>
      </w:r>
    </w:p>
    <w:bookmarkEnd w:id="826"/>
    <w:p w14:paraId="7F4B54D3" w14:textId="23A48B41" w:rsidR="00CB11E0" w:rsidRDefault="00CB11E0" w:rsidP="00246AE3">
      <w:pPr>
        <w:pStyle w:val="EndNoteBibliography"/>
        <w:rPr>
          <w:noProof w:val="0"/>
          <w:lang w:val="en-AU"/>
        </w:rPr>
      </w:pPr>
      <w:r>
        <w:rPr>
          <w:noProof w:val="0"/>
          <w:lang w:val="en-AU"/>
        </w:rPr>
        <w:lastRenderedPageBreak/>
        <w:t xml:space="preserve">Wiltshire, KH, </w:t>
      </w:r>
      <w:proofErr w:type="spellStart"/>
      <w:r>
        <w:rPr>
          <w:noProof w:val="0"/>
          <w:lang w:val="en-AU"/>
        </w:rPr>
        <w:t>Giblot-Ducray</w:t>
      </w:r>
      <w:proofErr w:type="spellEnd"/>
      <w:r>
        <w:rPr>
          <w:noProof w:val="0"/>
          <w:lang w:val="en-AU"/>
        </w:rPr>
        <w:t xml:space="preserve">, D, Hill, K, Herdina, Willan, RC, Ellard, K &amp; Deveney, MR 2023, </w:t>
      </w:r>
      <w:hyperlink r:id="rId636" w:history="1">
        <w:r w:rsidRPr="00CB11E0">
          <w:rPr>
            <w:rStyle w:val="Hyperlink"/>
            <w:noProof w:val="0"/>
            <w:lang w:val="en-AU"/>
          </w:rPr>
          <w:t>Assessment of analytical and field performance of qPCR assays for priority marine pests.</w:t>
        </w:r>
      </w:hyperlink>
      <w:r>
        <w:rPr>
          <w:noProof w:val="0"/>
          <w:lang w:val="en-AU"/>
        </w:rPr>
        <w:t xml:space="preserve"> Report to the Department of Agriculture, Water and the Environment. South Australian Research and Development Institute (Aquatic Sciences), Adelaide. SARDI Publication No. F2023/000164-1. SARDI Research Report Series No. 1189. 111pp.</w:t>
      </w:r>
    </w:p>
    <w:p w14:paraId="1DFDAAC8" w14:textId="25F79E87" w:rsidR="00362649" w:rsidRDefault="00362649" w:rsidP="00246AE3">
      <w:pPr>
        <w:pStyle w:val="EndNoteBibliography"/>
        <w:rPr>
          <w:noProof w:val="0"/>
          <w:lang w:val="en-AU"/>
        </w:rPr>
      </w:pPr>
      <w:r w:rsidRPr="00362649">
        <w:rPr>
          <w:noProof w:val="0"/>
          <w:lang w:val="en-AU"/>
        </w:rPr>
        <w:t>Wiltshire</w:t>
      </w:r>
      <w:r>
        <w:rPr>
          <w:noProof w:val="0"/>
          <w:lang w:val="en-AU"/>
        </w:rPr>
        <w:t>,</w:t>
      </w:r>
      <w:r w:rsidRPr="00362649">
        <w:rPr>
          <w:noProof w:val="0"/>
          <w:lang w:val="en-AU"/>
        </w:rPr>
        <w:t xml:space="preserve"> KH, </w:t>
      </w:r>
      <w:proofErr w:type="spellStart"/>
      <w:r w:rsidRPr="00362649">
        <w:rPr>
          <w:noProof w:val="0"/>
          <w:lang w:val="en-AU"/>
        </w:rPr>
        <w:t>Giblot-Ducray</w:t>
      </w:r>
      <w:proofErr w:type="spellEnd"/>
      <w:r>
        <w:rPr>
          <w:noProof w:val="0"/>
          <w:lang w:val="en-AU"/>
        </w:rPr>
        <w:t>,</w:t>
      </w:r>
      <w:r w:rsidRPr="00362649">
        <w:rPr>
          <w:noProof w:val="0"/>
          <w:lang w:val="en-AU"/>
        </w:rPr>
        <w:t xml:space="preserve"> D</w:t>
      </w:r>
      <w:r>
        <w:rPr>
          <w:noProof w:val="0"/>
          <w:lang w:val="en-AU"/>
        </w:rPr>
        <w:t xml:space="preserve"> &amp; </w:t>
      </w:r>
      <w:r w:rsidRPr="00362649">
        <w:rPr>
          <w:noProof w:val="0"/>
          <w:lang w:val="en-AU"/>
        </w:rPr>
        <w:t>Deveney</w:t>
      </w:r>
      <w:r>
        <w:rPr>
          <w:noProof w:val="0"/>
          <w:lang w:val="en-AU"/>
        </w:rPr>
        <w:t>,</w:t>
      </w:r>
      <w:r w:rsidRPr="00362649">
        <w:rPr>
          <w:noProof w:val="0"/>
          <w:lang w:val="en-AU"/>
        </w:rPr>
        <w:t xml:space="preserve"> MR </w:t>
      </w:r>
      <w:r w:rsidR="00E31076">
        <w:rPr>
          <w:noProof w:val="0"/>
          <w:lang w:val="en-AU"/>
        </w:rPr>
        <w:t xml:space="preserve">in press, </w:t>
      </w:r>
      <w:r w:rsidRPr="00B840C5">
        <w:rPr>
          <w:noProof w:val="0"/>
          <w:lang w:val="en-AU"/>
        </w:rPr>
        <w:t>Development and validation of quantitative PCR assays for the invasive bivalves,</w:t>
      </w:r>
      <w:r w:rsidRPr="00A04E26">
        <w:rPr>
          <w:i/>
          <w:iCs/>
          <w:noProof w:val="0"/>
          <w:lang w:val="en-AU"/>
        </w:rPr>
        <w:t xml:space="preserve"> </w:t>
      </w:r>
      <w:r w:rsidRPr="00E31076">
        <w:rPr>
          <w:i/>
          <w:iCs/>
          <w:noProof w:val="0"/>
          <w:lang w:val="en-AU"/>
        </w:rPr>
        <w:t xml:space="preserve">Arcuatula senhousia </w:t>
      </w:r>
      <w:r w:rsidRPr="00B840C5">
        <w:rPr>
          <w:noProof w:val="0"/>
          <w:lang w:val="en-AU"/>
        </w:rPr>
        <w:t xml:space="preserve">and </w:t>
      </w:r>
      <w:r w:rsidRPr="00E31076">
        <w:rPr>
          <w:i/>
          <w:iCs/>
          <w:noProof w:val="0"/>
          <w:lang w:val="en-AU"/>
        </w:rPr>
        <w:t>Varicorbula gibba</w:t>
      </w:r>
      <w:r w:rsidRPr="00A04E26">
        <w:rPr>
          <w:i/>
          <w:iCs/>
          <w:noProof w:val="0"/>
          <w:lang w:val="en-AU"/>
        </w:rPr>
        <w:t>.</w:t>
      </w:r>
      <w:r w:rsidRPr="00362649">
        <w:rPr>
          <w:noProof w:val="0"/>
          <w:lang w:val="en-AU"/>
        </w:rPr>
        <w:t xml:space="preserve"> Report to the Department of Agriculture, Fisheries and Forestry. South Australian Research and Development Institute (Aquatic Sciences), Adelaide.</w:t>
      </w:r>
    </w:p>
    <w:p w14:paraId="3BD6D77F" w14:textId="27CCCA63" w:rsidR="00726611" w:rsidRPr="00A04E26" w:rsidRDefault="00726611" w:rsidP="00246AE3">
      <w:pPr>
        <w:pStyle w:val="EndNoteBibliography"/>
        <w:rPr>
          <w:noProof w:val="0"/>
          <w:lang w:val="en-AU"/>
        </w:rPr>
      </w:pPr>
      <w:r>
        <w:rPr>
          <w:noProof w:val="0"/>
          <w:lang w:val="en-AU"/>
        </w:rPr>
        <w:t xml:space="preserve">Wittmann, ME, Chandra, S, Reuter, JE, </w:t>
      </w:r>
      <w:proofErr w:type="spellStart"/>
      <w:r>
        <w:rPr>
          <w:noProof w:val="0"/>
          <w:lang w:val="en-AU"/>
        </w:rPr>
        <w:t>Schladow</w:t>
      </w:r>
      <w:proofErr w:type="spellEnd"/>
      <w:r>
        <w:rPr>
          <w:noProof w:val="0"/>
          <w:lang w:val="en-AU"/>
        </w:rPr>
        <w:t xml:space="preserve">, SG, Allen, BC &amp; Webb, KJ 2012, </w:t>
      </w:r>
      <w:hyperlink r:id="rId637" w:history="1">
        <w:r w:rsidRPr="00726611">
          <w:rPr>
            <w:rStyle w:val="Hyperlink"/>
            <w:noProof w:val="0"/>
            <w:lang w:val="en-AU"/>
          </w:rPr>
          <w:t xml:space="preserve">The control of an invasive bivalve, </w:t>
        </w:r>
        <w:r w:rsidRPr="00A04E26">
          <w:rPr>
            <w:rStyle w:val="Hyperlink"/>
            <w:i/>
            <w:iCs/>
          </w:rPr>
          <w:t>Corbicula fluminea</w:t>
        </w:r>
        <w:r w:rsidRPr="00726611">
          <w:rPr>
            <w:rStyle w:val="Hyperlink"/>
            <w:noProof w:val="0"/>
            <w:lang w:val="en-AU"/>
          </w:rPr>
          <w:t>, using gas impermeable benthic barriers in a large natural lake</w:t>
        </w:r>
      </w:hyperlink>
      <w:r>
        <w:rPr>
          <w:noProof w:val="0"/>
          <w:lang w:val="en-AU"/>
        </w:rPr>
        <w:t xml:space="preserve">, </w:t>
      </w:r>
      <w:r>
        <w:rPr>
          <w:i/>
          <w:iCs/>
          <w:noProof w:val="0"/>
          <w:lang w:val="en-AU"/>
        </w:rPr>
        <w:t xml:space="preserve">Environmental Management, </w:t>
      </w:r>
      <w:r>
        <w:rPr>
          <w:noProof w:val="0"/>
          <w:lang w:val="en-AU"/>
        </w:rPr>
        <w:t xml:space="preserve">vol. 49, pp. 1163-1173, DOI: </w:t>
      </w:r>
      <w:r w:rsidRPr="00726611">
        <w:rPr>
          <w:noProof w:val="0"/>
          <w:lang w:val="en-AU"/>
        </w:rPr>
        <w:t>10.1007/s00267-012-9850-5</w:t>
      </w:r>
      <w:r>
        <w:rPr>
          <w:noProof w:val="0"/>
          <w:lang w:val="en-AU"/>
        </w:rPr>
        <w:t xml:space="preserve">. </w:t>
      </w:r>
    </w:p>
    <w:p w14:paraId="623C6109" w14:textId="664E3791" w:rsidR="00A948AF" w:rsidRPr="00F47511" w:rsidRDefault="00A948AF" w:rsidP="00C80491">
      <w:pPr>
        <w:spacing w:line="240" w:lineRule="auto"/>
        <w:rPr>
          <w:lang w:eastAsia="en-AU"/>
        </w:rPr>
      </w:pPr>
      <w:bookmarkStart w:id="827" w:name="_Hlk117176887"/>
      <w:r w:rsidRPr="00F47511">
        <w:rPr>
          <w:lang w:eastAsia="en-AU"/>
        </w:rPr>
        <w:t>WOAH</w:t>
      </w:r>
      <w:r w:rsidR="00F47511">
        <w:rPr>
          <w:lang w:eastAsia="en-AU"/>
        </w:rPr>
        <w:t xml:space="preserve"> </w:t>
      </w:r>
      <w:r w:rsidRPr="00F47511">
        <w:rPr>
          <w:lang w:eastAsia="en-AU"/>
        </w:rPr>
        <w:t xml:space="preserve">2022, </w:t>
      </w:r>
      <w:hyperlink r:id="rId638" w:history="1">
        <w:r w:rsidRPr="00F47511">
          <w:rPr>
            <w:rStyle w:val="Hyperlink"/>
            <w:lang w:eastAsia="en-AU"/>
          </w:rPr>
          <w:t xml:space="preserve">Infection with </w:t>
        </w:r>
        <w:proofErr w:type="spellStart"/>
        <w:r w:rsidRPr="00F47511">
          <w:rPr>
            <w:rStyle w:val="Hyperlink"/>
            <w:i/>
            <w:iCs/>
            <w:lang w:eastAsia="en-AU"/>
          </w:rPr>
          <w:t>Marteilia</w:t>
        </w:r>
        <w:proofErr w:type="spellEnd"/>
        <w:r w:rsidRPr="00F47511">
          <w:rPr>
            <w:rStyle w:val="Hyperlink"/>
            <w:i/>
            <w:iCs/>
            <w:lang w:eastAsia="en-AU"/>
          </w:rPr>
          <w:t xml:space="preserve"> </w:t>
        </w:r>
        <w:proofErr w:type="spellStart"/>
        <w:r w:rsidRPr="00F47511">
          <w:rPr>
            <w:rStyle w:val="Hyperlink"/>
            <w:i/>
            <w:iCs/>
            <w:lang w:eastAsia="en-AU"/>
          </w:rPr>
          <w:t>refringens</w:t>
        </w:r>
        <w:proofErr w:type="spellEnd"/>
        <w:r w:rsidRPr="00F47511">
          <w:rPr>
            <w:rStyle w:val="Hyperlink"/>
            <w:lang w:eastAsia="en-AU"/>
          </w:rPr>
          <w:t>, Chapter 2.4.4</w:t>
        </w:r>
      </w:hyperlink>
      <w:r w:rsidR="00F47511">
        <w:rPr>
          <w:lang w:eastAsia="en-AU"/>
        </w:rPr>
        <w:t xml:space="preserve">, </w:t>
      </w:r>
      <w:r w:rsidRPr="00F47511">
        <w:rPr>
          <w:lang w:eastAsia="en-AU"/>
        </w:rPr>
        <w:t>Manual of Diagnostic Tests for Aquatic Animals 2022, World Organisation for Animal Health (WOAH), Paris, pp. 449-60.</w:t>
      </w:r>
    </w:p>
    <w:bookmarkEnd w:id="827"/>
    <w:p w14:paraId="1FA27121" w14:textId="4F9F0822" w:rsidR="006939E1" w:rsidRPr="00DD01E4" w:rsidRDefault="00B5740F" w:rsidP="00C80491">
      <w:pPr>
        <w:pStyle w:val="EndNoteBibliography"/>
        <w:rPr>
          <w:noProof w:val="0"/>
          <w:lang w:val="en-AU"/>
        </w:rPr>
      </w:pPr>
      <w:r w:rsidRPr="00DD01E4">
        <w:rPr>
          <w:noProof w:val="0"/>
          <w:lang w:val="en-AU"/>
        </w:rPr>
        <w:t xml:space="preserve">Wolff, WJ 2005, </w:t>
      </w:r>
      <w:hyperlink r:id="rId639" w:history="1">
        <w:proofErr w:type="gramStart"/>
        <w:r w:rsidRPr="00DD01E4">
          <w:rPr>
            <w:rStyle w:val="Hyperlink"/>
            <w:noProof w:val="0"/>
            <w:lang w:val="en-AU"/>
          </w:rPr>
          <w:t>Non-indigenous</w:t>
        </w:r>
        <w:proofErr w:type="gramEnd"/>
        <w:r w:rsidRPr="00DD01E4">
          <w:rPr>
            <w:rStyle w:val="Hyperlink"/>
            <w:noProof w:val="0"/>
            <w:lang w:val="en-AU"/>
          </w:rPr>
          <w:t xml:space="preserve"> marine and estuarine species in </w:t>
        </w:r>
        <w:r w:rsidR="0072413F" w:rsidRPr="00DD01E4">
          <w:rPr>
            <w:rStyle w:val="Hyperlink"/>
            <w:noProof w:val="0"/>
            <w:lang w:val="en-AU"/>
          </w:rPr>
          <w:t>t</w:t>
        </w:r>
        <w:r w:rsidRPr="00DD01E4">
          <w:rPr>
            <w:rStyle w:val="Hyperlink"/>
            <w:noProof w:val="0"/>
            <w:lang w:val="en-AU"/>
          </w:rPr>
          <w:t>he Netherlands</w:t>
        </w:r>
      </w:hyperlink>
      <w:r w:rsidRPr="00DD01E4">
        <w:rPr>
          <w:noProof w:val="0"/>
          <w:lang w:val="en-AU"/>
        </w:rPr>
        <w:t xml:space="preserve">, </w:t>
      </w:r>
      <w:proofErr w:type="spellStart"/>
      <w:r w:rsidRPr="00DD01E4">
        <w:rPr>
          <w:i/>
          <w:noProof w:val="0"/>
          <w:lang w:val="en-AU"/>
        </w:rPr>
        <w:t>Zoologische</w:t>
      </w:r>
      <w:proofErr w:type="spellEnd"/>
      <w:r w:rsidRPr="00DD01E4">
        <w:rPr>
          <w:i/>
          <w:noProof w:val="0"/>
          <w:lang w:val="en-AU"/>
        </w:rPr>
        <w:t xml:space="preserve"> </w:t>
      </w:r>
      <w:proofErr w:type="spellStart"/>
      <w:r w:rsidRPr="00DD01E4">
        <w:rPr>
          <w:i/>
          <w:noProof w:val="0"/>
          <w:lang w:val="en-AU"/>
        </w:rPr>
        <w:t>Mededelingen</w:t>
      </w:r>
      <w:proofErr w:type="spellEnd"/>
      <w:r w:rsidRPr="00DD01E4">
        <w:rPr>
          <w:noProof w:val="0"/>
          <w:lang w:val="en-AU"/>
        </w:rPr>
        <w:t>, vol. 79, pp. 1-116.</w:t>
      </w:r>
    </w:p>
    <w:p w14:paraId="452DBC6F" w14:textId="31642D41" w:rsidR="00CC2DEE" w:rsidRPr="00DD01E4" w:rsidRDefault="00CC2DEE" w:rsidP="00C80491">
      <w:pPr>
        <w:spacing w:line="240" w:lineRule="auto"/>
        <w:rPr>
          <w:lang w:eastAsia="ja-JP"/>
        </w:rPr>
      </w:pPr>
      <w:proofErr w:type="spellStart"/>
      <w:r w:rsidRPr="00DD01E4">
        <w:rPr>
          <w:lang w:eastAsia="ja-JP"/>
        </w:rPr>
        <w:t>Wonham</w:t>
      </w:r>
      <w:proofErr w:type="spellEnd"/>
      <w:r w:rsidRPr="00DD01E4">
        <w:rPr>
          <w:lang w:eastAsia="ja-JP"/>
        </w:rPr>
        <w:t xml:space="preserve">, MJ &amp; Lewis, MA 2009, </w:t>
      </w:r>
      <w:r w:rsidR="00DD01E4" w:rsidRPr="00DD01E4">
        <w:rPr>
          <w:lang w:eastAsia="ja-JP"/>
        </w:rPr>
        <w:t>Modelling</w:t>
      </w:r>
      <w:r w:rsidRPr="00DD01E4">
        <w:rPr>
          <w:lang w:eastAsia="ja-JP"/>
        </w:rPr>
        <w:t xml:space="preserve"> Marine Invasions: Current and Future Approaches, in G </w:t>
      </w:r>
      <w:proofErr w:type="spellStart"/>
      <w:r w:rsidRPr="00DD01E4">
        <w:rPr>
          <w:lang w:eastAsia="ja-JP"/>
        </w:rPr>
        <w:t>Rilov</w:t>
      </w:r>
      <w:proofErr w:type="spellEnd"/>
      <w:r w:rsidRPr="00DD01E4">
        <w:rPr>
          <w:lang w:eastAsia="ja-JP"/>
        </w:rPr>
        <w:t xml:space="preserve"> and JA Crooks (eds), </w:t>
      </w:r>
      <w:hyperlink r:id="rId640" w:history="1">
        <w:r w:rsidRPr="00DD01E4">
          <w:rPr>
            <w:rStyle w:val="Hyperlink"/>
          </w:rPr>
          <w:t>Biological Invasions in Marine Ecosystems: Ecological, Management, and Geographic Perspectives'</w:t>
        </w:r>
      </w:hyperlink>
      <w:r w:rsidRPr="00DD01E4">
        <w:rPr>
          <w:lang w:eastAsia="ja-JP"/>
        </w:rPr>
        <w:t>, Springer, Berlin, Heidelberg, accessed 21 March 2023.</w:t>
      </w:r>
    </w:p>
    <w:p w14:paraId="6FBB75BE" w14:textId="6D938012" w:rsidR="006939E1" w:rsidRPr="00DD01E4" w:rsidRDefault="00B5740F" w:rsidP="00C80491">
      <w:pPr>
        <w:pStyle w:val="EndNoteBibliography"/>
        <w:rPr>
          <w:noProof w:val="0"/>
          <w:lang w:val="en-AU"/>
        </w:rPr>
      </w:pPr>
      <w:r w:rsidRPr="00DD01E4">
        <w:rPr>
          <w:noProof w:val="0"/>
          <w:lang w:val="en-AU"/>
        </w:rPr>
        <w:t xml:space="preserve">Woods, C, </w:t>
      </w:r>
      <w:proofErr w:type="spellStart"/>
      <w:r w:rsidRPr="00DD01E4">
        <w:rPr>
          <w:noProof w:val="0"/>
          <w:lang w:val="en-AU"/>
        </w:rPr>
        <w:t>Floerl</w:t>
      </w:r>
      <w:proofErr w:type="spellEnd"/>
      <w:r w:rsidRPr="00DD01E4">
        <w:rPr>
          <w:noProof w:val="0"/>
          <w:lang w:val="en-AU"/>
        </w:rPr>
        <w:t xml:space="preserve">, O, Fitridge, I, Johnston, O, Robinson, K, Rupp, D, Davey, N, Rush, N &amp; Smith, M 2007, </w:t>
      </w:r>
      <w:hyperlink r:id="rId641" w:history="1">
        <w:r w:rsidR="0072413F" w:rsidRPr="00DD01E4">
          <w:rPr>
            <w:rStyle w:val="Hyperlink"/>
            <w:iCs/>
            <w:noProof w:val="0"/>
            <w:lang w:val="en-AU"/>
          </w:rPr>
          <w:t>Efficacy of hull cleaning operations in containing biological material</w:t>
        </w:r>
      </w:hyperlink>
      <w:r w:rsidR="00DD01E4">
        <w:rPr>
          <w:iCs/>
          <w:noProof w:val="0"/>
          <w:lang w:val="en-AU"/>
        </w:rPr>
        <w:t xml:space="preserve">, </w:t>
      </w:r>
      <w:r w:rsidR="0072413F" w:rsidRPr="00DD01E4">
        <w:rPr>
          <w:noProof w:val="0"/>
          <w:lang w:val="en-AU"/>
        </w:rPr>
        <w:t>MAF Biosecurity New Zealand Project ZBS2005-22, Wellington, New Zealand p. 116.</w:t>
      </w:r>
    </w:p>
    <w:p w14:paraId="0B5BD871" w14:textId="734A2DF5" w:rsidR="006939E1" w:rsidRDefault="00B5740F" w:rsidP="00C80491">
      <w:pPr>
        <w:pStyle w:val="EndNoteBibliography"/>
        <w:rPr>
          <w:noProof w:val="0"/>
          <w:lang w:val="en-AU"/>
        </w:rPr>
      </w:pPr>
      <w:r w:rsidRPr="00DD01E4">
        <w:rPr>
          <w:noProof w:val="0"/>
          <w:lang w:val="en-AU"/>
        </w:rPr>
        <w:t xml:space="preserve">Wotton, DM &amp; Hewitt, CL 2004, </w:t>
      </w:r>
      <w:hyperlink r:id="rId642" w:history="1">
        <w:r w:rsidRPr="00DD01E4">
          <w:rPr>
            <w:rStyle w:val="Hyperlink"/>
            <w:noProof w:val="0"/>
            <w:lang w:val="en-AU"/>
          </w:rPr>
          <w:t>Marine biosecurity post‐border management: Developing incursion response systems for New Zealand</w:t>
        </w:r>
      </w:hyperlink>
      <w:r w:rsidR="00DD01E4">
        <w:rPr>
          <w:noProof w:val="0"/>
          <w:lang w:val="en-AU"/>
        </w:rPr>
        <w:t>,</w:t>
      </w:r>
      <w:r w:rsidRPr="00DD01E4">
        <w:rPr>
          <w:noProof w:val="0"/>
          <w:lang w:val="en-AU"/>
        </w:rPr>
        <w:t xml:space="preserve"> </w:t>
      </w:r>
      <w:r w:rsidRPr="00DD01E4">
        <w:rPr>
          <w:i/>
          <w:noProof w:val="0"/>
          <w:lang w:val="en-AU"/>
        </w:rPr>
        <w:t>New Zealand Journal of Marine and Freshwater Research</w:t>
      </w:r>
      <w:r w:rsidRPr="00DD01E4">
        <w:rPr>
          <w:noProof w:val="0"/>
          <w:lang w:val="en-AU"/>
        </w:rPr>
        <w:t>, vol. 38, no. 3, pp. 553-9</w:t>
      </w:r>
      <w:r w:rsidR="00DD01E4">
        <w:rPr>
          <w:noProof w:val="0"/>
          <w:lang w:val="en-AU"/>
        </w:rPr>
        <w:t xml:space="preserve">, DOI: </w:t>
      </w:r>
      <w:r w:rsidR="00DD01E4" w:rsidRPr="00DD01E4">
        <w:rPr>
          <w:noProof w:val="0"/>
          <w:lang w:val="en-AU"/>
        </w:rPr>
        <w:t>10.1080/00288330.2004.9517260</w:t>
      </w:r>
      <w:r w:rsidR="00DD01E4">
        <w:rPr>
          <w:noProof w:val="0"/>
          <w:lang w:val="en-AU"/>
        </w:rPr>
        <w:t>.</w:t>
      </w:r>
    </w:p>
    <w:p w14:paraId="21C4F8C5" w14:textId="74582157" w:rsidR="00341E8D" w:rsidRPr="00341E8D" w:rsidRDefault="00341E8D" w:rsidP="00C80491">
      <w:pPr>
        <w:pStyle w:val="EndNoteBibliography"/>
        <w:rPr>
          <w:noProof w:val="0"/>
          <w:lang w:val="en-AU"/>
        </w:rPr>
      </w:pPr>
      <w:r>
        <w:rPr>
          <w:noProof w:val="0"/>
          <w:lang w:val="en-AU"/>
        </w:rPr>
        <w:t xml:space="preserve">Xavier, B 2017, </w:t>
      </w:r>
      <w:hyperlink r:id="rId643" w:history="1">
        <w:r w:rsidRPr="00341E8D">
          <w:rPr>
            <w:rStyle w:val="Hyperlink"/>
            <w:i/>
            <w:iCs/>
            <w:noProof w:val="0"/>
            <w:lang w:val="en-AU"/>
          </w:rPr>
          <w:t xml:space="preserve">Crassostrea </w:t>
        </w:r>
        <w:proofErr w:type="spellStart"/>
        <w:r w:rsidRPr="00341E8D">
          <w:rPr>
            <w:rStyle w:val="Hyperlink"/>
            <w:i/>
            <w:iCs/>
            <w:noProof w:val="0"/>
            <w:lang w:val="en-AU"/>
          </w:rPr>
          <w:t>madrasensis</w:t>
        </w:r>
        <w:proofErr w:type="spellEnd"/>
        <w:r w:rsidRPr="00341E8D">
          <w:rPr>
            <w:rStyle w:val="Hyperlink"/>
            <w:i/>
            <w:iCs/>
            <w:noProof w:val="0"/>
            <w:lang w:val="en-AU"/>
          </w:rPr>
          <w:t xml:space="preserve"> </w:t>
        </w:r>
        <w:r w:rsidRPr="00341E8D">
          <w:rPr>
            <w:rStyle w:val="Hyperlink"/>
            <w:noProof w:val="0"/>
            <w:lang w:val="en-AU"/>
          </w:rPr>
          <w:t>(Preston, 1916)</w:t>
        </w:r>
      </w:hyperlink>
      <w:r>
        <w:rPr>
          <w:noProof w:val="0"/>
          <w:lang w:val="en-AU"/>
        </w:rPr>
        <w:t xml:space="preserve">, in Prioritized species for mariculture in India, ICAR – Central Marine Fisheries Research Institute, Kochi, pp. 161-166. </w:t>
      </w:r>
    </w:p>
    <w:p w14:paraId="082862FC" w14:textId="3AF17458" w:rsidR="00246AE3" w:rsidRPr="00246AE3" w:rsidRDefault="00246AE3" w:rsidP="00C80491">
      <w:pPr>
        <w:pStyle w:val="EndNoteBibliography"/>
        <w:rPr>
          <w:noProof w:val="0"/>
          <w:lang w:val="en-AU"/>
        </w:rPr>
      </w:pPr>
      <w:r w:rsidRPr="00246AE3">
        <w:rPr>
          <w:noProof w:val="0"/>
          <w:lang w:val="en-AU"/>
        </w:rPr>
        <w:t xml:space="preserve">Yonge, CM 1946, </w:t>
      </w:r>
      <w:hyperlink r:id="rId644" w:history="1">
        <w:r w:rsidRPr="00246AE3">
          <w:rPr>
            <w:rStyle w:val="Hyperlink"/>
            <w:noProof w:val="0"/>
            <w:lang w:val="en-AU"/>
          </w:rPr>
          <w:t xml:space="preserve">On the habits and adaptations of </w:t>
        </w:r>
        <w:proofErr w:type="spellStart"/>
        <w:r w:rsidRPr="00246AE3">
          <w:rPr>
            <w:rStyle w:val="Hyperlink"/>
            <w:i/>
            <w:iCs/>
            <w:noProof w:val="0"/>
            <w:lang w:val="en-AU"/>
          </w:rPr>
          <w:t>Aloidis</w:t>
        </w:r>
        <w:proofErr w:type="spellEnd"/>
        <w:r w:rsidRPr="00246AE3">
          <w:rPr>
            <w:rStyle w:val="Hyperlink"/>
            <w:i/>
            <w:iCs/>
            <w:noProof w:val="0"/>
            <w:lang w:val="en-AU"/>
          </w:rPr>
          <w:t xml:space="preserve"> (</w:t>
        </w:r>
        <w:proofErr w:type="spellStart"/>
        <w:r w:rsidRPr="00246AE3">
          <w:rPr>
            <w:rStyle w:val="Hyperlink"/>
            <w:i/>
            <w:iCs/>
            <w:noProof w:val="0"/>
            <w:lang w:val="en-AU"/>
          </w:rPr>
          <w:t>Corbula</w:t>
        </w:r>
        <w:proofErr w:type="spellEnd"/>
        <w:r w:rsidRPr="00246AE3">
          <w:rPr>
            <w:rStyle w:val="Hyperlink"/>
            <w:i/>
            <w:iCs/>
            <w:noProof w:val="0"/>
            <w:lang w:val="en-AU"/>
          </w:rPr>
          <w:t>) gibba</w:t>
        </w:r>
      </w:hyperlink>
      <w:r w:rsidRPr="00246AE3">
        <w:rPr>
          <w:noProof w:val="0"/>
          <w:lang w:val="en-AU"/>
        </w:rPr>
        <w:t xml:space="preserve">, </w:t>
      </w:r>
      <w:r w:rsidRPr="00246AE3">
        <w:rPr>
          <w:i/>
          <w:iCs/>
          <w:noProof w:val="0"/>
          <w:lang w:val="en-AU"/>
        </w:rPr>
        <w:t xml:space="preserve">Journal of the Marine Biological Association of the United Kingdom, </w:t>
      </w:r>
      <w:r w:rsidRPr="00246AE3">
        <w:rPr>
          <w:noProof w:val="0"/>
          <w:lang w:val="en-AU"/>
        </w:rPr>
        <w:t>vol. 26, no. 3, pp. 358-76, DOI: 10.1017/S0025315400012182.</w:t>
      </w:r>
    </w:p>
    <w:p w14:paraId="4072F419" w14:textId="490148EA" w:rsidR="00246AE3" w:rsidRPr="00246AE3" w:rsidRDefault="00246AE3" w:rsidP="00246AE3">
      <w:pPr>
        <w:spacing w:line="240" w:lineRule="auto"/>
        <w:rPr>
          <w:lang w:eastAsia="ja-JP"/>
        </w:rPr>
      </w:pPr>
      <w:r w:rsidRPr="00B13B6F">
        <w:rPr>
          <w:lang w:eastAsia="ja-JP"/>
        </w:rPr>
        <w:t>Young</w:t>
      </w:r>
      <w:r w:rsidRPr="00BE09E6">
        <w:rPr>
          <w:lang w:eastAsia="ja-JP"/>
        </w:rPr>
        <w:t xml:space="preserve">, HS, Parker, IM, Gilbert, GS, Sofia Guerra, A &amp; Nunn, CL 2017, </w:t>
      </w:r>
      <w:hyperlink r:id="rId645" w:history="1">
        <w:r w:rsidRPr="00581E99">
          <w:rPr>
            <w:rStyle w:val="Hyperlink"/>
          </w:rPr>
          <w:t>Introduced Species, Disease Ecology, and Biodiversity-Disease Relationships</w:t>
        </w:r>
      </w:hyperlink>
      <w:r w:rsidRPr="00581E99">
        <w:rPr>
          <w:lang w:eastAsia="ja-JP"/>
        </w:rPr>
        <w:t>,</w:t>
      </w:r>
      <w:r w:rsidRPr="00B13B6F">
        <w:rPr>
          <w:lang w:eastAsia="ja-JP"/>
        </w:rPr>
        <w:t xml:space="preserve"> </w:t>
      </w:r>
      <w:r w:rsidRPr="00581E99">
        <w:rPr>
          <w:i/>
          <w:iCs/>
          <w:lang w:eastAsia="ja-JP"/>
        </w:rPr>
        <w:t>Trends in Ecology &amp; Evolution</w:t>
      </w:r>
      <w:r w:rsidRPr="00B13B6F">
        <w:rPr>
          <w:lang w:eastAsia="ja-JP"/>
        </w:rPr>
        <w:t>, vol.</w:t>
      </w:r>
      <w:r w:rsidRPr="00BE09E6">
        <w:rPr>
          <w:lang w:eastAsia="ja-JP"/>
        </w:rPr>
        <w:t xml:space="preserve"> 32,</w:t>
      </w:r>
      <w:r w:rsidRPr="00581E99">
        <w:rPr>
          <w:lang w:eastAsia="ja-JP"/>
        </w:rPr>
        <w:t xml:space="preserve"> no. 1, </w:t>
      </w:r>
      <w:r w:rsidRPr="00B13B6F">
        <w:rPr>
          <w:lang w:eastAsia="ja-JP"/>
        </w:rPr>
        <w:t xml:space="preserve"> pp.</w:t>
      </w:r>
      <w:r w:rsidRPr="00BE09E6">
        <w:rPr>
          <w:lang w:eastAsia="ja-JP"/>
        </w:rPr>
        <w:t xml:space="preserve"> 41</w:t>
      </w:r>
      <w:r w:rsidRPr="00581E99">
        <w:t>–</w:t>
      </w:r>
      <w:r w:rsidRPr="00B13B6F">
        <w:rPr>
          <w:lang w:eastAsia="ja-JP"/>
        </w:rPr>
        <w:t>54</w:t>
      </w:r>
      <w:r w:rsidRPr="00581E99">
        <w:rPr>
          <w:lang w:eastAsia="ja-JP"/>
        </w:rPr>
        <w:t xml:space="preserve">, DOI: </w:t>
      </w:r>
      <w:r w:rsidRPr="00B13B6F">
        <w:rPr>
          <w:lang w:eastAsia="ja-JP"/>
        </w:rPr>
        <w:t>10.1016/j.tree.2016.09.008</w:t>
      </w:r>
      <w:r w:rsidRPr="00BE09E6">
        <w:rPr>
          <w:lang w:eastAsia="ja-JP"/>
        </w:rPr>
        <w:t>.</w:t>
      </w:r>
    </w:p>
    <w:p w14:paraId="4B1002EA" w14:textId="3C52D6BF" w:rsidR="00C80491" w:rsidRPr="00846769" w:rsidRDefault="00C80491" w:rsidP="00C80491">
      <w:pPr>
        <w:pStyle w:val="EndNoteBibliography"/>
        <w:rPr>
          <w:noProof w:val="0"/>
          <w:highlight w:val="green"/>
          <w:lang w:val="en-AU"/>
        </w:rPr>
      </w:pPr>
      <w:proofErr w:type="spellStart"/>
      <w:r w:rsidRPr="00C80491">
        <w:rPr>
          <w:noProof w:val="0"/>
          <w:lang w:val="en-AU"/>
        </w:rPr>
        <w:t>Zaiko</w:t>
      </w:r>
      <w:proofErr w:type="spellEnd"/>
      <w:r w:rsidRPr="00C80491">
        <w:rPr>
          <w:noProof w:val="0"/>
          <w:lang w:val="en-AU"/>
        </w:rPr>
        <w:t xml:space="preserve">, A, </w:t>
      </w:r>
      <w:proofErr w:type="spellStart"/>
      <w:r w:rsidRPr="00C80491">
        <w:rPr>
          <w:noProof w:val="0"/>
          <w:lang w:val="en-AU"/>
        </w:rPr>
        <w:t>Pochon</w:t>
      </w:r>
      <w:proofErr w:type="spellEnd"/>
      <w:r w:rsidRPr="00C80491">
        <w:rPr>
          <w:noProof w:val="0"/>
          <w:lang w:val="en-AU"/>
        </w:rPr>
        <w:t xml:space="preserve">, X, Garcia-Vazquez, E, </w:t>
      </w:r>
      <w:proofErr w:type="spellStart"/>
      <w:r w:rsidRPr="00C80491">
        <w:rPr>
          <w:noProof w:val="0"/>
          <w:lang w:val="en-AU"/>
        </w:rPr>
        <w:t>Olenin</w:t>
      </w:r>
      <w:proofErr w:type="spellEnd"/>
      <w:r w:rsidRPr="00C80491">
        <w:rPr>
          <w:noProof w:val="0"/>
          <w:lang w:val="en-AU"/>
        </w:rPr>
        <w:t xml:space="preserve">, S &amp; Wood, SA 2018, </w:t>
      </w:r>
      <w:hyperlink r:id="rId646" w:history="1">
        <w:r w:rsidRPr="00C80491">
          <w:rPr>
            <w:rStyle w:val="Hyperlink"/>
            <w:noProof w:val="0"/>
            <w:lang w:val="en-AU"/>
          </w:rPr>
          <w:t>Advantages and limitations of environmental DNA/RNA tools for marine biosecurity: management and surveillance of non-indigenous species</w:t>
        </w:r>
      </w:hyperlink>
      <w:r w:rsidRPr="00C80491">
        <w:rPr>
          <w:noProof w:val="0"/>
          <w:lang w:val="en-AU"/>
        </w:rPr>
        <w:t xml:space="preserve">, </w:t>
      </w:r>
      <w:r w:rsidRPr="00C80491">
        <w:rPr>
          <w:i/>
          <w:iCs/>
          <w:noProof w:val="0"/>
          <w:lang w:val="en-AU"/>
        </w:rPr>
        <w:t>Frontiers in Marine Science</w:t>
      </w:r>
      <w:r w:rsidRPr="00C80491">
        <w:rPr>
          <w:noProof w:val="0"/>
          <w:lang w:val="en-AU"/>
        </w:rPr>
        <w:t>, vol. 5, pp. 322, DOI: 10.3389/fmars.2018.00322</w:t>
      </w:r>
      <w:r>
        <w:rPr>
          <w:noProof w:val="0"/>
          <w:lang w:val="en-AU"/>
        </w:rPr>
        <w:t>.</w:t>
      </w:r>
    </w:p>
    <w:p w14:paraId="132A5F7C" w14:textId="602A7C12" w:rsidR="00CA5394" w:rsidRDefault="00B5740F" w:rsidP="00C80491">
      <w:pPr>
        <w:pStyle w:val="EndNoteBibliography"/>
        <w:rPr>
          <w:noProof w:val="0"/>
          <w:lang w:val="en-AU"/>
        </w:rPr>
      </w:pPr>
      <w:proofErr w:type="spellStart"/>
      <w:r w:rsidRPr="00DD01E4">
        <w:rPr>
          <w:noProof w:val="0"/>
          <w:lang w:val="en-AU"/>
        </w:rPr>
        <w:t>Zenetos</w:t>
      </w:r>
      <w:proofErr w:type="spellEnd"/>
      <w:r w:rsidRPr="00DD01E4">
        <w:rPr>
          <w:noProof w:val="0"/>
          <w:lang w:val="en-AU"/>
        </w:rPr>
        <w:t xml:space="preserve">, A, </w:t>
      </w:r>
      <w:proofErr w:type="spellStart"/>
      <w:r w:rsidRPr="00DD01E4">
        <w:rPr>
          <w:noProof w:val="0"/>
          <w:lang w:val="en-AU"/>
        </w:rPr>
        <w:t>Koutsoubas</w:t>
      </w:r>
      <w:proofErr w:type="spellEnd"/>
      <w:r w:rsidRPr="00DD01E4">
        <w:rPr>
          <w:noProof w:val="0"/>
          <w:lang w:val="en-AU"/>
        </w:rPr>
        <w:t xml:space="preserve">, D &amp; </w:t>
      </w:r>
      <w:proofErr w:type="spellStart"/>
      <w:r w:rsidRPr="00DD01E4">
        <w:rPr>
          <w:noProof w:val="0"/>
          <w:lang w:val="en-AU"/>
        </w:rPr>
        <w:t>Vardala</w:t>
      </w:r>
      <w:proofErr w:type="spellEnd"/>
      <w:r w:rsidRPr="00DD01E4">
        <w:rPr>
          <w:noProof w:val="0"/>
          <w:lang w:val="en-AU"/>
        </w:rPr>
        <w:t xml:space="preserve">-Theodorou, E 2005, </w:t>
      </w:r>
      <w:hyperlink r:id="rId647" w:history="1">
        <w:r w:rsidRPr="00DD01E4">
          <w:rPr>
            <w:rStyle w:val="Hyperlink"/>
            <w:noProof w:val="0"/>
            <w:lang w:val="en-AU"/>
          </w:rPr>
          <w:t>Origin and vectors of introduction of exotic molluscs in Greek Waters</w:t>
        </w:r>
      </w:hyperlink>
      <w:r w:rsidRPr="00DD01E4">
        <w:rPr>
          <w:noProof w:val="0"/>
          <w:lang w:val="en-AU"/>
        </w:rPr>
        <w:t xml:space="preserve">, </w:t>
      </w:r>
      <w:r w:rsidRPr="00DD01E4">
        <w:rPr>
          <w:i/>
          <w:noProof w:val="0"/>
          <w:lang w:val="en-AU"/>
        </w:rPr>
        <w:t xml:space="preserve">Belgian </w:t>
      </w:r>
      <w:r w:rsidR="00C8316B" w:rsidRPr="00DD01E4">
        <w:rPr>
          <w:i/>
          <w:noProof w:val="0"/>
          <w:lang w:val="en-AU"/>
        </w:rPr>
        <w:t>J</w:t>
      </w:r>
      <w:r w:rsidRPr="00DD01E4">
        <w:rPr>
          <w:i/>
          <w:noProof w:val="0"/>
          <w:lang w:val="en-AU"/>
        </w:rPr>
        <w:t xml:space="preserve">ournal of </w:t>
      </w:r>
      <w:r w:rsidR="00C8316B" w:rsidRPr="00DD01E4">
        <w:rPr>
          <w:i/>
          <w:noProof w:val="0"/>
          <w:lang w:val="en-AU"/>
        </w:rPr>
        <w:t>Z</w:t>
      </w:r>
      <w:r w:rsidRPr="00DD01E4">
        <w:rPr>
          <w:i/>
          <w:noProof w:val="0"/>
          <w:lang w:val="en-AU"/>
        </w:rPr>
        <w:t>oology</w:t>
      </w:r>
      <w:r w:rsidRPr="00DD01E4">
        <w:rPr>
          <w:noProof w:val="0"/>
          <w:lang w:val="en-AU"/>
        </w:rPr>
        <w:t>, vol. 135, no. 2, p. 279.</w:t>
      </w:r>
    </w:p>
    <w:p w14:paraId="43C9B458" w14:textId="2553E001" w:rsidR="007F3FF4" w:rsidRPr="007F3FF4" w:rsidRDefault="007F3FF4" w:rsidP="00C80491">
      <w:pPr>
        <w:pStyle w:val="EndNoteBibliography"/>
        <w:rPr>
          <w:noProof w:val="0"/>
          <w:lang w:val="en-AU"/>
        </w:rPr>
      </w:pPr>
      <w:proofErr w:type="spellStart"/>
      <w:r>
        <w:rPr>
          <w:noProof w:val="0"/>
          <w:lang w:val="en-AU"/>
        </w:rPr>
        <w:t>Zenetos</w:t>
      </w:r>
      <w:proofErr w:type="spellEnd"/>
      <w:r>
        <w:rPr>
          <w:noProof w:val="0"/>
          <w:lang w:val="en-AU"/>
        </w:rPr>
        <w:t xml:space="preserve">, A 2016, </w:t>
      </w:r>
      <w:hyperlink r:id="rId648" w:history="1">
        <w:r w:rsidRPr="007F3FF4">
          <w:rPr>
            <w:rStyle w:val="Hyperlink"/>
            <w:i/>
            <w:iCs/>
            <w:noProof w:val="0"/>
            <w:lang w:val="en-AU"/>
          </w:rPr>
          <w:t xml:space="preserve">Arcuatula senhousia </w:t>
        </w:r>
        <w:r w:rsidRPr="007F3FF4">
          <w:rPr>
            <w:rStyle w:val="Hyperlink"/>
            <w:noProof w:val="0"/>
            <w:lang w:val="en-AU"/>
          </w:rPr>
          <w:t>(Asian date mussel) datasheet</w:t>
        </w:r>
      </w:hyperlink>
      <w:r>
        <w:rPr>
          <w:noProof w:val="0"/>
          <w:lang w:val="en-AU"/>
        </w:rPr>
        <w:t xml:space="preserve">, CABI Compendium, CABI International, DOI: </w:t>
      </w:r>
      <w:r w:rsidRPr="007F3FF4">
        <w:rPr>
          <w:noProof w:val="0"/>
          <w:lang w:val="en-AU"/>
        </w:rPr>
        <w:t>10.1079/cabicompendium.107753</w:t>
      </w:r>
      <w:r>
        <w:rPr>
          <w:noProof w:val="0"/>
          <w:lang w:val="en-AU"/>
        </w:rPr>
        <w:t xml:space="preserve">, accessed 23 July 2024. </w:t>
      </w:r>
    </w:p>
    <w:p w14:paraId="29BA7079" w14:textId="7A22DBDC" w:rsidR="006939E1" w:rsidRDefault="00B5740F" w:rsidP="00C80491">
      <w:pPr>
        <w:pStyle w:val="EndNoteBibliography"/>
        <w:rPr>
          <w:noProof w:val="0"/>
          <w:lang w:val="en-AU"/>
        </w:rPr>
      </w:pPr>
      <w:r w:rsidRPr="00DD01E4">
        <w:rPr>
          <w:noProof w:val="0"/>
          <w:lang w:val="en-AU"/>
        </w:rPr>
        <w:lastRenderedPageBreak/>
        <w:t xml:space="preserve">Zhang, J, Yurchenko, OV, </w:t>
      </w:r>
      <w:proofErr w:type="spellStart"/>
      <w:r w:rsidRPr="00DD01E4">
        <w:rPr>
          <w:noProof w:val="0"/>
          <w:lang w:val="en-AU"/>
        </w:rPr>
        <w:t>Lutaenko</w:t>
      </w:r>
      <w:proofErr w:type="spellEnd"/>
      <w:r w:rsidRPr="00DD01E4">
        <w:rPr>
          <w:noProof w:val="0"/>
          <w:lang w:val="en-AU"/>
        </w:rPr>
        <w:t xml:space="preserve">, KA, Kalachev, AV, </w:t>
      </w:r>
      <w:proofErr w:type="spellStart"/>
      <w:r w:rsidRPr="00DD01E4">
        <w:rPr>
          <w:noProof w:val="0"/>
          <w:lang w:val="en-AU"/>
        </w:rPr>
        <w:t>Nekhaev</w:t>
      </w:r>
      <w:proofErr w:type="spellEnd"/>
      <w:r w:rsidRPr="00DD01E4">
        <w:rPr>
          <w:noProof w:val="0"/>
          <w:lang w:val="en-AU"/>
        </w:rPr>
        <w:t xml:space="preserve">, IO, Aguilar, R, Zhan, Z &amp; Ogburn, MB 2018, </w:t>
      </w:r>
      <w:hyperlink r:id="rId649" w:history="1">
        <w:r w:rsidRPr="00DD01E4">
          <w:rPr>
            <w:rStyle w:val="Hyperlink"/>
            <w:noProof w:val="0"/>
            <w:lang w:val="en-AU"/>
          </w:rPr>
          <w:t xml:space="preserve">A tale of two soft-shell clams: an integrative taxonomic analysis confirms </w:t>
        </w:r>
        <w:r w:rsidRPr="00DD01E4">
          <w:rPr>
            <w:rStyle w:val="Hyperlink"/>
            <w:i/>
            <w:iCs/>
            <w:noProof w:val="0"/>
            <w:lang w:val="en-AU"/>
          </w:rPr>
          <w:t>Mya japonica</w:t>
        </w:r>
        <w:r w:rsidRPr="00DD01E4">
          <w:rPr>
            <w:rStyle w:val="Hyperlink"/>
            <w:noProof w:val="0"/>
            <w:lang w:val="en-AU"/>
          </w:rPr>
          <w:t xml:space="preserve"> as a valid species distinct from </w:t>
        </w:r>
        <w:r w:rsidRPr="00DD01E4">
          <w:rPr>
            <w:rStyle w:val="Hyperlink"/>
            <w:i/>
            <w:iCs/>
            <w:noProof w:val="0"/>
            <w:lang w:val="en-AU"/>
          </w:rPr>
          <w:t>Mya arenaria</w:t>
        </w:r>
        <w:r w:rsidRPr="00DD01E4">
          <w:rPr>
            <w:rStyle w:val="Hyperlink"/>
            <w:noProof w:val="0"/>
            <w:lang w:val="en-AU"/>
          </w:rPr>
          <w:t xml:space="preserve"> (Bivalvia: </w:t>
        </w:r>
        <w:proofErr w:type="spellStart"/>
        <w:r w:rsidRPr="00DD01E4">
          <w:rPr>
            <w:rStyle w:val="Hyperlink"/>
            <w:noProof w:val="0"/>
            <w:lang w:val="en-AU"/>
          </w:rPr>
          <w:t>Myidae</w:t>
        </w:r>
        <w:proofErr w:type="spellEnd"/>
        <w:r w:rsidRPr="00DD01E4">
          <w:rPr>
            <w:rStyle w:val="Hyperlink"/>
            <w:noProof w:val="0"/>
            <w:lang w:val="en-AU"/>
          </w:rPr>
          <w:t>)</w:t>
        </w:r>
      </w:hyperlink>
      <w:r w:rsidRPr="00DD01E4">
        <w:rPr>
          <w:noProof w:val="0"/>
          <w:lang w:val="en-AU"/>
        </w:rPr>
        <w:t xml:space="preserve">, </w:t>
      </w:r>
      <w:r w:rsidRPr="00DD01E4">
        <w:rPr>
          <w:i/>
          <w:noProof w:val="0"/>
          <w:lang w:val="en-AU"/>
        </w:rPr>
        <w:t>Zoological Journal of the Linnean Society</w:t>
      </w:r>
      <w:r w:rsidRPr="00DD01E4">
        <w:rPr>
          <w:noProof w:val="0"/>
          <w:lang w:val="en-AU"/>
        </w:rPr>
        <w:t>, vol. 184, no. 3, pp. 605-22</w:t>
      </w:r>
      <w:r w:rsidR="00DD01E4">
        <w:rPr>
          <w:noProof w:val="0"/>
          <w:lang w:val="en-AU"/>
        </w:rPr>
        <w:t xml:space="preserve">, DOI: </w:t>
      </w:r>
      <w:r w:rsidR="00DD01E4" w:rsidRPr="00DD01E4">
        <w:rPr>
          <w:noProof w:val="0"/>
          <w:lang w:val="en-AU"/>
        </w:rPr>
        <w:t>10.1093/</w:t>
      </w:r>
      <w:proofErr w:type="spellStart"/>
      <w:r w:rsidR="00DD01E4" w:rsidRPr="00DD01E4">
        <w:rPr>
          <w:noProof w:val="0"/>
          <w:lang w:val="en-AU"/>
        </w:rPr>
        <w:t>zoolinnean</w:t>
      </w:r>
      <w:proofErr w:type="spellEnd"/>
      <w:r w:rsidR="00DD01E4" w:rsidRPr="00DD01E4">
        <w:rPr>
          <w:noProof w:val="0"/>
          <w:lang w:val="en-AU"/>
        </w:rPr>
        <w:t>/zlx107</w:t>
      </w:r>
      <w:r w:rsidR="00DD01E4">
        <w:rPr>
          <w:noProof w:val="0"/>
          <w:lang w:val="en-AU"/>
        </w:rPr>
        <w:t>.</w:t>
      </w:r>
    </w:p>
    <w:p w14:paraId="1F26A189" w14:textId="44214F0D" w:rsidR="00B25DD3" w:rsidRPr="00B25DD3" w:rsidRDefault="00B25DD3" w:rsidP="00C80491">
      <w:pPr>
        <w:pStyle w:val="EndNoteBibliography"/>
        <w:rPr>
          <w:noProof w:val="0"/>
          <w:lang w:val="en-AU"/>
        </w:rPr>
      </w:pPr>
      <w:r>
        <w:rPr>
          <w:noProof w:val="0"/>
          <w:lang w:val="en-AU"/>
        </w:rPr>
        <w:t xml:space="preserve">Zhou, M &amp; Allen, SKJ 2003, </w:t>
      </w:r>
      <w:hyperlink r:id="rId650" w:history="1">
        <w:r w:rsidRPr="00B25DD3">
          <w:rPr>
            <w:rStyle w:val="Hyperlink"/>
            <w:noProof w:val="0"/>
            <w:lang w:val="en-AU"/>
          </w:rPr>
          <w:t xml:space="preserve">A review of published work on </w:t>
        </w:r>
        <w:r w:rsidRPr="00B25DD3">
          <w:rPr>
            <w:rStyle w:val="Hyperlink"/>
            <w:i/>
            <w:iCs/>
            <w:noProof w:val="0"/>
            <w:lang w:val="en-AU"/>
          </w:rPr>
          <w:t>Crassostrea ariakensis</w:t>
        </w:r>
      </w:hyperlink>
      <w:r>
        <w:rPr>
          <w:i/>
          <w:iCs/>
          <w:noProof w:val="0"/>
          <w:lang w:val="en-AU"/>
        </w:rPr>
        <w:t xml:space="preserve">, Journal of Shellfish Research, </w:t>
      </w:r>
      <w:r>
        <w:rPr>
          <w:noProof w:val="0"/>
          <w:lang w:val="en-AU"/>
        </w:rPr>
        <w:t>vol. 22, no. 1, pp. 1-23.</w:t>
      </w:r>
    </w:p>
    <w:p w14:paraId="49FBFFBA" w14:textId="4EB1E48A" w:rsidR="00BF317B" w:rsidRPr="00846769" w:rsidRDefault="00B5740F" w:rsidP="00C80491">
      <w:pPr>
        <w:pStyle w:val="EndNoteBibliography"/>
        <w:rPr>
          <w:noProof w:val="0"/>
          <w:lang w:val="en-AU"/>
        </w:rPr>
      </w:pPr>
      <w:proofErr w:type="spellStart"/>
      <w:r w:rsidRPr="00DD01E4">
        <w:rPr>
          <w:noProof w:val="0"/>
          <w:lang w:val="en-AU"/>
        </w:rPr>
        <w:t>Zhulidov</w:t>
      </w:r>
      <w:proofErr w:type="spellEnd"/>
      <w:r w:rsidRPr="00DD01E4">
        <w:rPr>
          <w:noProof w:val="0"/>
          <w:lang w:val="en-AU"/>
        </w:rPr>
        <w:t xml:space="preserve">, A, </w:t>
      </w:r>
      <w:proofErr w:type="spellStart"/>
      <w:r w:rsidRPr="00DD01E4">
        <w:rPr>
          <w:noProof w:val="0"/>
          <w:lang w:val="en-AU"/>
        </w:rPr>
        <w:t>Kozhara</w:t>
      </w:r>
      <w:proofErr w:type="spellEnd"/>
      <w:r w:rsidRPr="00DD01E4">
        <w:rPr>
          <w:noProof w:val="0"/>
          <w:lang w:val="en-AU"/>
        </w:rPr>
        <w:t xml:space="preserve">, A, Son, MO, </w:t>
      </w:r>
      <w:proofErr w:type="spellStart"/>
      <w:r w:rsidRPr="00DD01E4">
        <w:rPr>
          <w:noProof w:val="0"/>
          <w:lang w:val="en-AU"/>
        </w:rPr>
        <w:t>Morhun</w:t>
      </w:r>
      <w:proofErr w:type="spellEnd"/>
      <w:r w:rsidRPr="00DD01E4">
        <w:rPr>
          <w:noProof w:val="0"/>
          <w:lang w:val="en-AU"/>
        </w:rPr>
        <w:t xml:space="preserve">, H, Velde, </w:t>
      </w:r>
      <w:proofErr w:type="spellStart"/>
      <w:r w:rsidRPr="00DD01E4">
        <w:rPr>
          <w:noProof w:val="0"/>
          <w:lang w:val="en-AU"/>
        </w:rPr>
        <w:t>Gvd</w:t>
      </w:r>
      <w:proofErr w:type="spellEnd"/>
      <w:r w:rsidRPr="00DD01E4">
        <w:rPr>
          <w:noProof w:val="0"/>
          <w:lang w:val="en-AU"/>
        </w:rPr>
        <w:t xml:space="preserve">, Leuven, RS, Santiago-Fandino, V &amp; Nalepa, T 2021, </w:t>
      </w:r>
      <w:hyperlink r:id="rId651" w:history="1">
        <w:r w:rsidRPr="00DD01E4">
          <w:rPr>
            <w:rStyle w:val="Hyperlink"/>
            <w:noProof w:val="0"/>
            <w:lang w:val="en-AU"/>
          </w:rPr>
          <w:t xml:space="preserve">Additional records of the bivalves </w:t>
        </w:r>
        <w:r w:rsidRPr="00DD01E4">
          <w:rPr>
            <w:rStyle w:val="Hyperlink"/>
            <w:i/>
            <w:iCs/>
            <w:noProof w:val="0"/>
            <w:lang w:val="en-AU"/>
          </w:rPr>
          <w:t xml:space="preserve">Mytilopsis </w:t>
        </w:r>
        <w:proofErr w:type="spellStart"/>
        <w:r w:rsidRPr="00DD01E4">
          <w:rPr>
            <w:rStyle w:val="Hyperlink"/>
            <w:i/>
            <w:iCs/>
            <w:noProof w:val="0"/>
            <w:lang w:val="en-AU"/>
          </w:rPr>
          <w:t>leucophaeata</w:t>
        </w:r>
        <w:proofErr w:type="spellEnd"/>
        <w:r w:rsidRPr="00DD01E4">
          <w:rPr>
            <w:rStyle w:val="Hyperlink"/>
            <w:noProof w:val="0"/>
            <w:lang w:val="en-AU"/>
          </w:rPr>
          <w:t xml:space="preserve"> (Conrad, 1831)(</w:t>
        </w:r>
        <w:proofErr w:type="spellStart"/>
        <w:r w:rsidRPr="00DD01E4">
          <w:rPr>
            <w:rStyle w:val="Hyperlink"/>
            <w:noProof w:val="0"/>
            <w:lang w:val="en-AU"/>
          </w:rPr>
          <w:t>Dreissenidae</w:t>
        </w:r>
        <w:proofErr w:type="spellEnd"/>
        <w:r w:rsidRPr="00DD01E4">
          <w:rPr>
            <w:rStyle w:val="Hyperlink"/>
            <w:noProof w:val="0"/>
            <w:lang w:val="en-AU"/>
          </w:rPr>
          <w:t xml:space="preserve">) and </w:t>
        </w:r>
        <w:r w:rsidRPr="00DD01E4">
          <w:rPr>
            <w:rStyle w:val="Hyperlink"/>
            <w:i/>
            <w:iCs/>
            <w:noProof w:val="0"/>
            <w:lang w:val="en-AU"/>
          </w:rPr>
          <w:t>Arcuatula senhousia</w:t>
        </w:r>
        <w:r w:rsidRPr="00DD01E4">
          <w:rPr>
            <w:rStyle w:val="Hyperlink"/>
            <w:noProof w:val="0"/>
            <w:lang w:val="en-AU"/>
          </w:rPr>
          <w:t xml:space="preserve"> (Benson, 1842)(Mytilidae) in the Ponto-Caspian region</w:t>
        </w:r>
      </w:hyperlink>
      <w:r w:rsidR="00DD01E4">
        <w:rPr>
          <w:noProof w:val="0"/>
          <w:lang w:val="en-AU"/>
        </w:rPr>
        <w:t>,</w:t>
      </w:r>
      <w:r w:rsidR="00502916" w:rsidRPr="00DD01E4">
        <w:rPr>
          <w:noProof w:val="0"/>
          <w:lang w:val="en-AU"/>
        </w:rPr>
        <w:t xml:space="preserve"> </w:t>
      </w:r>
      <w:proofErr w:type="spellStart"/>
      <w:r w:rsidR="00502916" w:rsidRPr="00DD01E4">
        <w:rPr>
          <w:i/>
          <w:iCs/>
          <w:noProof w:val="0"/>
          <w:lang w:val="en-AU"/>
        </w:rPr>
        <w:t>BioInvasions</w:t>
      </w:r>
      <w:proofErr w:type="spellEnd"/>
      <w:r w:rsidR="00502916" w:rsidRPr="00DD01E4">
        <w:rPr>
          <w:i/>
          <w:iCs/>
          <w:noProof w:val="0"/>
          <w:lang w:val="en-AU"/>
        </w:rPr>
        <w:t xml:space="preserve"> Records</w:t>
      </w:r>
      <w:r w:rsidR="00502916" w:rsidRPr="00DD01E4">
        <w:rPr>
          <w:noProof w:val="0"/>
          <w:lang w:val="en-AU"/>
        </w:rPr>
        <w:t>, vol. 10, pp.</w:t>
      </w:r>
      <w:r w:rsidR="00FA570D" w:rsidRPr="00DD01E4">
        <w:rPr>
          <w:noProof w:val="0"/>
          <w:lang w:val="en-AU"/>
        </w:rPr>
        <w:t xml:space="preserve"> </w:t>
      </w:r>
      <w:r w:rsidR="00502916" w:rsidRPr="00DD01E4">
        <w:rPr>
          <w:noProof w:val="0"/>
          <w:lang w:val="en-AU"/>
        </w:rPr>
        <w:t>119-35</w:t>
      </w:r>
      <w:r w:rsidR="00DD01E4">
        <w:rPr>
          <w:noProof w:val="0"/>
          <w:lang w:val="en-AU"/>
        </w:rPr>
        <w:t xml:space="preserve">, DOI: </w:t>
      </w:r>
      <w:r w:rsidR="00DD01E4" w:rsidRPr="00DD01E4">
        <w:rPr>
          <w:noProof w:val="0"/>
          <w:lang w:val="en-AU"/>
        </w:rPr>
        <w:t>10.3391/bir.2021.10.1.14</w:t>
      </w:r>
      <w:r w:rsidR="00DD01E4">
        <w:rPr>
          <w:noProof w:val="0"/>
          <w:lang w:val="en-AU"/>
        </w:rPr>
        <w:t>.</w:t>
      </w:r>
      <w:bookmarkEnd w:id="791"/>
    </w:p>
    <w:sectPr w:rsidR="00BF317B" w:rsidRPr="00846769" w:rsidSect="00126A8A">
      <w:footnotePr>
        <w:numFmt w:val="lowerLetter"/>
      </w:foot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4E2D3" w14:textId="77777777" w:rsidR="00126A8A" w:rsidRDefault="00126A8A">
      <w:pPr>
        <w:spacing w:after="0" w:line="240" w:lineRule="auto"/>
      </w:pPr>
      <w:r>
        <w:separator/>
      </w:r>
    </w:p>
  </w:endnote>
  <w:endnote w:type="continuationSeparator" w:id="0">
    <w:p w14:paraId="33768349" w14:textId="77777777" w:rsidR="00126A8A" w:rsidRDefault="00126A8A">
      <w:pPr>
        <w:spacing w:after="0" w:line="240" w:lineRule="auto"/>
      </w:pPr>
      <w:r>
        <w:continuationSeparator/>
      </w:r>
    </w:p>
  </w:endnote>
  <w:endnote w:type="continuationNotice" w:id="1">
    <w:p w14:paraId="1C2BD2DE" w14:textId="77777777" w:rsidR="00126A8A" w:rsidRDefault="00126A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41E0C" w14:textId="345EE756" w:rsidR="00531E10" w:rsidRDefault="00531E10">
    <w:pPr>
      <w:pStyle w:val="Footer"/>
    </w:pPr>
    <w:r>
      <w:rPr>
        <w:noProof/>
      </w:rPr>
      <mc:AlternateContent>
        <mc:Choice Requires="wps">
          <w:drawing>
            <wp:anchor distT="0" distB="0" distL="0" distR="0" simplePos="0" relativeHeight="251659776" behindDoc="0" locked="0" layoutInCell="1" allowOverlap="1" wp14:anchorId="37DDA649" wp14:editId="4FC0D24D">
              <wp:simplePos x="635" y="635"/>
              <wp:positionH relativeFrom="page">
                <wp:align>center</wp:align>
              </wp:positionH>
              <wp:positionV relativeFrom="page">
                <wp:align>bottom</wp:align>
              </wp:positionV>
              <wp:extent cx="551815" cy="404495"/>
              <wp:effectExtent l="0" t="0" r="635" b="0"/>
              <wp:wrapNone/>
              <wp:docPr id="107105365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EF96725" w14:textId="50F6C9FC" w:rsidR="00531E10" w:rsidRPr="00531E10" w:rsidRDefault="00531E10" w:rsidP="00531E10">
                          <w:pPr>
                            <w:spacing w:after="0"/>
                            <w:rPr>
                              <w:rFonts w:ascii="Calibri" w:eastAsia="Calibri" w:hAnsi="Calibri" w:cs="Calibri"/>
                              <w:noProof/>
                              <w:color w:val="FF0000"/>
                              <w:sz w:val="24"/>
                              <w:szCs w:val="24"/>
                            </w:rPr>
                          </w:pPr>
                          <w:r w:rsidRPr="00531E1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DDA649"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4EF96725" w14:textId="50F6C9FC" w:rsidR="00531E10" w:rsidRPr="00531E10" w:rsidRDefault="00531E10" w:rsidP="00531E10">
                    <w:pPr>
                      <w:spacing w:after="0"/>
                      <w:rPr>
                        <w:rFonts w:ascii="Calibri" w:eastAsia="Calibri" w:hAnsi="Calibri" w:cs="Calibri"/>
                        <w:noProof/>
                        <w:color w:val="FF0000"/>
                        <w:sz w:val="24"/>
                        <w:szCs w:val="24"/>
                      </w:rPr>
                    </w:pPr>
                    <w:r w:rsidRPr="00531E1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BA82" w14:textId="2A001A84" w:rsidR="008A63BD" w:rsidRDefault="00B5740F">
    <w:pPr>
      <w:pStyle w:val="Footer"/>
      <w:rPr>
        <w:lang w:val="en-US"/>
      </w:rPr>
    </w:pPr>
    <w:r>
      <w:rPr>
        <w:lang w:val="en-US"/>
      </w:rPr>
      <w:t xml:space="preserve">Department of </w:t>
    </w:r>
    <w:r w:rsidRPr="000903B7">
      <w:rPr>
        <w:lang w:val="en-US"/>
      </w:rPr>
      <w:t xml:space="preserve">Agriculture, </w:t>
    </w:r>
    <w:r w:rsidR="00444797">
      <w:rPr>
        <w:lang w:val="en-US"/>
      </w:rPr>
      <w:t>Fisheries and Forestry</w:t>
    </w:r>
  </w:p>
  <w:p w14:paraId="147ED23D" w14:textId="77777777" w:rsidR="008A63BD" w:rsidRPr="009416E7" w:rsidRDefault="00B5740F">
    <w:pPr>
      <w:pStyle w:val="Footer"/>
      <w:rPr>
        <w:lang w:val="en-US"/>
      </w:rPr>
    </w:pPr>
    <w:r w:rsidRPr="009416E7">
      <w:rPr>
        <w:lang w:val="en-US"/>
      </w:rPr>
      <w:fldChar w:fldCharType="begin"/>
    </w:r>
    <w:r w:rsidRPr="009416E7">
      <w:rPr>
        <w:lang w:val="en-US"/>
      </w:rPr>
      <w:instrText xml:space="preserve"> PAGE   \* MERGEFORMAT </w:instrText>
    </w:r>
    <w:r w:rsidRPr="009416E7">
      <w:rPr>
        <w:lang w:val="en-US"/>
      </w:rPr>
      <w:fldChar w:fldCharType="separate"/>
    </w:r>
    <w:r w:rsidRPr="009416E7">
      <w:rPr>
        <w:noProof/>
        <w:lang w:val="en-US"/>
      </w:rPr>
      <w:t>119</w:t>
    </w:r>
    <w:r w:rsidRPr="009416E7">
      <w:rPr>
        <w:noProof/>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65F4" w14:textId="3F0EFC28" w:rsidR="00531E10" w:rsidRDefault="00531E10">
    <w:pPr>
      <w:pStyle w:val="Footer"/>
    </w:pPr>
    <w:r>
      <w:rPr>
        <w:noProof/>
      </w:rPr>
      <mc:AlternateContent>
        <mc:Choice Requires="wps">
          <w:drawing>
            <wp:anchor distT="0" distB="0" distL="0" distR="0" simplePos="0" relativeHeight="251658752" behindDoc="0" locked="0" layoutInCell="1" allowOverlap="1" wp14:anchorId="3CEC6E69" wp14:editId="1FB6ED47">
              <wp:simplePos x="635" y="635"/>
              <wp:positionH relativeFrom="page">
                <wp:align>center</wp:align>
              </wp:positionH>
              <wp:positionV relativeFrom="page">
                <wp:align>bottom</wp:align>
              </wp:positionV>
              <wp:extent cx="551815" cy="404495"/>
              <wp:effectExtent l="0" t="0" r="635" b="0"/>
              <wp:wrapNone/>
              <wp:docPr id="154089055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D7464A1" w14:textId="154534B4" w:rsidR="00531E10" w:rsidRPr="00531E10" w:rsidRDefault="00531E10" w:rsidP="00531E10">
                          <w:pPr>
                            <w:spacing w:after="0"/>
                            <w:rPr>
                              <w:rFonts w:ascii="Calibri" w:eastAsia="Calibri" w:hAnsi="Calibri" w:cs="Calibri"/>
                              <w:noProof/>
                              <w:color w:val="FF0000"/>
                              <w:sz w:val="24"/>
                              <w:szCs w:val="24"/>
                            </w:rPr>
                          </w:pPr>
                          <w:r w:rsidRPr="00531E1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EC6E69" id="_x0000_t202" coordsize="21600,21600" o:spt="202" path="m,l,21600r21600,l21600,xe">
              <v:stroke joinstyle="miter"/>
              <v:path gradientshapeok="t" o:connecttype="rect"/>
            </v:shapetype>
            <v:shape id="Text Box 4" o:spid="_x0000_s1030"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1D7464A1" w14:textId="154534B4" w:rsidR="00531E10" w:rsidRPr="00531E10" w:rsidRDefault="00531E10" w:rsidP="00531E10">
                    <w:pPr>
                      <w:spacing w:after="0"/>
                      <w:rPr>
                        <w:rFonts w:ascii="Calibri" w:eastAsia="Calibri" w:hAnsi="Calibri" w:cs="Calibri"/>
                        <w:noProof/>
                        <w:color w:val="FF0000"/>
                        <w:sz w:val="24"/>
                        <w:szCs w:val="24"/>
                      </w:rPr>
                    </w:pPr>
                    <w:r w:rsidRPr="00531E10">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EF3C9" w14:textId="77777777" w:rsidR="00126A8A" w:rsidRDefault="00126A8A" w:rsidP="006939E1">
      <w:pPr>
        <w:spacing w:after="0" w:line="240" w:lineRule="auto"/>
      </w:pPr>
      <w:r>
        <w:separator/>
      </w:r>
    </w:p>
  </w:footnote>
  <w:footnote w:type="continuationSeparator" w:id="0">
    <w:p w14:paraId="44331FDE" w14:textId="77777777" w:rsidR="00126A8A" w:rsidRDefault="00126A8A" w:rsidP="006939E1">
      <w:pPr>
        <w:spacing w:after="0" w:line="240" w:lineRule="auto"/>
      </w:pPr>
      <w:r>
        <w:continuationSeparator/>
      </w:r>
    </w:p>
  </w:footnote>
  <w:footnote w:type="continuationNotice" w:id="1">
    <w:p w14:paraId="3ECAE50A" w14:textId="77777777" w:rsidR="00126A8A" w:rsidRDefault="00126A8A">
      <w:pPr>
        <w:spacing w:after="0" w:line="240" w:lineRule="auto"/>
      </w:pPr>
    </w:p>
  </w:footnote>
  <w:footnote w:id="2">
    <w:p w14:paraId="1C1233E4" w14:textId="396A705B" w:rsidR="008A63BD" w:rsidRPr="000C6AB9" w:rsidRDefault="008D1D20">
      <w:pPr>
        <w:pStyle w:val="FootnoteText"/>
        <w:rPr>
          <w:lang w:val="en-US"/>
        </w:rPr>
      </w:pPr>
      <w:r>
        <w:rPr>
          <w:rStyle w:val="FootnoteReference"/>
        </w:rPr>
        <w:t>1</w:t>
      </w:r>
      <w:r w:rsidR="00B5740F">
        <w:t xml:space="preserve"> </w:t>
      </w:r>
      <w:r w:rsidR="00B5740F" w:rsidRPr="00C54D56">
        <w:t xml:space="preserve">Note that the term ‘emergency response’ as used in this document does not refer to a ‘biosecurity emergency’ as that term is used under the </w:t>
      </w:r>
      <w:r w:rsidR="00B5740F" w:rsidRPr="007856E0">
        <w:rPr>
          <w:rStyle w:val="Emphasis"/>
        </w:rPr>
        <w:t>Biosecurity Act 2015</w:t>
      </w:r>
      <w:r w:rsidR="00B5740F" w:rsidRPr="00C54D56">
        <w:t xml:space="preserve">, nor </w:t>
      </w:r>
      <w:r w:rsidR="00B5740F">
        <w:t xml:space="preserve">are </w:t>
      </w:r>
      <w:r w:rsidR="00B5740F" w:rsidRPr="00C54D56">
        <w:t>any activities described by this document undertaken during an ‘emergency response’ intended to be an exercise of powers provided by Chapter 8 (Biosecurity Emergencies and Human Biosecurity Emergencies) of that Act.</w:t>
      </w:r>
    </w:p>
  </w:footnote>
  <w:footnote w:id="3">
    <w:p w14:paraId="710D5184" w14:textId="24D02EF3" w:rsidR="007944F5" w:rsidRDefault="007944F5">
      <w:pPr>
        <w:pStyle w:val="FootnoteText"/>
      </w:pPr>
      <w:r>
        <w:rPr>
          <w:rStyle w:val="FootnoteReference"/>
        </w:rPr>
        <w:footnoteRef/>
      </w:r>
      <w:r w:rsidR="008F5E3B">
        <w:t xml:space="preserve"> The term ‘proof of freedom’ was previously used in marine pest responses. However, ‘proof of freedom’ has different connotations, especially from an agricultural disease perspective. As such, the MPSC agreed to retire usage of ‘proof of freedom’ for marine pests, and instead have adopted ‘current status of marine pests’ to describe the evidence that a specific marine pest is absent from a geographical region. ‘Proof of freedom’ may still be used interchangeably in some circumstances or in older documents. </w:t>
      </w:r>
    </w:p>
  </w:footnote>
  <w:footnote w:id="4">
    <w:p w14:paraId="2A6BE76E" w14:textId="77777777" w:rsidR="003707E0" w:rsidRPr="00FD0A63" w:rsidRDefault="003707E0" w:rsidP="003707E0">
      <w:pPr>
        <w:pStyle w:val="FootnoteText"/>
        <w:rPr>
          <w:lang w:val="en-NZ"/>
        </w:rPr>
      </w:pPr>
      <w:r>
        <w:rPr>
          <w:rStyle w:val="FootnoteReference"/>
        </w:rPr>
        <w:footnoteRef/>
      </w:r>
      <w:r>
        <w:t xml:space="preserve"> The legislative ability and scope of powers to establish biosecurity restricted areas and control areas will depend on the biosecurity legislation in the relevant jurisdiction.</w:t>
      </w:r>
    </w:p>
  </w:footnote>
  <w:footnote w:id="5">
    <w:p w14:paraId="310F9BAC" w14:textId="33F84C89" w:rsidR="00A6168D" w:rsidRPr="00FD0A63" w:rsidRDefault="00A6168D" w:rsidP="00A6168D">
      <w:pPr>
        <w:pStyle w:val="FootnoteText"/>
        <w:rPr>
          <w:lang w:val="en-NZ"/>
        </w:rPr>
      </w:pPr>
      <w:r>
        <w:rPr>
          <w:rStyle w:val="FootnoteReference"/>
        </w:rPr>
        <w:footnoteRef/>
      </w:r>
      <w:r>
        <w:t xml:space="preserve"> </w:t>
      </w:r>
      <w:bookmarkStart w:id="361" w:name="_Hlk170735721"/>
      <w:r>
        <w:t xml:space="preserve">Under the </w:t>
      </w:r>
      <w:r w:rsidRPr="00A6168D">
        <w:rPr>
          <w:i/>
          <w:iCs/>
        </w:rPr>
        <w:t>Biosecurity Act 2015</w:t>
      </w:r>
      <w:r>
        <w:t>,</w:t>
      </w:r>
      <w:r>
        <w:rPr>
          <w:i/>
          <w:iCs/>
        </w:rPr>
        <w:t xml:space="preserve"> </w:t>
      </w:r>
      <w:r>
        <w:t>the definition of conveyances includes vessels and floating structures</w:t>
      </w:r>
      <w:r w:rsidR="00631A7E">
        <w:t>.</w:t>
      </w:r>
      <w:bookmarkEnd w:id="361"/>
    </w:p>
  </w:footnote>
  <w:footnote w:id="6">
    <w:p w14:paraId="05C04444" w14:textId="42FEC664" w:rsidR="003707E0" w:rsidRDefault="003707E0">
      <w:pPr>
        <w:pStyle w:val="FootnoteText"/>
      </w:pPr>
      <w:r>
        <w:rPr>
          <w:rStyle w:val="FootnoteReference"/>
        </w:rPr>
        <w:footnoteRef/>
      </w:r>
      <w:r>
        <w:t xml:space="preserve"> </w:t>
      </w:r>
      <w:bookmarkStart w:id="369" w:name="_Hlk170735995"/>
      <w:r w:rsidR="00E5169D">
        <w:t>Marine infrastructure</w:t>
      </w:r>
      <w:r w:rsidR="00423525">
        <w:t xml:space="preserve"> and habitats </w:t>
      </w:r>
      <w:r w:rsidR="00561609">
        <w:t xml:space="preserve">in the receiving environment </w:t>
      </w:r>
      <w:r w:rsidR="00423525">
        <w:t xml:space="preserve">may be naturally occurring or man-made. </w:t>
      </w:r>
      <w:bookmarkEnd w:id="369"/>
    </w:p>
  </w:footnote>
  <w:footnote w:id="7">
    <w:p w14:paraId="08092714" w14:textId="00E985C8" w:rsidR="006E2BD2" w:rsidRDefault="006E2BD2" w:rsidP="006E2BD2">
      <w:pPr>
        <w:pStyle w:val="FootnoteText"/>
      </w:pPr>
      <w:r>
        <w:rPr>
          <w:rStyle w:val="FootnoteReference"/>
        </w:rPr>
        <w:footnoteRef/>
      </w:r>
      <w:r>
        <w:t xml:space="preserve"> </w:t>
      </w:r>
      <w:hyperlink r:id="rId1" w:history="1">
        <w:r w:rsidRPr="0094752C">
          <w:rPr>
            <w:rStyle w:val="Hyperlink"/>
            <w:sz w:val="20"/>
          </w:rPr>
          <w:t>Epitools</w:t>
        </w:r>
      </w:hyperlink>
      <w:r w:rsidRPr="0094752C">
        <w:t xml:space="preserve"> offers several tools to assist in decision making for sampling numbers and is freely available and easy to use. The South Australian Research and Development Institute (SARDI) has developed a sample number calculator for surveillance using plankton samples tested with quantitative polymerase chain reaction (qPCR) assays (</w:t>
      </w:r>
      <w:hyperlink r:id="rId2" w:history="1">
        <w:r w:rsidRPr="0094752C">
          <w:rPr>
            <w:rStyle w:val="Hyperlink"/>
            <w:sz w:val="20"/>
          </w:rPr>
          <w:t>Survey Sample Number Calculator</w:t>
        </w:r>
      </w:hyperlink>
      <w:r w:rsidRPr="0094752C">
        <w:t xml:space="preserve">). Both tools require </w:t>
      </w:r>
      <w:r w:rsidR="00B0354A">
        <w:t>target</w:t>
      </w:r>
      <w:r w:rsidRPr="0094752C">
        <w:t xml:space="preserve"> survey confidence</w:t>
      </w:r>
      <w:r w:rsidR="00B0354A">
        <w:t xml:space="preserve"> and minimum abundance to be specified</w:t>
      </w:r>
      <w:r w:rsidRPr="0094752C">
        <w:t xml:space="preserve">, </w:t>
      </w:r>
      <w:r w:rsidR="00B0354A">
        <w:t>and estimates of</w:t>
      </w:r>
      <w:r w:rsidRPr="0094752C">
        <w:t xml:space="preserve"> test performance</w:t>
      </w:r>
      <w:r w:rsidR="00B0354A">
        <w:t xml:space="preserve"> provided</w:t>
      </w:r>
      <w:r w:rsidRPr="0094752C">
        <w:t xml:space="preserve"> to calculate the number of samples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83509" w14:textId="51D1B447" w:rsidR="00531E10" w:rsidRDefault="00531E10">
    <w:pPr>
      <w:pStyle w:val="Header"/>
    </w:pPr>
    <w:r>
      <w:rPr>
        <w:noProof/>
      </w:rPr>
      <mc:AlternateContent>
        <mc:Choice Requires="wps">
          <w:drawing>
            <wp:anchor distT="0" distB="0" distL="0" distR="0" simplePos="0" relativeHeight="251657728" behindDoc="0" locked="0" layoutInCell="1" allowOverlap="1" wp14:anchorId="74FDF8C8" wp14:editId="3D6D0B10">
              <wp:simplePos x="635" y="635"/>
              <wp:positionH relativeFrom="page">
                <wp:align>center</wp:align>
              </wp:positionH>
              <wp:positionV relativeFrom="page">
                <wp:align>top</wp:align>
              </wp:positionV>
              <wp:extent cx="551815" cy="404495"/>
              <wp:effectExtent l="0" t="0" r="635" b="14605"/>
              <wp:wrapNone/>
              <wp:docPr id="55942608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30EE24B" w14:textId="6D0C10DD" w:rsidR="00531E10" w:rsidRPr="00531E10" w:rsidRDefault="00531E10" w:rsidP="00531E10">
                          <w:pPr>
                            <w:spacing w:after="0"/>
                            <w:rPr>
                              <w:rFonts w:ascii="Calibri" w:eastAsia="Calibri" w:hAnsi="Calibri" w:cs="Calibri"/>
                              <w:noProof/>
                              <w:color w:val="FF0000"/>
                              <w:sz w:val="24"/>
                              <w:szCs w:val="24"/>
                            </w:rPr>
                          </w:pPr>
                          <w:r w:rsidRPr="00531E1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FDF8C8"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30EE24B" w14:textId="6D0C10DD" w:rsidR="00531E10" w:rsidRPr="00531E10" w:rsidRDefault="00531E10" w:rsidP="00531E10">
                    <w:pPr>
                      <w:spacing w:after="0"/>
                      <w:rPr>
                        <w:rFonts w:ascii="Calibri" w:eastAsia="Calibri" w:hAnsi="Calibri" w:cs="Calibri"/>
                        <w:noProof/>
                        <w:color w:val="FF0000"/>
                        <w:sz w:val="24"/>
                        <w:szCs w:val="24"/>
                      </w:rPr>
                    </w:pPr>
                    <w:r w:rsidRPr="00531E1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644E" w14:textId="5B4CCF61" w:rsidR="008A63BD" w:rsidRPr="000C6AB9" w:rsidRDefault="00400F7D">
    <w:pPr>
      <w:pStyle w:val="Header"/>
      <w:rPr>
        <w:lang w:val="en-US"/>
      </w:rPr>
    </w:pPr>
    <w:r>
      <w:rPr>
        <w:noProof/>
      </w:rPr>
      <mc:AlternateContent>
        <mc:Choice Requires="wps">
          <w:drawing>
            <wp:anchor distT="0" distB="0" distL="114300" distR="114300" simplePos="0" relativeHeight="251655680" behindDoc="0" locked="0" layoutInCell="0" allowOverlap="1" wp14:anchorId="51DE7C14" wp14:editId="76585327">
              <wp:simplePos x="0" y="0"/>
              <wp:positionH relativeFrom="page">
                <wp:posOffset>-106045</wp:posOffset>
              </wp:positionH>
              <wp:positionV relativeFrom="page">
                <wp:posOffset>295275</wp:posOffset>
              </wp:positionV>
              <wp:extent cx="7772400" cy="442595"/>
              <wp:effectExtent l="0" t="0" r="0" b="0"/>
              <wp:wrapNone/>
              <wp:docPr id="24"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42595"/>
                      </a:xfrm>
                      <a:prstGeom prst="rect">
                        <a:avLst/>
                      </a:prstGeom>
                      <a:noFill/>
                      <a:ln w="6350">
                        <a:noFill/>
                      </a:ln>
                    </wps:spPr>
                    <wps:txbx>
                      <w:txbxContent>
                        <w:p w14:paraId="063C57E0" w14:textId="20D70A6D" w:rsidR="008F17ED" w:rsidRPr="008F17ED" w:rsidRDefault="008F17ED" w:rsidP="008F17ED">
                          <w:pPr>
                            <w:spacing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DE7C14" id="_x0000_t202" coordsize="21600,21600" o:spt="202" path="m,l,21600r21600,l21600,xe">
              <v:stroke joinstyle="miter"/>
              <v:path gradientshapeok="t" o:connecttype="rect"/>
            </v:shapetype>
            <v:shape id="Text Box 24" o:spid="_x0000_s1027" type="#_x0000_t202" alt="&quot;&quot;" style="position:absolute;left:0;text-align:left;margin-left:-8.35pt;margin-top:23.25pt;width:612pt;height:34.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" o:allowincell="f" filled="f" stroked="f" strokeweight=".5pt">
              <v:textbox inset=",0,,0">
                <w:txbxContent>
                  <w:p w14:paraId="063C57E0" w14:textId="20D70A6D" w:rsidR="008F17ED" w:rsidRPr="008F17ED" w:rsidRDefault="008F17ED" w:rsidP="008F17ED">
                    <w:pPr>
                      <w:spacing w:after="0"/>
                      <w:jc w:val="center"/>
                      <w:rPr>
                        <w:rFonts w:ascii="Arial" w:hAnsi="Arial" w:cs="Arial"/>
                        <w:color w:val="000000"/>
                        <w:sz w:val="24"/>
                      </w:rPr>
                    </w:pPr>
                  </w:p>
                </w:txbxContent>
              </v:textbox>
              <w10:wrap anchorx="page" anchory="page"/>
            </v:shape>
          </w:pict>
        </mc:Fallback>
      </mc:AlternateContent>
    </w:r>
    <w:r w:rsidR="00B5740F">
      <w:rPr>
        <w:lang w:val="en-US"/>
      </w:rPr>
      <w:t xml:space="preserve">Response manual for </w:t>
    </w:r>
    <w:r w:rsidR="00444797">
      <w:rPr>
        <w:lang w:val="en-US"/>
      </w:rPr>
      <w:t>invasive marine</w:t>
    </w:r>
    <w:r w:rsidR="00B5740F">
      <w:rPr>
        <w:lang w:val="en-US"/>
      </w:rPr>
      <w:t xml:space="preserve"> bivalves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7889F" w14:textId="5719D8FD" w:rsidR="008A63BD" w:rsidRPr="00497254" w:rsidRDefault="00531E10" w:rsidP="00BF317B">
    <w:pPr>
      <w:pStyle w:val="Header"/>
      <w:jc w:val="left"/>
    </w:pPr>
    <w:r>
      <w:rPr>
        <w:noProof/>
        <w:lang w:eastAsia="en-AU"/>
      </w:rPr>
      <mc:AlternateContent>
        <mc:Choice Requires="wps">
          <w:drawing>
            <wp:anchor distT="0" distB="0" distL="0" distR="0" simplePos="0" relativeHeight="251656704" behindDoc="0" locked="0" layoutInCell="1" allowOverlap="1" wp14:anchorId="15A63469" wp14:editId="40E0F9FD">
              <wp:simplePos x="635" y="635"/>
              <wp:positionH relativeFrom="page">
                <wp:align>center</wp:align>
              </wp:positionH>
              <wp:positionV relativeFrom="page">
                <wp:align>top</wp:align>
              </wp:positionV>
              <wp:extent cx="551815" cy="404495"/>
              <wp:effectExtent l="0" t="0" r="635" b="14605"/>
              <wp:wrapNone/>
              <wp:docPr id="65614387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D23B27B" w14:textId="7D82E448" w:rsidR="00531E10" w:rsidRPr="00531E10" w:rsidRDefault="00531E10" w:rsidP="00531E10">
                          <w:pPr>
                            <w:spacing w:after="0"/>
                            <w:rPr>
                              <w:rFonts w:ascii="Calibri" w:eastAsia="Calibri" w:hAnsi="Calibri" w:cs="Calibri"/>
                              <w:noProof/>
                              <w:color w:val="FF0000"/>
                              <w:sz w:val="24"/>
                              <w:szCs w:val="24"/>
                            </w:rPr>
                          </w:pPr>
                          <w:r w:rsidRPr="00531E1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A63469" id="_x0000_t202" coordsize="21600,21600" o:spt="202" path="m,l,21600r21600,l21600,xe">
              <v:stroke joinstyle="miter"/>
              <v:path gradientshapeok="t" o:connecttype="rect"/>
            </v:shapetype>
            <v:shape id="Text Box 1" o:spid="_x0000_s1029" type="#_x0000_t202" alt="OFFICIAL" style="position:absolute;margin-left:0;margin-top:0;width:43.45pt;height:31.8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1D23B27B" w14:textId="7D82E448" w:rsidR="00531E10" w:rsidRPr="00531E10" w:rsidRDefault="00531E10" w:rsidP="00531E10">
                    <w:pPr>
                      <w:spacing w:after="0"/>
                      <w:rPr>
                        <w:rFonts w:ascii="Calibri" w:eastAsia="Calibri" w:hAnsi="Calibri" w:cs="Calibri"/>
                        <w:noProof/>
                        <w:color w:val="FF0000"/>
                        <w:sz w:val="24"/>
                        <w:szCs w:val="24"/>
                      </w:rPr>
                    </w:pPr>
                    <w:r w:rsidRPr="00531E10">
                      <w:rPr>
                        <w:rFonts w:ascii="Calibri" w:eastAsia="Calibri" w:hAnsi="Calibri" w:cs="Calibri"/>
                        <w:noProof/>
                        <w:color w:val="FF0000"/>
                        <w:sz w:val="24"/>
                        <w:szCs w:val="24"/>
                      </w:rPr>
                      <w:t>OFFICIAL</w:t>
                    </w:r>
                  </w:p>
                </w:txbxContent>
              </v:textbox>
              <w10:wrap anchorx="page" anchory="page"/>
            </v:shape>
          </w:pict>
        </mc:Fallback>
      </mc:AlternateContent>
    </w:r>
    <w:r w:rsidR="00B5740F">
      <w:rPr>
        <w:noProof/>
        <w:lang w:eastAsia="en-AU"/>
      </w:rPr>
      <w:drawing>
        <wp:anchor distT="0" distB="0" distL="114300" distR="114300" simplePos="0" relativeHeight="251654656" behindDoc="1" locked="0" layoutInCell="1" allowOverlap="1" wp14:anchorId="06566E40" wp14:editId="3CD045E5">
          <wp:simplePos x="0" y="0"/>
          <wp:positionH relativeFrom="page">
            <wp:align>left</wp:align>
          </wp:positionH>
          <wp:positionV relativeFrom="paragraph">
            <wp:posOffset>-378355</wp:posOffset>
          </wp:positionV>
          <wp:extent cx="7596000" cy="10746000"/>
          <wp:effectExtent l="0" t="0" r="5080" b="0"/>
          <wp:wrapNone/>
          <wp:docPr id="1114201283" name="Picture 1114201283" descr="Nationally agreed guidance material endorsed by the Marine Pest Sectoral Committee&#10;&#10;Published on the Australian Government Marine Pest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072_0617_Legislation reform AO factsheet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000" cy="1074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A0EDD4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F1E0F6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3E468D"/>
    <w:multiLevelType w:val="hybridMultilevel"/>
    <w:tmpl w:val="863C4CBA"/>
    <w:lvl w:ilvl="0" w:tplc="F37EDB50">
      <w:start w:val="1"/>
      <w:numFmt w:val="bullet"/>
      <w:lvlText w:val=""/>
      <w:lvlJc w:val="left"/>
      <w:pPr>
        <w:ind w:left="720" w:hanging="360"/>
      </w:pPr>
      <w:rPr>
        <w:rFonts w:ascii="Symbol" w:hAnsi="Symbol" w:hint="default"/>
        <w:color w:val="0D0D0D" w:themeColor="text1" w:themeTint="F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D7289B"/>
    <w:multiLevelType w:val="hybridMultilevel"/>
    <w:tmpl w:val="FF8EA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80527"/>
    <w:multiLevelType w:val="multilevel"/>
    <w:tmpl w:val="B098440A"/>
    <w:styleLink w:val="headings"/>
    <w:lvl w:ilvl="0">
      <w:start w:val="1"/>
      <w:numFmt w:val="decimal"/>
      <w:lvlText w:val="%1"/>
      <w:lvlJc w:val="left"/>
      <w:rPr>
        <w:rFonts w:hint="default"/>
        <w:b w:val="0"/>
        <w:bCs w:val="0"/>
        <w:i w:val="0"/>
        <w:iCs w:val="0"/>
        <w:caps w:val="0"/>
        <w:smallCaps w:val="0"/>
        <w:strike w:val="0"/>
        <w:dstrike w:val="0"/>
        <w:noProof w:val="0"/>
        <w:vanish w:val="0"/>
        <w:color w:val="049885"/>
        <w:spacing w:val="0"/>
        <w:kern w:val="0"/>
        <w:position w:val="0"/>
        <w:u w:val="none"/>
        <w:vertAlign w:val="baseline"/>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5" w15:restartNumberingAfterBreak="0">
    <w:nsid w:val="0B1F5B93"/>
    <w:multiLevelType w:val="hybridMultilevel"/>
    <w:tmpl w:val="B6F08676"/>
    <w:lvl w:ilvl="0" w:tplc="F1060412">
      <w:start w:val="1"/>
      <w:numFmt w:val="bullet"/>
      <w:lvlText w:val=""/>
      <w:lvlJc w:val="left"/>
      <w:pPr>
        <w:ind w:left="1440" w:hanging="360"/>
      </w:pPr>
      <w:rPr>
        <w:rFonts w:ascii="Symbol" w:hAnsi="Symbol"/>
      </w:rPr>
    </w:lvl>
    <w:lvl w:ilvl="1" w:tplc="9AFEAED6">
      <w:start w:val="1"/>
      <w:numFmt w:val="bullet"/>
      <w:lvlText w:val=""/>
      <w:lvlJc w:val="left"/>
      <w:pPr>
        <w:ind w:left="1440" w:hanging="360"/>
      </w:pPr>
      <w:rPr>
        <w:rFonts w:ascii="Symbol" w:hAnsi="Symbol"/>
      </w:rPr>
    </w:lvl>
    <w:lvl w:ilvl="2" w:tplc="B9A0E8DA">
      <w:start w:val="1"/>
      <w:numFmt w:val="bullet"/>
      <w:lvlText w:val=""/>
      <w:lvlJc w:val="left"/>
      <w:pPr>
        <w:ind w:left="1440" w:hanging="360"/>
      </w:pPr>
      <w:rPr>
        <w:rFonts w:ascii="Symbol" w:hAnsi="Symbol"/>
      </w:rPr>
    </w:lvl>
    <w:lvl w:ilvl="3" w:tplc="AC8640E4">
      <w:start w:val="1"/>
      <w:numFmt w:val="bullet"/>
      <w:lvlText w:val=""/>
      <w:lvlJc w:val="left"/>
      <w:pPr>
        <w:ind w:left="1440" w:hanging="360"/>
      </w:pPr>
      <w:rPr>
        <w:rFonts w:ascii="Symbol" w:hAnsi="Symbol"/>
      </w:rPr>
    </w:lvl>
    <w:lvl w:ilvl="4" w:tplc="C34E3306">
      <w:start w:val="1"/>
      <w:numFmt w:val="bullet"/>
      <w:lvlText w:val=""/>
      <w:lvlJc w:val="left"/>
      <w:pPr>
        <w:ind w:left="1440" w:hanging="360"/>
      </w:pPr>
      <w:rPr>
        <w:rFonts w:ascii="Symbol" w:hAnsi="Symbol"/>
      </w:rPr>
    </w:lvl>
    <w:lvl w:ilvl="5" w:tplc="B3A42068">
      <w:start w:val="1"/>
      <w:numFmt w:val="bullet"/>
      <w:lvlText w:val=""/>
      <w:lvlJc w:val="left"/>
      <w:pPr>
        <w:ind w:left="1440" w:hanging="360"/>
      </w:pPr>
      <w:rPr>
        <w:rFonts w:ascii="Symbol" w:hAnsi="Symbol"/>
      </w:rPr>
    </w:lvl>
    <w:lvl w:ilvl="6" w:tplc="B588D8EA">
      <w:start w:val="1"/>
      <w:numFmt w:val="bullet"/>
      <w:lvlText w:val=""/>
      <w:lvlJc w:val="left"/>
      <w:pPr>
        <w:ind w:left="1440" w:hanging="360"/>
      </w:pPr>
      <w:rPr>
        <w:rFonts w:ascii="Symbol" w:hAnsi="Symbol"/>
      </w:rPr>
    </w:lvl>
    <w:lvl w:ilvl="7" w:tplc="037E7144">
      <w:start w:val="1"/>
      <w:numFmt w:val="bullet"/>
      <w:lvlText w:val=""/>
      <w:lvlJc w:val="left"/>
      <w:pPr>
        <w:ind w:left="1440" w:hanging="360"/>
      </w:pPr>
      <w:rPr>
        <w:rFonts w:ascii="Symbol" w:hAnsi="Symbol"/>
      </w:rPr>
    </w:lvl>
    <w:lvl w:ilvl="8" w:tplc="DBECAA0A">
      <w:start w:val="1"/>
      <w:numFmt w:val="bullet"/>
      <w:lvlText w:val=""/>
      <w:lvlJc w:val="left"/>
      <w:pPr>
        <w:ind w:left="1440" w:hanging="360"/>
      </w:pPr>
      <w:rPr>
        <w:rFonts w:ascii="Symbol" w:hAnsi="Symbol"/>
      </w:rPr>
    </w:lvl>
  </w:abstractNum>
  <w:abstractNum w:abstractNumId="6" w15:restartNumberingAfterBreak="0">
    <w:nsid w:val="0DA35DB2"/>
    <w:multiLevelType w:val="multilevel"/>
    <w:tmpl w:val="8B0A7690"/>
    <w:lvl w:ilvl="0">
      <w:start w:val="1"/>
      <w:numFmt w:val="decimal"/>
      <w:lvlText w:val="%1."/>
      <w:lvlJc w:val="left"/>
      <w:pPr>
        <w:ind w:left="567" w:hanging="567"/>
      </w:pPr>
      <w:rPr>
        <w:rFonts w:asciiTheme="minorHAnsi" w:eastAsiaTheme="minorHAnsi" w:hAnsiTheme="minorHAnsi" w:cstheme="minorBidi"/>
        <w:color w:val="auto"/>
      </w:rPr>
    </w:lvl>
    <w:lvl w:ilvl="1">
      <w:start w:val="1"/>
      <w:numFmt w:val="decimal"/>
      <w:lvlText w:val="%2."/>
      <w:lvlJc w:val="left"/>
      <w:pPr>
        <w:ind w:left="927" w:hanging="360"/>
      </w:p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0DF47915"/>
    <w:multiLevelType w:val="hybridMultilevel"/>
    <w:tmpl w:val="FA1A7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B0544B"/>
    <w:multiLevelType w:val="hybridMultilevel"/>
    <w:tmpl w:val="F918A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2227F"/>
    <w:multiLevelType w:val="multilevel"/>
    <w:tmpl w:val="5582C736"/>
    <w:lvl w:ilvl="0">
      <w:start w:val="1"/>
      <w:numFmt w:val="decimal"/>
      <w:lvlText w:val="%1."/>
      <w:lvlJc w:val="left"/>
      <w:pPr>
        <w:ind w:left="567" w:hanging="567"/>
      </w:pPr>
      <w:rPr>
        <w:rFonts w:asciiTheme="minorHAnsi" w:eastAsiaTheme="minorHAnsi" w:hAnsiTheme="minorHAnsi" w:cstheme="minorBidi"/>
        <w:color w:val="auto"/>
      </w:rPr>
    </w:lvl>
    <w:lvl w:ilvl="1">
      <w:start w:val="1"/>
      <w:numFmt w:val="decimal"/>
      <w:lvlText w:val="%2."/>
      <w:lvlJc w:val="left"/>
      <w:pPr>
        <w:ind w:left="927" w:hanging="360"/>
      </w:p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13E44E90"/>
    <w:multiLevelType w:val="hybridMultilevel"/>
    <w:tmpl w:val="400EB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89CCF7EE">
      <w:start w:val="1"/>
      <w:numFmt w:val="bullet"/>
      <w:pStyle w:val="TableBullet"/>
      <w:lvlText w:val=""/>
      <w:lvlJc w:val="left"/>
      <w:pPr>
        <w:ind w:left="720" w:hanging="360"/>
      </w:pPr>
      <w:rPr>
        <w:rFonts w:ascii="Symbol" w:hAnsi="Symbol" w:hint="default"/>
      </w:rPr>
    </w:lvl>
    <w:lvl w:ilvl="1" w:tplc="F3FCB5D8" w:tentative="1">
      <w:start w:val="1"/>
      <w:numFmt w:val="bullet"/>
      <w:lvlText w:val="o"/>
      <w:lvlJc w:val="left"/>
      <w:pPr>
        <w:ind w:left="1440" w:hanging="360"/>
      </w:pPr>
      <w:rPr>
        <w:rFonts w:ascii="Courier New" w:hAnsi="Courier New" w:cs="Courier New" w:hint="default"/>
      </w:rPr>
    </w:lvl>
    <w:lvl w:ilvl="2" w:tplc="91F27B56" w:tentative="1">
      <w:start w:val="1"/>
      <w:numFmt w:val="bullet"/>
      <w:lvlText w:val=""/>
      <w:lvlJc w:val="left"/>
      <w:pPr>
        <w:ind w:left="2160" w:hanging="360"/>
      </w:pPr>
      <w:rPr>
        <w:rFonts w:ascii="Wingdings" w:hAnsi="Wingdings" w:hint="default"/>
      </w:rPr>
    </w:lvl>
    <w:lvl w:ilvl="3" w:tplc="26420B32" w:tentative="1">
      <w:start w:val="1"/>
      <w:numFmt w:val="bullet"/>
      <w:lvlText w:val=""/>
      <w:lvlJc w:val="left"/>
      <w:pPr>
        <w:ind w:left="2880" w:hanging="360"/>
      </w:pPr>
      <w:rPr>
        <w:rFonts w:ascii="Symbol" w:hAnsi="Symbol" w:hint="default"/>
      </w:rPr>
    </w:lvl>
    <w:lvl w:ilvl="4" w:tplc="D0A83E22" w:tentative="1">
      <w:start w:val="1"/>
      <w:numFmt w:val="bullet"/>
      <w:lvlText w:val="o"/>
      <w:lvlJc w:val="left"/>
      <w:pPr>
        <w:ind w:left="3600" w:hanging="360"/>
      </w:pPr>
      <w:rPr>
        <w:rFonts w:ascii="Courier New" w:hAnsi="Courier New" w:cs="Courier New" w:hint="default"/>
      </w:rPr>
    </w:lvl>
    <w:lvl w:ilvl="5" w:tplc="32E8758C" w:tentative="1">
      <w:start w:val="1"/>
      <w:numFmt w:val="bullet"/>
      <w:lvlText w:val=""/>
      <w:lvlJc w:val="left"/>
      <w:pPr>
        <w:ind w:left="4320" w:hanging="360"/>
      </w:pPr>
      <w:rPr>
        <w:rFonts w:ascii="Wingdings" w:hAnsi="Wingdings" w:hint="default"/>
      </w:rPr>
    </w:lvl>
    <w:lvl w:ilvl="6" w:tplc="EBC48016" w:tentative="1">
      <w:start w:val="1"/>
      <w:numFmt w:val="bullet"/>
      <w:lvlText w:val=""/>
      <w:lvlJc w:val="left"/>
      <w:pPr>
        <w:ind w:left="5040" w:hanging="360"/>
      </w:pPr>
      <w:rPr>
        <w:rFonts w:ascii="Symbol" w:hAnsi="Symbol" w:hint="default"/>
      </w:rPr>
    </w:lvl>
    <w:lvl w:ilvl="7" w:tplc="41B296BC" w:tentative="1">
      <w:start w:val="1"/>
      <w:numFmt w:val="bullet"/>
      <w:lvlText w:val="o"/>
      <w:lvlJc w:val="left"/>
      <w:pPr>
        <w:ind w:left="5760" w:hanging="360"/>
      </w:pPr>
      <w:rPr>
        <w:rFonts w:ascii="Courier New" w:hAnsi="Courier New" w:cs="Courier New" w:hint="default"/>
      </w:rPr>
    </w:lvl>
    <w:lvl w:ilvl="8" w:tplc="41B08930" w:tentative="1">
      <w:start w:val="1"/>
      <w:numFmt w:val="bullet"/>
      <w:lvlText w:val=""/>
      <w:lvlJc w:val="left"/>
      <w:pPr>
        <w:ind w:left="6480" w:hanging="360"/>
      </w:pPr>
      <w:rPr>
        <w:rFonts w:ascii="Wingdings" w:hAnsi="Wingdings" w:hint="default"/>
      </w:rPr>
    </w:lvl>
  </w:abstractNum>
  <w:abstractNum w:abstractNumId="12" w15:restartNumberingAfterBreak="0">
    <w:nsid w:val="19AB7838"/>
    <w:multiLevelType w:val="hybridMultilevel"/>
    <w:tmpl w:val="A9E4F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A62A2ECE"/>
    <w:numStyleLink w:val="Numberlist"/>
  </w:abstractNum>
  <w:abstractNum w:abstractNumId="14" w15:restartNumberingAfterBreak="0">
    <w:nsid w:val="21E20078"/>
    <w:multiLevelType w:val="multilevel"/>
    <w:tmpl w:val="48D44014"/>
    <w:styleLink w:val="Headinglist"/>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vertAlign w:val="base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5265AF0"/>
    <w:multiLevelType w:val="hybridMultilevel"/>
    <w:tmpl w:val="D3842C6E"/>
    <w:lvl w:ilvl="0" w:tplc="4C90817C">
      <w:start w:val="1"/>
      <w:numFmt w:val="bullet"/>
      <w:lvlText w:val=""/>
      <w:lvlJc w:val="left"/>
      <w:pPr>
        <w:ind w:left="720" w:hanging="360"/>
      </w:pPr>
      <w:rPr>
        <w:rFonts w:ascii="Symbol" w:hAnsi="Symbol" w:hint="default"/>
      </w:rPr>
    </w:lvl>
    <w:lvl w:ilvl="1" w:tplc="E3C6AB52" w:tentative="1">
      <w:start w:val="1"/>
      <w:numFmt w:val="bullet"/>
      <w:lvlText w:val="o"/>
      <w:lvlJc w:val="left"/>
      <w:pPr>
        <w:ind w:left="1440" w:hanging="360"/>
      </w:pPr>
      <w:rPr>
        <w:rFonts w:ascii="Courier New" w:hAnsi="Courier New" w:cs="Courier New" w:hint="default"/>
      </w:rPr>
    </w:lvl>
    <w:lvl w:ilvl="2" w:tplc="0F50BD3C" w:tentative="1">
      <w:start w:val="1"/>
      <w:numFmt w:val="bullet"/>
      <w:lvlText w:val=""/>
      <w:lvlJc w:val="left"/>
      <w:pPr>
        <w:ind w:left="2160" w:hanging="360"/>
      </w:pPr>
      <w:rPr>
        <w:rFonts w:ascii="Wingdings" w:hAnsi="Wingdings" w:hint="default"/>
      </w:rPr>
    </w:lvl>
    <w:lvl w:ilvl="3" w:tplc="2B3E4E84" w:tentative="1">
      <w:start w:val="1"/>
      <w:numFmt w:val="bullet"/>
      <w:lvlText w:val=""/>
      <w:lvlJc w:val="left"/>
      <w:pPr>
        <w:ind w:left="2880" w:hanging="360"/>
      </w:pPr>
      <w:rPr>
        <w:rFonts w:ascii="Symbol" w:hAnsi="Symbol" w:hint="default"/>
      </w:rPr>
    </w:lvl>
    <w:lvl w:ilvl="4" w:tplc="A2D65E94" w:tentative="1">
      <w:start w:val="1"/>
      <w:numFmt w:val="bullet"/>
      <w:lvlText w:val="o"/>
      <w:lvlJc w:val="left"/>
      <w:pPr>
        <w:ind w:left="3600" w:hanging="360"/>
      </w:pPr>
      <w:rPr>
        <w:rFonts w:ascii="Courier New" w:hAnsi="Courier New" w:cs="Courier New" w:hint="default"/>
      </w:rPr>
    </w:lvl>
    <w:lvl w:ilvl="5" w:tplc="C7FCB41A" w:tentative="1">
      <w:start w:val="1"/>
      <w:numFmt w:val="bullet"/>
      <w:lvlText w:val=""/>
      <w:lvlJc w:val="left"/>
      <w:pPr>
        <w:ind w:left="4320" w:hanging="360"/>
      </w:pPr>
      <w:rPr>
        <w:rFonts w:ascii="Wingdings" w:hAnsi="Wingdings" w:hint="default"/>
      </w:rPr>
    </w:lvl>
    <w:lvl w:ilvl="6" w:tplc="C9B60906" w:tentative="1">
      <w:start w:val="1"/>
      <w:numFmt w:val="bullet"/>
      <w:lvlText w:val=""/>
      <w:lvlJc w:val="left"/>
      <w:pPr>
        <w:ind w:left="5040" w:hanging="360"/>
      </w:pPr>
      <w:rPr>
        <w:rFonts w:ascii="Symbol" w:hAnsi="Symbol" w:hint="default"/>
      </w:rPr>
    </w:lvl>
    <w:lvl w:ilvl="7" w:tplc="95C655EA" w:tentative="1">
      <w:start w:val="1"/>
      <w:numFmt w:val="bullet"/>
      <w:lvlText w:val="o"/>
      <w:lvlJc w:val="left"/>
      <w:pPr>
        <w:ind w:left="5760" w:hanging="360"/>
      </w:pPr>
      <w:rPr>
        <w:rFonts w:ascii="Courier New" w:hAnsi="Courier New" w:cs="Courier New" w:hint="default"/>
      </w:rPr>
    </w:lvl>
    <w:lvl w:ilvl="8" w:tplc="513605D0" w:tentative="1">
      <w:start w:val="1"/>
      <w:numFmt w:val="bullet"/>
      <w:lvlText w:val=""/>
      <w:lvlJc w:val="left"/>
      <w:pPr>
        <w:ind w:left="6480" w:hanging="360"/>
      </w:pPr>
      <w:rPr>
        <w:rFonts w:ascii="Wingdings" w:hAnsi="Wingdings" w:hint="default"/>
      </w:rPr>
    </w:lvl>
  </w:abstractNum>
  <w:abstractNum w:abstractNumId="16" w15:restartNumberingAfterBreak="0">
    <w:nsid w:val="273E294D"/>
    <w:multiLevelType w:val="hybridMultilevel"/>
    <w:tmpl w:val="6F3A74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F840C93"/>
    <w:multiLevelType w:val="hybridMultilevel"/>
    <w:tmpl w:val="5E242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490BE2"/>
    <w:multiLevelType w:val="hybridMultilevel"/>
    <w:tmpl w:val="FA402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CB0593"/>
    <w:multiLevelType w:val="hybridMultilevel"/>
    <w:tmpl w:val="F4B8B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412EA4"/>
    <w:multiLevelType w:val="hybridMultilevel"/>
    <w:tmpl w:val="0F047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0D2F42"/>
    <w:multiLevelType w:val="hybridMultilevel"/>
    <w:tmpl w:val="6BDC5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406735"/>
    <w:multiLevelType w:val="multilevel"/>
    <w:tmpl w:val="3272B7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D05817"/>
    <w:multiLevelType w:val="hybridMultilevel"/>
    <w:tmpl w:val="689246F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4" w15:restartNumberingAfterBreak="0">
    <w:nsid w:val="48DE2E4A"/>
    <w:multiLevelType w:val="hybridMultilevel"/>
    <w:tmpl w:val="B7086130"/>
    <w:lvl w:ilvl="0" w:tplc="574C7EB0">
      <w:start w:val="1"/>
      <w:numFmt w:val="bullet"/>
      <w:pStyle w:val="BoxTextBullet"/>
      <w:lvlText w:val=""/>
      <w:lvlJc w:val="left"/>
      <w:pPr>
        <w:ind w:left="720" w:hanging="360"/>
      </w:pPr>
      <w:rPr>
        <w:rFonts w:ascii="Symbol" w:hAnsi="Symbol" w:hint="default"/>
      </w:rPr>
    </w:lvl>
    <w:lvl w:ilvl="1" w:tplc="B8B0C0D0" w:tentative="1">
      <w:start w:val="1"/>
      <w:numFmt w:val="bullet"/>
      <w:lvlText w:val="o"/>
      <w:lvlJc w:val="left"/>
      <w:pPr>
        <w:ind w:left="1440" w:hanging="360"/>
      </w:pPr>
      <w:rPr>
        <w:rFonts w:ascii="Courier New" w:hAnsi="Courier New" w:cs="Courier New" w:hint="default"/>
      </w:rPr>
    </w:lvl>
    <w:lvl w:ilvl="2" w:tplc="5ED472EE" w:tentative="1">
      <w:start w:val="1"/>
      <w:numFmt w:val="bullet"/>
      <w:lvlText w:val=""/>
      <w:lvlJc w:val="left"/>
      <w:pPr>
        <w:ind w:left="2160" w:hanging="360"/>
      </w:pPr>
      <w:rPr>
        <w:rFonts w:ascii="Wingdings" w:hAnsi="Wingdings" w:hint="default"/>
      </w:rPr>
    </w:lvl>
    <w:lvl w:ilvl="3" w:tplc="B09848F6" w:tentative="1">
      <w:start w:val="1"/>
      <w:numFmt w:val="bullet"/>
      <w:lvlText w:val=""/>
      <w:lvlJc w:val="left"/>
      <w:pPr>
        <w:ind w:left="2880" w:hanging="360"/>
      </w:pPr>
      <w:rPr>
        <w:rFonts w:ascii="Symbol" w:hAnsi="Symbol" w:hint="default"/>
      </w:rPr>
    </w:lvl>
    <w:lvl w:ilvl="4" w:tplc="95CC2EB2" w:tentative="1">
      <w:start w:val="1"/>
      <w:numFmt w:val="bullet"/>
      <w:lvlText w:val="o"/>
      <w:lvlJc w:val="left"/>
      <w:pPr>
        <w:ind w:left="3600" w:hanging="360"/>
      </w:pPr>
      <w:rPr>
        <w:rFonts w:ascii="Courier New" w:hAnsi="Courier New" w:cs="Courier New" w:hint="default"/>
      </w:rPr>
    </w:lvl>
    <w:lvl w:ilvl="5" w:tplc="E2F08F8C" w:tentative="1">
      <w:start w:val="1"/>
      <w:numFmt w:val="bullet"/>
      <w:lvlText w:val=""/>
      <w:lvlJc w:val="left"/>
      <w:pPr>
        <w:ind w:left="4320" w:hanging="360"/>
      </w:pPr>
      <w:rPr>
        <w:rFonts w:ascii="Wingdings" w:hAnsi="Wingdings" w:hint="default"/>
      </w:rPr>
    </w:lvl>
    <w:lvl w:ilvl="6" w:tplc="71A8B3FE" w:tentative="1">
      <w:start w:val="1"/>
      <w:numFmt w:val="bullet"/>
      <w:lvlText w:val=""/>
      <w:lvlJc w:val="left"/>
      <w:pPr>
        <w:ind w:left="5040" w:hanging="360"/>
      </w:pPr>
      <w:rPr>
        <w:rFonts w:ascii="Symbol" w:hAnsi="Symbol" w:hint="default"/>
      </w:rPr>
    </w:lvl>
    <w:lvl w:ilvl="7" w:tplc="B2168A38" w:tentative="1">
      <w:start w:val="1"/>
      <w:numFmt w:val="bullet"/>
      <w:lvlText w:val="o"/>
      <w:lvlJc w:val="left"/>
      <w:pPr>
        <w:ind w:left="5760" w:hanging="360"/>
      </w:pPr>
      <w:rPr>
        <w:rFonts w:ascii="Courier New" w:hAnsi="Courier New" w:cs="Courier New" w:hint="default"/>
      </w:rPr>
    </w:lvl>
    <w:lvl w:ilvl="8" w:tplc="F15CECDE" w:tentative="1">
      <w:start w:val="1"/>
      <w:numFmt w:val="bullet"/>
      <w:lvlText w:val=""/>
      <w:lvlJc w:val="left"/>
      <w:pPr>
        <w:ind w:left="6480" w:hanging="360"/>
      </w:pPr>
      <w:rPr>
        <w:rFonts w:ascii="Wingdings" w:hAnsi="Wingdings" w:hint="default"/>
      </w:rPr>
    </w:lvl>
  </w:abstractNum>
  <w:abstractNum w:abstractNumId="25"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6" w15:restartNumberingAfterBreak="0">
    <w:nsid w:val="4E2B7BBA"/>
    <w:multiLevelType w:val="hybridMultilevel"/>
    <w:tmpl w:val="E054A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654998"/>
    <w:multiLevelType w:val="multilevel"/>
    <w:tmpl w:val="A1F249D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69F692A"/>
    <w:multiLevelType w:val="hybridMultilevel"/>
    <w:tmpl w:val="6E38F172"/>
    <w:lvl w:ilvl="0" w:tplc="E15C469E">
      <w:start w:val="1"/>
      <w:numFmt w:val="bullet"/>
      <w:lvlText w:val=""/>
      <w:lvlJc w:val="left"/>
      <w:pPr>
        <w:ind w:left="720" w:hanging="360"/>
      </w:pPr>
      <w:rPr>
        <w:rFonts w:ascii="Symbol" w:hAnsi="Symbol" w:hint="default"/>
      </w:rPr>
    </w:lvl>
    <w:lvl w:ilvl="1" w:tplc="66C29ED0" w:tentative="1">
      <w:start w:val="1"/>
      <w:numFmt w:val="bullet"/>
      <w:lvlText w:val="o"/>
      <w:lvlJc w:val="left"/>
      <w:pPr>
        <w:ind w:left="1440" w:hanging="360"/>
      </w:pPr>
      <w:rPr>
        <w:rFonts w:ascii="Courier New" w:hAnsi="Courier New" w:cs="Courier New" w:hint="default"/>
      </w:rPr>
    </w:lvl>
    <w:lvl w:ilvl="2" w:tplc="3EEC66BA" w:tentative="1">
      <w:start w:val="1"/>
      <w:numFmt w:val="bullet"/>
      <w:lvlText w:val=""/>
      <w:lvlJc w:val="left"/>
      <w:pPr>
        <w:ind w:left="2160" w:hanging="360"/>
      </w:pPr>
      <w:rPr>
        <w:rFonts w:ascii="Wingdings" w:hAnsi="Wingdings" w:hint="default"/>
      </w:rPr>
    </w:lvl>
    <w:lvl w:ilvl="3" w:tplc="8884D714" w:tentative="1">
      <w:start w:val="1"/>
      <w:numFmt w:val="bullet"/>
      <w:lvlText w:val=""/>
      <w:lvlJc w:val="left"/>
      <w:pPr>
        <w:ind w:left="2880" w:hanging="360"/>
      </w:pPr>
      <w:rPr>
        <w:rFonts w:ascii="Symbol" w:hAnsi="Symbol" w:hint="default"/>
      </w:rPr>
    </w:lvl>
    <w:lvl w:ilvl="4" w:tplc="BD82BEB2" w:tentative="1">
      <w:start w:val="1"/>
      <w:numFmt w:val="bullet"/>
      <w:lvlText w:val="o"/>
      <w:lvlJc w:val="left"/>
      <w:pPr>
        <w:ind w:left="3600" w:hanging="360"/>
      </w:pPr>
      <w:rPr>
        <w:rFonts w:ascii="Courier New" w:hAnsi="Courier New" w:cs="Courier New" w:hint="default"/>
      </w:rPr>
    </w:lvl>
    <w:lvl w:ilvl="5" w:tplc="580E93B4" w:tentative="1">
      <w:start w:val="1"/>
      <w:numFmt w:val="bullet"/>
      <w:lvlText w:val=""/>
      <w:lvlJc w:val="left"/>
      <w:pPr>
        <w:ind w:left="4320" w:hanging="360"/>
      </w:pPr>
      <w:rPr>
        <w:rFonts w:ascii="Wingdings" w:hAnsi="Wingdings" w:hint="default"/>
      </w:rPr>
    </w:lvl>
    <w:lvl w:ilvl="6" w:tplc="06C03862" w:tentative="1">
      <w:start w:val="1"/>
      <w:numFmt w:val="bullet"/>
      <w:lvlText w:val=""/>
      <w:lvlJc w:val="left"/>
      <w:pPr>
        <w:ind w:left="5040" w:hanging="360"/>
      </w:pPr>
      <w:rPr>
        <w:rFonts w:ascii="Symbol" w:hAnsi="Symbol" w:hint="default"/>
      </w:rPr>
    </w:lvl>
    <w:lvl w:ilvl="7" w:tplc="6A86F362" w:tentative="1">
      <w:start w:val="1"/>
      <w:numFmt w:val="bullet"/>
      <w:lvlText w:val="o"/>
      <w:lvlJc w:val="left"/>
      <w:pPr>
        <w:ind w:left="5760" w:hanging="360"/>
      </w:pPr>
      <w:rPr>
        <w:rFonts w:ascii="Courier New" w:hAnsi="Courier New" w:cs="Courier New" w:hint="default"/>
      </w:rPr>
    </w:lvl>
    <w:lvl w:ilvl="8" w:tplc="A63E0714" w:tentative="1">
      <w:start w:val="1"/>
      <w:numFmt w:val="bullet"/>
      <w:lvlText w:val=""/>
      <w:lvlJc w:val="left"/>
      <w:pPr>
        <w:ind w:left="6480" w:hanging="360"/>
      </w:pPr>
      <w:rPr>
        <w:rFonts w:ascii="Wingdings" w:hAnsi="Wingdings" w:hint="default"/>
      </w:rPr>
    </w:lvl>
  </w:abstractNum>
  <w:abstractNum w:abstractNumId="29" w15:restartNumberingAfterBreak="0">
    <w:nsid w:val="587707DC"/>
    <w:multiLevelType w:val="hybridMultilevel"/>
    <w:tmpl w:val="614C0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4C0817"/>
    <w:multiLevelType w:val="hybridMultilevel"/>
    <w:tmpl w:val="F2C03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B54306"/>
    <w:multiLevelType w:val="hybridMultilevel"/>
    <w:tmpl w:val="0D1C6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A12966"/>
    <w:multiLevelType w:val="multilevel"/>
    <w:tmpl w:val="A0241B28"/>
    <w:styleLink w:val="List1"/>
    <w:lvl w:ilvl="0">
      <w:start w:val="1"/>
      <w:numFmt w:val="bullet"/>
      <w:pStyle w:val="ListBullet"/>
      <w:lvlText w:val=""/>
      <w:lvlJc w:val="left"/>
      <w:pPr>
        <w:ind w:left="2127"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B186C05"/>
    <w:multiLevelType w:val="multilevel"/>
    <w:tmpl w:val="97D6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3D019A"/>
    <w:multiLevelType w:val="hybridMultilevel"/>
    <w:tmpl w:val="79ECDF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B8F3B04"/>
    <w:multiLevelType w:val="multilevel"/>
    <w:tmpl w:val="A62A2ECE"/>
    <w:styleLink w:val="Numberlist"/>
    <w:lvl w:ilvl="0">
      <w:start w:val="1"/>
      <w:numFmt w:val="decimal"/>
      <w:lvlText w:val="%1."/>
      <w:lvlJc w:val="left"/>
      <w:pPr>
        <w:ind w:left="567" w:hanging="567"/>
      </w:pPr>
      <w:rPr>
        <w:rFonts w:asciiTheme="minorHAnsi" w:eastAsiaTheme="minorHAnsi" w:hAnsiTheme="minorHAnsi" w:cstheme="minorBidi"/>
        <w:color w:val="auto"/>
      </w:rPr>
    </w:lvl>
    <w:lvl w:ilvl="1">
      <w:start w:val="1"/>
      <w:numFmt w:val="lowerLetter"/>
      <w:pStyle w:val="ListNumber2"/>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5BC56ED7"/>
    <w:multiLevelType w:val="hybridMultilevel"/>
    <w:tmpl w:val="E87ED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4E4C64"/>
    <w:multiLevelType w:val="multilevel"/>
    <w:tmpl w:val="2A4E76CA"/>
    <w:lvl w:ilvl="0">
      <w:start w:val="1"/>
      <w:numFmt w:val="decimal"/>
      <w:pStyle w:val="Heading2"/>
      <w:lvlText w:val="%1"/>
      <w:lvlJc w:val="left"/>
      <w:rPr>
        <w:rFonts w:hint="default"/>
        <w:b w:val="0"/>
        <w:bCs w:val="0"/>
        <w:i w:val="0"/>
        <w:iCs w:val="0"/>
        <w:caps w:val="0"/>
        <w:smallCaps w:val="0"/>
        <w:strike w:val="0"/>
        <w:dstrike w:val="0"/>
        <w:noProof w:val="0"/>
        <w:vanish w:val="0"/>
        <w:color w:val="049885"/>
        <w:spacing w:val="0"/>
        <w:kern w:val="0"/>
        <w:position w:val="0"/>
        <w:u w:val="none"/>
        <w:vertAlign w:val="baseline"/>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38" w15:restartNumberingAfterBreak="0">
    <w:nsid w:val="60FE2CBD"/>
    <w:multiLevelType w:val="multilevel"/>
    <w:tmpl w:val="8B0A7690"/>
    <w:lvl w:ilvl="0">
      <w:start w:val="1"/>
      <w:numFmt w:val="decimal"/>
      <w:lvlText w:val="%1."/>
      <w:lvlJc w:val="left"/>
      <w:pPr>
        <w:ind w:left="567" w:hanging="567"/>
      </w:pPr>
      <w:rPr>
        <w:rFonts w:asciiTheme="minorHAnsi" w:eastAsiaTheme="minorHAnsi" w:hAnsiTheme="minorHAnsi" w:cstheme="minorBidi"/>
        <w:color w:val="auto"/>
      </w:rPr>
    </w:lvl>
    <w:lvl w:ilvl="1">
      <w:start w:val="1"/>
      <w:numFmt w:val="decimal"/>
      <w:lvlText w:val="%2."/>
      <w:lvlJc w:val="left"/>
      <w:pPr>
        <w:ind w:left="927" w:hanging="360"/>
      </w:p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64AD7DF1"/>
    <w:multiLevelType w:val="hybridMultilevel"/>
    <w:tmpl w:val="31804ACC"/>
    <w:lvl w:ilvl="0" w:tplc="C75467F8">
      <w:start w:val="1"/>
      <w:numFmt w:val="decimal"/>
      <w:suff w:val="space"/>
      <w:lvlText w:val="%1)"/>
      <w:lvlJc w:val="left"/>
      <w:pPr>
        <w:ind w:left="1998" w:hanging="360"/>
      </w:pPr>
      <w:rPr>
        <w:rFonts w:hint="default"/>
      </w:rPr>
    </w:lvl>
    <w:lvl w:ilvl="1" w:tplc="EE94497C" w:tentative="1">
      <w:start w:val="1"/>
      <w:numFmt w:val="lowerLetter"/>
      <w:lvlText w:val="%2."/>
      <w:lvlJc w:val="left"/>
      <w:pPr>
        <w:ind w:left="2718" w:hanging="360"/>
      </w:pPr>
    </w:lvl>
    <w:lvl w:ilvl="2" w:tplc="ABC08E7C" w:tentative="1">
      <w:start w:val="1"/>
      <w:numFmt w:val="lowerRoman"/>
      <w:lvlText w:val="%3."/>
      <w:lvlJc w:val="right"/>
      <w:pPr>
        <w:ind w:left="3438" w:hanging="180"/>
      </w:pPr>
    </w:lvl>
    <w:lvl w:ilvl="3" w:tplc="D1A65026" w:tentative="1">
      <w:start w:val="1"/>
      <w:numFmt w:val="decimal"/>
      <w:lvlText w:val="%4."/>
      <w:lvlJc w:val="left"/>
      <w:pPr>
        <w:ind w:left="4158" w:hanging="360"/>
      </w:pPr>
    </w:lvl>
    <w:lvl w:ilvl="4" w:tplc="48C29468" w:tentative="1">
      <w:start w:val="1"/>
      <w:numFmt w:val="lowerLetter"/>
      <w:lvlText w:val="%5."/>
      <w:lvlJc w:val="left"/>
      <w:pPr>
        <w:ind w:left="4878" w:hanging="360"/>
      </w:pPr>
    </w:lvl>
    <w:lvl w:ilvl="5" w:tplc="C7FC82E2" w:tentative="1">
      <w:start w:val="1"/>
      <w:numFmt w:val="lowerRoman"/>
      <w:lvlText w:val="%6."/>
      <w:lvlJc w:val="right"/>
      <w:pPr>
        <w:ind w:left="5598" w:hanging="180"/>
      </w:pPr>
    </w:lvl>
    <w:lvl w:ilvl="6" w:tplc="8EAC0656" w:tentative="1">
      <w:start w:val="1"/>
      <w:numFmt w:val="decimal"/>
      <w:lvlText w:val="%7."/>
      <w:lvlJc w:val="left"/>
      <w:pPr>
        <w:ind w:left="6318" w:hanging="360"/>
      </w:pPr>
    </w:lvl>
    <w:lvl w:ilvl="7" w:tplc="88361066" w:tentative="1">
      <w:start w:val="1"/>
      <w:numFmt w:val="lowerLetter"/>
      <w:lvlText w:val="%8."/>
      <w:lvlJc w:val="left"/>
      <w:pPr>
        <w:ind w:left="7038" w:hanging="360"/>
      </w:pPr>
    </w:lvl>
    <w:lvl w:ilvl="8" w:tplc="596C04AE" w:tentative="1">
      <w:start w:val="1"/>
      <w:numFmt w:val="lowerRoman"/>
      <w:lvlText w:val="%9."/>
      <w:lvlJc w:val="right"/>
      <w:pPr>
        <w:ind w:left="7758" w:hanging="180"/>
      </w:pPr>
    </w:lvl>
  </w:abstractNum>
  <w:abstractNum w:abstractNumId="40" w15:restartNumberingAfterBreak="0">
    <w:nsid w:val="68374EEA"/>
    <w:multiLevelType w:val="hybridMultilevel"/>
    <w:tmpl w:val="757E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4A6F80"/>
    <w:multiLevelType w:val="hybridMultilevel"/>
    <w:tmpl w:val="A81E0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784DDB"/>
    <w:multiLevelType w:val="multilevel"/>
    <w:tmpl w:val="A62A2ECE"/>
    <w:numStyleLink w:val="Numberlist"/>
  </w:abstractNum>
  <w:abstractNum w:abstractNumId="43" w15:restartNumberingAfterBreak="0">
    <w:nsid w:val="6E894E38"/>
    <w:multiLevelType w:val="hybridMultilevel"/>
    <w:tmpl w:val="E4F08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8200663">
    <w:abstractNumId w:val="4"/>
  </w:num>
  <w:num w:numId="2" w16cid:durableId="423310368">
    <w:abstractNumId w:val="37"/>
    <w:lvlOverride w:ilvl="0">
      <w:lvl w:ilvl="0">
        <w:start w:val="1"/>
        <w:numFmt w:val="decimal"/>
        <w:pStyle w:val="Heading2"/>
        <w:lvlText w:val="%1"/>
        <w:lvlJc w:val="left"/>
        <w:pPr>
          <w:ind w:left="360" w:hanging="360"/>
        </w:pPr>
        <w:rPr>
          <w:rFonts w:hint="default"/>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 w16cid:durableId="1803038126">
    <w:abstractNumId w:val="24"/>
  </w:num>
  <w:num w:numId="4" w16cid:durableId="1497108782">
    <w:abstractNumId w:val="37"/>
  </w:num>
  <w:num w:numId="5" w16cid:durableId="1299073591">
    <w:abstractNumId w:val="32"/>
  </w:num>
  <w:num w:numId="6" w16cid:durableId="1112362072">
    <w:abstractNumId w:val="14"/>
  </w:num>
  <w:num w:numId="7" w16cid:durableId="1098525719">
    <w:abstractNumId w:val="35"/>
  </w:num>
  <w:num w:numId="8" w16cid:durableId="154806762">
    <w:abstractNumId w:val="11"/>
  </w:num>
  <w:num w:numId="9" w16cid:durableId="1297562299">
    <w:abstractNumId w:val="25"/>
  </w:num>
  <w:num w:numId="10" w16cid:durableId="17710478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4184928">
    <w:abstractNumId w:val="15"/>
  </w:num>
  <w:num w:numId="12" w16cid:durableId="895553142">
    <w:abstractNumId w:val="22"/>
  </w:num>
  <w:num w:numId="13" w16cid:durableId="1563716354">
    <w:abstractNumId w:val="39"/>
  </w:num>
  <w:num w:numId="14" w16cid:durableId="255788851">
    <w:abstractNumId w:val="27"/>
  </w:num>
  <w:num w:numId="15" w16cid:durableId="1645089110">
    <w:abstractNumId w:val="3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5186255">
    <w:abstractNumId w:val="28"/>
  </w:num>
  <w:num w:numId="17" w16cid:durableId="241063400">
    <w:abstractNumId w:val="37"/>
    <w:lvlOverride w:ilvl="0">
      <w:lvl w:ilvl="0">
        <w:start w:val="1"/>
        <w:numFmt w:val="decimal"/>
        <w:pStyle w:val="Heading2"/>
        <w:lvlText w:val="%1"/>
        <w:lvlJc w:val="left"/>
        <w:pPr>
          <w:ind w:left="360" w:hanging="360"/>
        </w:pPr>
        <w:rPr>
          <w:rFonts w:hint="default"/>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 w16cid:durableId="1833719561">
    <w:abstractNumId w:val="37"/>
    <w:lvlOverride w:ilvl="0">
      <w:lvl w:ilvl="0">
        <w:start w:val="1"/>
        <w:numFmt w:val="decimal"/>
        <w:pStyle w:val="Heading2"/>
        <w:lvlText w:val="%1"/>
        <w:lvlJc w:val="left"/>
        <w:pPr>
          <w:ind w:left="360" w:hanging="360"/>
        </w:pPr>
        <w:rPr>
          <w:b w:val="0"/>
          <w:bCs w:val="0"/>
          <w:i w:val="0"/>
          <w:iCs w:val="0"/>
          <w:caps w:val="0"/>
          <w:smallCaps w:val="0"/>
          <w:strike w:val="0"/>
          <w:dstrike w:val="0"/>
          <w:noProof w:val="0"/>
          <w:vanish w:val="0"/>
          <w:webHidden w:val="0"/>
          <w:color w:val="049885"/>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decimal"/>
        <w:lvlText w:val="%5."/>
        <w:lvlJc w:val="left"/>
        <w:pPr>
          <w:ind w:left="3240" w:hanging="360"/>
        </w:pPr>
      </w:lvl>
    </w:lvlOverride>
    <w:lvlOverride w:ilvl="5">
      <w:lvl w:ilvl="5">
        <w:start w:val="1"/>
        <w:numFmt w:val="decimal"/>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decimal"/>
        <w:lvlText w:val="%8."/>
        <w:lvlJc w:val="left"/>
        <w:pPr>
          <w:ind w:left="5400" w:hanging="360"/>
        </w:pPr>
      </w:lvl>
    </w:lvlOverride>
    <w:lvlOverride w:ilvl="8">
      <w:lvl w:ilvl="8">
        <w:start w:val="1"/>
        <w:numFmt w:val="decimal"/>
        <w:lvlText w:val="%9."/>
        <w:lvlJc w:val="right"/>
        <w:pPr>
          <w:ind w:left="6120" w:hanging="180"/>
        </w:pPr>
      </w:lvl>
    </w:lvlOverride>
  </w:num>
  <w:num w:numId="19" w16cid:durableId="1813328302">
    <w:abstractNumId w:val="1"/>
  </w:num>
  <w:num w:numId="20" w16cid:durableId="208154553">
    <w:abstractNumId w:val="7"/>
  </w:num>
  <w:num w:numId="21" w16cid:durableId="362366121">
    <w:abstractNumId w:val="34"/>
  </w:num>
  <w:num w:numId="22" w16cid:durableId="992948399">
    <w:abstractNumId w:val="29"/>
  </w:num>
  <w:num w:numId="23" w16cid:durableId="1572036025">
    <w:abstractNumId w:val="37"/>
    <w:lvlOverride w:ilvl="0">
      <w:startOverride w:val="3"/>
    </w:lvlOverride>
    <w:lvlOverride w:ilvl="1">
      <w:startOverride w:val="1"/>
    </w:lvlOverride>
    <w:lvlOverride w:ilvl="2">
      <w:startOverride w:val="2"/>
    </w:lvlOverride>
  </w:num>
  <w:num w:numId="24" w16cid:durableId="414207189">
    <w:abstractNumId w:val="13"/>
  </w:num>
  <w:num w:numId="25" w16cid:durableId="1957983845">
    <w:abstractNumId w:val="23"/>
  </w:num>
  <w:num w:numId="26" w16cid:durableId="1865941015">
    <w:abstractNumId w:val="10"/>
  </w:num>
  <w:num w:numId="27" w16cid:durableId="1320571677">
    <w:abstractNumId w:val="37"/>
    <w:lvlOverride w:ilvl="0">
      <w:lvl w:ilvl="0">
        <w:start w:val="1"/>
        <w:numFmt w:val="decimal"/>
        <w:pStyle w:val="Heading2"/>
        <w:lvlText w:val="%1"/>
        <w:lvlJc w:val="left"/>
        <w:pPr>
          <w:ind w:left="851" w:hanging="851"/>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851" w:hanging="851"/>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851" w:hanging="851"/>
        </w:pPr>
        <w:rPr>
          <w:rFonts w:hint="default"/>
          <w:b/>
          <w:bCs w:val="0"/>
        </w:rPr>
      </w:lvl>
    </w:lvlOverride>
    <w:lvlOverride w:ilvl="4">
      <w:lvl w:ilvl="4">
        <w:start w:val="1"/>
        <w:numFmt w:val="lowerLetter"/>
        <w:lvlText w:val="%5."/>
        <w:lvlJc w:val="left"/>
        <w:pPr>
          <w:ind w:left="851" w:hanging="851"/>
        </w:pPr>
        <w:rPr>
          <w:rFonts w:hint="default"/>
        </w:rPr>
      </w:lvl>
    </w:lvlOverride>
    <w:lvlOverride w:ilvl="5">
      <w:lvl w:ilvl="5">
        <w:start w:val="1"/>
        <w:numFmt w:val="lowerRoman"/>
        <w:lvlText w:val="%6."/>
        <w:lvlJc w:val="right"/>
        <w:pPr>
          <w:ind w:left="851" w:hanging="851"/>
        </w:pPr>
        <w:rPr>
          <w:rFonts w:hint="default"/>
        </w:rPr>
      </w:lvl>
    </w:lvlOverride>
    <w:lvlOverride w:ilvl="6">
      <w:lvl w:ilvl="6">
        <w:start w:val="1"/>
        <w:numFmt w:val="decimal"/>
        <w:lvlText w:val="%7."/>
        <w:lvlJc w:val="left"/>
        <w:pPr>
          <w:ind w:left="851" w:hanging="851"/>
        </w:pPr>
        <w:rPr>
          <w:rFonts w:hint="default"/>
        </w:rPr>
      </w:lvl>
    </w:lvlOverride>
    <w:lvlOverride w:ilvl="7">
      <w:lvl w:ilvl="7">
        <w:start w:val="1"/>
        <w:numFmt w:val="lowerLetter"/>
        <w:lvlText w:val="%8."/>
        <w:lvlJc w:val="left"/>
        <w:pPr>
          <w:ind w:left="851" w:hanging="851"/>
        </w:pPr>
        <w:rPr>
          <w:rFonts w:hint="default"/>
        </w:rPr>
      </w:lvl>
    </w:lvlOverride>
    <w:lvlOverride w:ilvl="8">
      <w:lvl w:ilvl="8">
        <w:start w:val="1"/>
        <w:numFmt w:val="lowerRoman"/>
        <w:lvlText w:val="%9."/>
        <w:lvlJc w:val="right"/>
        <w:pPr>
          <w:ind w:left="851" w:hanging="851"/>
        </w:pPr>
        <w:rPr>
          <w:rFonts w:hint="default"/>
        </w:rPr>
      </w:lvl>
    </w:lvlOverride>
  </w:num>
  <w:num w:numId="28" w16cid:durableId="1150755413">
    <w:abstractNumId w:val="33"/>
  </w:num>
  <w:num w:numId="29" w16cid:durableId="639574755">
    <w:abstractNumId w:val="3"/>
  </w:num>
  <w:num w:numId="30" w16cid:durableId="1339698793">
    <w:abstractNumId w:val="16"/>
  </w:num>
  <w:num w:numId="31" w16cid:durableId="2118207096">
    <w:abstractNumId w:val="18"/>
  </w:num>
  <w:num w:numId="32" w16cid:durableId="2090926695">
    <w:abstractNumId w:val="26"/>
  </w:num>
  <w:num w:numId="33" w16cid:durableId="908032414">
    <w:abstractNumId w:val="42"/>
  </w:num>
  <w:num w:numId="34" w16cid:durableId="1386221133">
    <w:abstractNumId w:val="6"/>
  </w:num>
  <w:num w:numId="35" w16cid:durableId="283511660">
    <w:abstractNumId w:val="38"/>
  </w:num>
  <w:num w:numId="36" w16cid:durableId="377776342">
    <w:abstractNumId w:val="9"/>
  </w:num>
  <w:num w:numId="37" w16cid:durableId="1888563448">
    <w:abstractNumId w:val="0"/>
  </w:num>
  <w:num w:numId="38" w16cid:durableId="1608151483">
    <w:abstractNumId w:val="0"/>
  </w:num>
  <w:num w:numId="39" w16cid:durableId="861405606">
    <w:abstractNumId w:val="36"/>
  </w:num>
  <w:num w:numId="40" w16cid:durableId="1613589111">
    <w:abstractNumId w:val="5"/>
  </w:num>
  <w:num w:numId="41" w16cid:durableId="1481658141">
    <w:abstractNumId w:val="31"/>
  </w:num>
  <w:num w:numId="42" w16cid:durableId="1504003449">
    <w:abstractNumId w:val="41"/>
  </w:num>
  <w:num w:numId="43" w16cid:durableId="742677072">
    <w:abstractNumId w:val="37"/>
    <w:lvlOverride w:ilvl="0">
      <w:startOverride w:val="1"/>
    </w:lvlOverride>
    <w:lvlOverride w:ilvl="1">
      <w:startOverride w:val="4"/>
    </w:lvlOverride>
    <w:lvlOverride w:ilvl="2">
      <w:startOverride w:val="1"/>
    </w:lvlOverride>
  </w:num>
  <w:num w:numId="44" w16cid:durableId="1149247366">
    <w:abstractNumId w:val="2"/>
  </w:num>
  <w:num w:numId="45" w16cid:durableId="2077193469">
    <w:abstractNumId w:val="43"/>
  </w:num>
  <w:num w:numId="46" w16cid:durableId="1223296720">
    <w:abstractNumId w:val="8"/>
  </w:num>
  <w:num w:numId="47" w16cid:durableId="1107039277">
    <w:abstractNumId w:val="21"/>
  </w:num>
  <w:num w:numId="48" w16cid:durableId="1807237912">
    <w:abstractNumId w:val="19"/>
  </w:num>
  <w:num w:numId="49" w16cid:durableId="1437210700">
    <w:abstractNumId w:val="30"/>
  </w:num>
  <w:num w:numId="50" w16cid:durableId="1977904389">
    <w:abstractNumId w:val="12"/>
  </w:num>
  <w:num w:numId="51" w16cid:durableId="316152969">
    <w:abstractNumId w:val="40"/>
  </w:num>
  <w:num w:numId="52" w16cid:durableId="663781065">
    <w:abstractNumId w:val="20"/>
  </w:num>
  <w:num w:numId="53" w16cid:durableId="1321077748">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9E1"/>
    <w:rsid w:val="00001C75"/>
    <w:rsid w:val="00001DDB"/>
    <w:rsid w:val="0000225F"/>
    <w:rsid w:val="00004358"/>
    <w:rsid w:val="00005C8B"/>
    <w:rsid w:val="00005D9B"/>
    <w:rsid w:val="000064C0"/>
    <w:rsid w:val="00010853"/>
    <w:rsid w:val="000111CD"/>
    <w:rsid w:val="000111D7"/>
    <w:rsid w:val="0001141F"/>
    <w:rsid w:val="0001187D"/>
    <w:rsid w:val="000128E9"/>
    <w:rsid w:val="00013145"/>
    <w:rsid w:val="000144F5"/>
    <w:rsid w:val="000153A6"/>
    <w:rsid w:val="00015D0A"/>
    <w:rsid w:val="00016F44"/>
    <w:rsid w:val="000203D5"/>
    <w:rsid w:val="000215B0"/>
    <w:rsid w:val="00022F45"/>
    <w:rsid w:val="0002370C"/>
    <w:rsid w:val="000242B6"/>
    <w:rsid w:val="00024764"/>
    <w:rsid w:val="00026CF3"/>
    <w:rsid w:val="00027205"/>
    <w:rsid w:val="00027664"/>
    <w:rsid w:val="00031CEC"/>
    <w:rsid w:val="00032791"/>
    <w:rsid w:val="00032CC4"/>
    <w:rsid w:val="00033045"/>
    <w:rsid w:val="00033A70"/>
    <w:rsid w:val="00034046"/>
    <w:rsid w:val="000353F1"/>
    <w:rsid w:val="00036520"/>
    <w:rsid w:val="000407FA"/>
    <w:rsid w:val="00041102"/>
    <w:rsid w:val="00042432"/>
    <w:rsid w:val="00042EF9"/>
    <w:rsid w:val="00043931"/>
    <w:rsid w:val="0004422F"/>
    <w:rsid w:val="00044464"/>
    <w:rsid w:val="00044958"/>
    <w:rsid w:val="00044ADE"/>
    <w:rsid w:val="0004668A"/>
    <w:rsid w:val="00046D24"/>
    <w:rsid w:val="00046E18"/>
    <w:rsid w:val="00047E37"/>
    <w:rsid w:val="0005011C"/>
    <w:rsid w:val="00051661"/>
    <w:rsid w:val="00051D78"/>
    <w:rsid w:val="000520C6"/>
    <w:rsid w:val="0005311E"/>
    <w:rsid w:val="000550B8"/>
    <w:rsid w:val="00055190"/>
    <w:rsid w:val="0005682A"/>
    <w:rsid w:val="0005702D"/>
    <w:rsid w:val="00057516"/>
    <w:rsid w:val="00057A3D"/>
    <w:rsid w:val="00060C64"/>
    <w:rsid w:val="00061C17"/>
    <w:rsid w:val="00063F6E"/>
    <w:rsid w:val="00064A9C"/>
    <w:rsid w:val="000651E9"/>
    <w:rsid w:val="00065DF4"/>
    <w:rsid w:val="00065F55"/>
    <w:rsid w:val="000668B7"/>
    <w:rsid w:val="00066BFC"/>
    <w:rsid w:val="000705E5"/>
    <w:rsid w:val="00070A99"/>
    <w:rsid w:val="00070E64"/>
    <w:rsid w:val="00070E76"/>
    <w:rsid w:val="00071A92"/>
    <w:rsid w:val="0007246E"/>
    <w:rsid w:val="00073B57"/>
    <w:rsid w:val="00073ECE"/>
    <w:rsid w:val="00074D21"/>
    <w:rsid w:val="00075226"/>
    <w:rsid w:val="0007644F"/>
    <w:rsid w:val="00076C4E"/>
    <w:rsid w:val="00076CDD"/>
    <w:rsid w:val="000771A2"/>
    <w:rsid w:val="000774AA"/>
    <w:rsid w:val="00080410"/>
    <w:rsid w:val="00081D7E"/>
    <w:rsid w:val="00082502"/>
    <w:rsid w:val="000825B5"/>
    <w:rsid w:val="0008320A"/>
    <w:rsid w:val="00084257"/>
    <w:rsid w:val="00086872"/>
    <w:rsid w:val="00086C43"/>
    <w:rsid w:val="00087B61"/>
    <w:rsid w:val="000903B7"/>
    <w:rsid w:val="0009049E"/>
    <w:rsid w:val="00091205"/>
    <w:rsid w:val="0009165A"/>
    <w:rsid w:val="00091FDD"/>
    <w:rsid w:val="00092774"/>
    <w:rsid w:val="00093D3D"/>
    <w:rsid w:val="0009414F"/>
    <w:rsid w:val="00094908"/>
    <w:rsid w:val="00094C40"/>
    <w:rsid w:val="00094DC2"/>
    <w:rsid w:val="000958C7"/>
    <w:rsid w:val="000A197B"/>
    <w:rsid w:val="000A283F"/>
    <w:rsid w:val="000A2E95"/>
    <w:rsid w:val="000A2F6D"/>
    <w:rsid w:val="000A4182"/>
    <w:rsid w:val="000A5286"/>
    <w:rsid w:val="000A68ED"/>
    <w:rsid w:val="000A733F"/>
    <w:rsid w:val="000A7415"/>
    <w:rsid w:val="000B07D9"/>
    <w:rsid w:val="000B0813"/>
    <w:rsid w:val="000B09F6"/>
    <w:rsid w:val="000B11B2"/>
    <w:rsid w:val="000B1275"/>
    <w:rsid w:val="000B2EA5"/>
    <w:rsid w:val="000B2F1E"/>
    <w:rsid w:val="000B344F"/>
    <w:rsid w:val="000B3E6B"/>
    <w:rsid w:val="000B412A"/>
    <w:rsid w:val="000B72F6"/>
    <w:rsid w:val="000C0755"/>
    <w:rsid w:val="000C08E3"/>
    <w:rsid w:val="000C173B"/>
    <w:rsid w:val="000C40DC"/>
    <w:rsid w:val="000C5EFD"/>
    <w:rsid w:val="000C6AB9"/>
    <w:rsid w:val="000C77F7"/>
    <w:rsid w:val="000D0331"/>
    <w:rsid w:val="000D0799"/>
    <w:rsid w:val="000D1EA7"/>
    <w:rsid w:val="000D4121"/>
    <w:rsid w:val="000D69BF"/>
    <w:rsid w:val="000D6B35"/>
    <w:rsid w:val="000D7E11"/>
    <w:rsid w:val="000E05C3"/>
    <w:rsid w:val="000E1C34"/>
    <w:rsid w:val="000E23F2"/>
    <w:rsid w:val="000E260A"/>
    <w:rsid w:val="000E29F3"/>
    <w:rsid w:val="000E3170"/>
    <w:rsid w:val="000E39D9"/>
    <w:rsid w:val="000E3DE0"/>
    <w:rsid w:val="000E4F32"/>
    <w:rsid w:val="000E7F70"/>
    <w:rsid w:val="000F0136"/>
    <w:rsid w:val="000F1409"/>
    <w:rsid w:val="000F1D0E"/>
    <w:rsid w:val="000F1F59"/>
    <w:rsid w:val="000F43F0"/>
    <w:rsid w:val="000F4687"/>
    <w:rsid w:val="000F5188"/>
    <w:rsid w:val="000F572D"/>
    <w:rsid w:val="000F5DA7"/>
    <w:rsid w:val="000F7C2E"/>
    <w:rsid w:val="00100623"/>
    <w:rsid w:val="001018DF"/>
    <w:rsid w:val="001027D8"/>
    <w:rsid w:val="00103087"/>
    <w:rsid w:val="00103E7F"/>
    <w:rsid w:val="00106ED3"/>
    <w:rsid w:val="0010723B"/>
    <w:rsid w:val="001116DD"/>
    <w:rsid w:val="00111A02"/>
    <w:rsid w:val="001124E5"/>
    <w:rsid w:val="001131E3"/>
    <w:rsid w:val="0011483C"/>
    <w:rsid w:val="00114A7F"/>
    <w:rsid w:val="00114DCF"/>
    <w:rsid w:val="00115247"/>
    <w:rsid w:val="001157F8"/>
    <w:rsid w:val="00115B96"/>
    <w:rsid w:val="001233CE"/>
    <w:rsid w:val="00123DC7"/>
    <w:rsid w:val="0012470E"/>
    <w:rsid w:val="00125968"/>
    <w:rsid w:val="00125EBD"/>
    <w:rsid w:val="00126148"/>
    <w:rsid w:val="00126A68"/>
    <w:rsid w:val="00126A8A"/>
    <w:rsid w:val="00127125"/>
    <w:rsid w:val="00127132"/>
    <w:rsid w:val="001272C7"/>
    <w:rsid w:val="00127491"/>
    <w:rsid w:val="00130FDC"/>
    <w:rsid w:val="00131E2C"/>
    <w:rsid w:val="0013305D"/>
    <w:rsid w:val="00133AF2"/>
    <w:rsid w:val="00134354"/>
    <w:rsid w:val="00134575"/>
    <w:rsid w:val="00134DB4"/>
    <w:rsid w:val="00135100"/>
    <w:rsid w:val="00135894"/>
    <w:rsid w:val="001367D4"/>
    <w:rsid w:val="00137618"/>
    <w:rsid w:val="0014161D"/>
    <w:rsid w:val="00143EE9"/>
    <w:rsid w:val="00144376"/>
    <w:rsid w:val="001443B7"/>
    <w:rsid w:val="001444C7"/>
    <w:rsid w:val="001450BA"/>
    <w:rsid w:val="001453AC"/>
    <w:rsid w:val="00145ED4"/>
    <w:rsid w:val="0014633B"/>
    <w:rsid w:val="001463BA"/>
    <w:rsid w:val="0014731E"/>
    <w:rsid w:val="0014758C"/>
    <w:rsid w:val="00147B9D"/>
    <w:rsid w:val="0015021A"/>
    <w:rsid w:val="00150B17"/>
    <w:rsid w:val="00150E3C"/>
    <w:rsid w:val="0015251D"/>
    <w:rsid w:val="00154589"/>
    <w:rsid w:val="001548FB"/>
    <w:rsid w:val="00154FA4"/>
    <w:rsid w:val="00155920"/>
    <w:rsid w:val="00155B48"/>
    <w:rsid w:val="00156BF9"/>
    <w:rsid w:val="001579D5"/>
    <w:rsid w:val="00157B88"/>
    <w:rsid w:val="00160093"/>
    <w:rsid w:val="00160ABC"/>
    <w:rsid w:val="00160C51"/>
    <w:rsid w:val="00160F19"/>
    <w:rsid w:val="001622D9"/>
    <w:rsid w:val="00162E64"/>
    <w:rsid w:val="00163462"/>
    <w:rsid w:val="00163E07"/>
    <w:rsid w:val="00163F8E"/>
    <w:rsid w:val="00163FFA"/>
    <w:rsid w:val="00165E3C"/>
    <w:rsid w:val="00166A18"/>
    <w:rsid w:val="00167482"/>
    <w:rsid w:val="00167927"/>
    <w:rsid w:val="0017066B"/>
    <w:rsid w:val="00173589"/>
    <w:rsid w:val="00173D35"/>
    <w:rsid w:val="00175A76"/>
    <w:rsid w:val="00176394"/>
    <w:rsid w:val="001800CC"/>
    <w:rsid w:val="00180BA7"/>
    <w:rsid w:val="001814EE"/>
    <w:rsid w:val="00181614"/>
    <w:rsid w:val="00183142"/>
    <w:rsid w:val="00184FEF"/>
    <w:rsid w:val="00187592"/>
    <w:rsid w:val="00191061"/>
    <w:rsid w:val="001913EE"/>
    <w:rsid w:val="001914AE"/>
    <w:rsid w:val="001915DA"/>
    <w:rsid w:val="00191728"/>
    <w:rsid w:val="0019208E"/>
    <w:rsid w:val="00192097"/>
    <w:rsid w:val="001933EE"/>
    <w:rsid w:val="00193C6B"/>
    <w:rsid w:val="00194A2B"/>
    <w:rsid w:val="00194B18"/>
    <w:rsid w:val="0019529D"/>
    <w:rsid w:val="001961B3"/>
    <w:rsid w:val="00196E13"/>
    <w:rsid w:val="00197478"/>
    <w:rsid w:val="001A0C25"/>
    <w:rsid w:val="001A142C"/>
    <w:rsid w:val="001A2C5E"/>
    <w:rsid w:val="001A4C5B"/>
    <w:rsid w:val="001A4D30"/>
    <w:rsid w:val="001A4E42"/>
    <w:rsid w:val="001A68FD"/>
    <w:rsid w:val="001A7B77"/>
    <w:rsid w:val="001B039D"/>
    <w:rsid w:val="001B1659"/>
    <w:rsid w:val="001B23E4"/>
    <w:rsid w:val="001B315A"/>
    <w:rsid w:val="001B4139"/>
    <w:rsid w:val="001B4201"/>
    <w:rsid w:val="001B570B"/>
    <w:rsid w:val="001B678E"/>
    <w:rsid w:val="001B6EDF"/>
    <w:rsid w:val="001B7523"/>
    <w:rsid w:val="001B7710"/>
    <w:rsid w:val="001C0275"/>
    <w:rsid w:val="001C0880"/>
    <w:rsid w:val="001C16BA"/>
    <w:rsid w:val="001C1FE4"/>
    <w:rsid w:val="001C28F8"/>
    <w:rsid w:val="001C38D8"/>
    <w:rsid w:val="001C45CB"/>
    <w:rsid w:val="001C4A6D"/>
    <w:rsid w:val="001C504C"/>
    <w:rsid w:val="001C56E7"/>
    <w:rsid w:val="001C5E11"/>
    <w:rsid w:val="001C5FD1"/>
    <w:rsid w:val="001C69F1"/>
    <w:rsid w:val="001C7885"/>
    <w:rsid w:val="001D03E9"/>
    <w:rsid w:val="001D04C2"/>
    <w:rsid w:val="001D1B42"/>
    <w:rsid w:val="001D1D74"/>
    <w:rsid w:val="001D2129"/>
    <w:rsid w:val="001D31D4"/>
    <w:rsid w:val="001D434B"/>
    <w:rsid w:val="001D530A"/>
    <w:rsid w:val="001D5DDD"/>
    <w:rsid w:val="001D5ED9"/>
    <w:rsid w:val="001D78AA"/>
    <w:rsid w:val="001E079F"/>
    <w:rsid w:val="001E081E"/>
    <w:rsid w:val="001E0DBC"/>
    <w:rsid w:val="001E12D3"/>
    <w:rsid w:val="001E28AC"/>
    <w:rsid w:val="001E2D60"/>
    <w:rsid w:val="001E2D77"/>
    <w:rsid w:val="001E3049"/>
    <w:rsid w:val="001E3395"/>
    <w:rsid w:val="001E3A1C"/>
    <w:rsid w:val="001E463B"/>
    <w:rsid w:val="001E560A"/>
    <w:rsid w:val="001E6E39"/>
    <w:rsid w:val="001E7ED7"/>
    <w:rsid w:val="001F04E1"/>
    <w:rsid w:val="001F279D"/>
    <w:rsid w:val="001F5379"/>
    <w:rsid w:val="001F6229"/>
    <w:rsid w:val="001F6B78"/>
    <w:rsid w:val="001F6F7D"/>
    <w:rsid w:val="00202CF5"/>
    <w:rsid w:val="00202E8B"/>
    <w:rsid w:val="00203267"/>
    <w:rsid w:val="0020341C"/>
    <w:rsid w:val="002038D7"/>
    <w:rsid w:val="002039BE"/>
    <w:rsid w:val="002050FF"/>
    <w:rsid w:val="0020550E"/>
    <w:rsid w:val="0020576D"/>
    <w:rsid w:val="0020594F"/>
    <w:rsid w:val="00205FA3"/>
    <w:rsid w:val="00207074"/>
    <w:rsid w:val="00210693"/>
    <w:rsid w:val="00211BE5"/>
    <w:rsid w:val="002128D4"/>
    <w:rsid w:val="0021410F"/>
    <w:rsid w:val="002153A2"/>
    <w:rsid w:val="00216CC4"/>
    <w:rsid w:val="0021767E"/>
    <w:rsid w:val="00217F83"/>
    <w:rsid w:val="0022003E"/>
    <w:rsid w:val="00220DCE"/>
    <w:rsid w:val="00221C18"/>
    <w:rsid w:val="002230FB"/>
    <w:rsid w:val="00224770"/>
    <w:rsid w:val="00224E3B"/>
    <w:rsid w:val="0022749D"/>
    <w:rsid w:val="00227D6E"/>
    <w:rsid w:val="00230979"/>
    <w:rsid w:val="002324AA"/>
    <w:rsid w:val="00232B0C"/>
    <w:rsid w:val="00232FA0"/>
    <w:rsid w:val="0023421B"/>
    <w:rsid w:val="002363A9"/>
    <w:rsid w:val="002365A5"/>
    <w:rsid w:val="00236C89"/>
    <w:rsid w:val="00236D4B"/>
    <w:rsid w:val="00237172"/>
    <w:rsid w:val="002376D6"/>
    <w:rsid w:val="00237870"/>
    <w:rsid w:val="00237DD0"/>
    <w:rsid w:val="00240EF5"/>
    <w:rsid w:val="00241963"/>
    <w:rsid w:val="00241BA6"/>
    <w:rsid w:val="00242F17"/>
    <w:rsid w:val="002445C4"/>
    <w:rsid w:val="00244A1C"/>
    <w:rsid w:val="00246923"/>
    <w:rsid w:val="00246AE3"/>
    <w:rsid w:val="00246F45"/>
    <w:rsid w:val="00251C64"/>
    <w:rsid w:val="00253145"/>
    <w:rsid w:val="002534DB"/>
    <w:rsid w:val="00254047"/>
    <w:rsid w:val="00254B91"/>
    <w:rsid w:val="00257694"/>
    <w:rsid w:val="002607FB"/>
    <w:rsid w:val="002620B0"/>
    <w:rsid w:val="00264769"/>
    <w:rsid w:val="002669BF"/>
    <w:rsid w:val="00270224"/>
    <w:rsid w:val="002704E3"/>
    <w:rsid w:val="002704F9"/>
    <w:rsid w:val="00271534"/>
    <w:rsid w:val="00271BEF"/>
    <w:rsid w:val="0027212F"/>
    <w:rsid w:val="002733D2"/>
    <w:rsid w:val="002739D7"/>
    <w:rsid w:val="0027499C"/>
    <w:rsid w:val="00274C5E"/>
    <w:rsid w:val="00275136"/>
    <w:rsid w:val="00282619"/>
    <w:rsid w:val="0028348E"/>
    <w:rsid w:val="00283582"/>
    <w:rsid w:val="00284A81"/>
    <w:rsid w:val="00285933"/>
    <w:rsid w:val="00285EF9"/>
    <w:rsid w:val="00285F8F"/>
    <w:rsid w:val="00286468"/>
    <w:rsid w:val="002872A9"/>
    <w:rsid w:val="00287F50"/>
    <w:rsid w:val="00287FF5"/>
    <w:rsid w:val="002905B6"/>
    <w:rsid w:val="00292D7E"/>
    <w:rsid w:val="002931AD"/>
    <w:rsid w:val="00293E93"/>
    <w:rsid w:val="002949A8"/>
    <w:rsid w:val="00294B61"/>
    <w:rsid w:val="002952D6"/>
    <w:rsid w:val="00296221"/>
    <w:rsid w:val="00296F2A"/>
    <w:rsid w:val="00297452"/>
    <w:rsid w:val="002A08CF"/>
    <w:rsid w:val="002A1B1E"/>
    <w:rsid w:val="002A2272"/>
    <w:rsid w:val="002A34A4"/>
    <w:rsid w:val="002A4A8E"/>
    <w:rsid w:val="002A53E0"/>
    <w:rsid w:val="002A564E"/>
    <w:rsid w:val="002A5948"/>
    <w:rsid w:val="002A5E93"/>
    <w:rsid w:val="002A6038"/>
    <w:rsid w:val="002A772E"/>
    <w:rsid w:val="002B001B"/>
    <w:rsid w:val="002B001F"/>
    <w:rsid w:val="002B26DF"/>
    <w:rsid w:val="002B3A43"/>
    <w:rsid w:val="002B4092"/>
    <w:rsid w:val="002B4216"/>
    <w:rsid w:val="002B6C13"/>
    <w:rsid w:val="002B70DE"/>
    <w:rsid w:val="002B76B9"/>
    <w:rsid w:val="002B7AFC"/>
    <w:rsid w:val="002B7EDA"/>
    <w:rsid w:val="002C077F"/>
    <w:rsid w:val="002C0C0F"/>
    <w:rsid w:val="002C2EBB"/>
    <w:rsid w:val="002C30E0"/>
    <w:rsid w:val="002C3B5E"/>
    <w:rsid w:val="002C3BB9"/>
    <w:rsid w:val="002C4901"/>
    <w:rsid w:val="002C4BD1"/>
    <w:rsid w:val="002C56BD"/>
    <w:rsid w:val="002C5960"/>
    <w:rsid w:val="002C5BBB"/>
    <w:rsid w:val="002C643C"/>
    <w:rsid w:val="002C6C8D"/>
    <w:rsid w:val="002C6DAA"/>
    <w:rsid w:val="002C718B"/>
    <w:rsid w:val="002C752F"/>
    <w:rsid w:val="002C7BFA"/>
    <w:rsid w:val="002D0BC2"/>
    <w:rsid w:val="002D168A"/>
    <w:rsid w:val="002D17CF"/>
    <w:rsid w:val="002D280B"/>
    <w:rsid w:val="002D316D"/>
    <w:rsid w:val="002D3C14"/>
    <w:rsid w:val="002D41A4"/>
    <w:rsid w:val="002D509C"/>
    <w:rsid w:val="002D675F"/>
    <w:rsid w:val="002E0568"/>
    <w:rsid w:val="002E095F"/>
    <w:rsid w:val="002E098E"/>
    <w:rsid w:val="002E0F77"/>
    <w:rsid w:val="002E3A5E"/>
    <w:rsid w:val="002E3BC8"/>
    <w:rsid w:val="002E4E0A"/>
    <w:rsid w:val="002E68B6"/>
    <w:rsid w:val="002E692A"/>
    <w:rsid w:val="002E70C5"/>
    <w:rsid w:val="002E766A"/>
    <w:rsid w:val="002E79E6"/>
    <w:rsid w:val="002E7F52"/>
    <w:rsid w:val="002ED9ED"/>
    <w:rsid w:val="002F0B1B"/>
    <w:rsid w:val="002F3F87"/>
    <w:rsid w:val="002F65E0"/>
    <w:rsid w:val="002F6ACF"/>
    <w:rsid w:val="002F7880"/>
    <w:rsid w:val="002F7B81"/>
    <w:rsid w:val="002F7FF2"/>
    <w:rsid w:val="00300312"/>
    <w:rsid w:val="003008B0"/>
    <w:rsid w:val="00300AC5"/>
    <w:rsid w:val="003010F3"/>
    <w:rsid w:val="0030173E"/>
    <w:rsid w:val="003021FD"/>
    <w:rsid w:val="003029DD"/>
    <w:rsid w:val="003030F1"/>
    <w:rsid w:val="00303E73"/>
    <w:rsid w:val="00304244"/>
    <w:rsid w:val="00304EB8"/>
    <w:rsid w:val="00304F09"/>
    <w:rsid w:val="00306515"/>
    <w:rsid w:val="0031256C"/>
    <w:rsid w:val="003132BD"/>
    <w:rsid w:val="00313C77"/>
    <w:rsid w:val="003145A4"/>
    <w:rsid w:val="00314DF0"/>
    <w:rsid w:val="00315765"/>
    <w:rsid w:val="00315CFD"/>
    <w:rsid w:val="00316295"/>
    <w:rsid w:val="00316EA5"/>
    <w:rsid w:val="00316F6A"/>
    <w:rsid w:val="003175EA"/>
    <w:rsid w:val="00317FF8"/>
    <w:rsid w:val="00321FA4"/>
    <w:rsid w:val="00323223"/>
    <w:rsid w:val="00323713"/>
    <w:rsid w:val="003251DE"/>
    <w:rsid w:val="00327D8C"/>
    <w:rsid w:val="003307BE"/>
    <w:rsid w:val="00330F76"/>
    <w:rsid w:val="00334ED4"/>
    <w:rsid w:val="003367A5"/>
    <w:rsid w:val="00337FBB"/>
    <w:rsid w:val="00340D7E"/>
    <w:rsid w:val="00340E51"/>
    <w:rsid w:val="00341E8D"/>
    <w:rsid w:val="003427D2"/>
    <w:rsid w:val="00342B2D"/>
    <w:rsid w:val="0034304C"/>
    <w:rsid w:val="003438F4"/>
    <w:rsid w:val="00343F02"/>
    <w:rsid w:val="003442FD"/>
    <w:rsid w:val="003445FF"/>
    <w:rsid w:val="003454D1"/>
    <w:rsid w:val="00345A2A"/>
    <w:rsid w:val="003465ED"/>
    <w:rsid w:val="00347877"/>
    <w:rsid w:val="0035059A"/>
    <w:rsid w:val="00350C00"/>
    <w:rsid w:val="00350EBB"/>
    <w:rsid w:val="003510EC"/>
    <w:rsid w:val="0035188E"/>
    <w:rsid w:val="0035256C"/>
    <w:rsid w:val="003527F9"/>
    <w:rsid w:val="003558CF"/>
    <w:rsid w:val="00355A52"/>
    <w:rsid w:val="00355B5D"/>
    <w:rsid w:val="003575DA"/>
    <w:rsid w:val="00357ED7"/>
    <w:rsid w:val="00360246"/>
    <w:rsid w:val="003621D6"/>
    <w:rsid w:val="00362649"/>
    <w:rsid w:val="003629D4"/>
    <w:rsid w:val="00362E59"/>
    <w:rsid w:val="003637A4"/>
    <w:rsid w:val="003640C8"/>
    <w:rsid w:val="00364993"/>
    <w:rsid w:val="00365737"/>
    <w:rsid w:val="00366993"/>
    <w:rsid w:val="00367F8D"/>
    <w:rsid w:val="00370606"/>
    <w:rsid w:val="003707E0"/>
    <w:rsid w:val="00373DD8"/>
    <w:rsid w:val="00373FC4"/>
    <w:rsid w:val="0037532A"/>
    <w:rsid w:val="00375ED3"/>
    <w:rsid w:val="00376D5E"/>
    <w:rsid w:val="0037761B"/>
    <w:rsid w:val="00381A09"/>
    <w:rsid w:val="00383DA8"/>
    <w:rsid w:val="00384999"/>
    <w:rsid w:val="00384C9B"/>
    <w:rsid w:val="003866F7"/>
    <w:rsid w:val="003867E7"/>
    <w:rsid w:val="0038723E"/>
    <w:rsid w:val="00387D06"/>
    <w:rsid w:val="003917C8"/>
    <w:rsid w:val="00392296"/>
    <w:rsid w:val="00393420"/>
    <w:rsid w:val="00393E5D"/>
    <w:rsid w:val="0039455B"/>
    <w:rsid w:val="00395DE1"/>
    <w:rsid w:val="00396F3B"/>
    <w:rsid w:val="00397214"/>
    <w:rsid w:val="003A098B"/>
    <w:rsid w:val="003A0B23"/>
    <w:rsid w:val="003A0BFB"/>
    <w:rsid w:val="003A16C1"/>
    <w:rsid w:val="003A1DA3"/>
    <w:rsid w:val="003A3A2B"/>
    <w:rsid w:val="003A4D90"/>
    <w:rsid w:val="003A5977"/>
    <w:rsid w:val="003A6873"/>
    <w:rsid w:val="003A7552"/>
    <w:rsid w:val="003A7C07"/>
    <w:rsid w:val="003A7C8B"/>
    <w:rsid w:val="003A7D1E"/>
    <w:rsid w:val="003B0F62"/>
    <w:rsid w:val="003B1539"/>
    <w:rsid w:val="003B253F"/>
    <w:rsid w:val="003B3CB7"/>
    <w:rsid w:val="003B3CF9"/>
    <w:rsid w:val="003B54EE"/>
    <w:rsid w:val="003B5D8E"/>
    <w:rsid w:val="003B6D4D"/>
    <w:rsid w:val="003B77D4"/>
    <w:rsid w:val="003C11D2"/>
    <w:rsid w:val="003C1292"/>
    <w:rsid w:val="003C129E"/>
    <w:rsid w:val="003C1956"/>
    <w:rsid w:val="003C1A8B"/>
    <w:rsid w:val="003C4395"/>
    <w:rsid w:val="003C464B"/>
    <w:rsid w:val="003C53A7"/>
    <w:rsid w:val="003C5C0E"/>
    <w:rsid w:val="003C5DFE"/>
    <w:rsid w:val="003C7D84"/>
    <w:rsid w:val="003C7E9D"/>
    <w:rsid w:val="003D090F"/>
    <w:rsid w:val="003D124C"/>
    <w:rsid w:val="003D20A3"/>
    <w:rsid w:val="003D37C8"/>
    <w:rsid w:val="003D45AA"/>
    <w:rsid w:val="003D480A"/>
    <w:rsid w:val="003D49BC"/>
    <w:rsid w:val="003D6F2A"/>
    <w:rsid w:val="003D6F2B"/>
    <w:rsid w:val="003E0032"/>
    <w:rsid w:val="003E0CB9"/>
    <w:rsid w:val="003E0E61"/>
    <w:rsid w:val="003E53E0"/>
    <w:rsid w:val="003F066A"/>
    <w:rsid w:val="003F08E9"/>
    <w:rsid w:val="003F242A"/>
    <w:rsid w:val="003F34DD"/>
    <w:rsid w:val="003F44D5"/>
    <w:rsid w:val="003F65AA"/>
    <w:rsid w:val="003F6862"/>
    <w:rsid w:val="003F691C"/>
    <w:rsid w:val="003F7158"/>
    <w:rsid w:val="00400486"/>
    <w:rsid w:val="00400827"/>
    <w:rsid w:val="00400F7D"/>
    <w:rsid w:val="00401F6F"/>
    <w:rsid w:val="004020C6"/>
    <w:rsid w:val="0040223A"/>
    <w:rsid w:val="004035EA"/>
    <w:rsid w:val="00404852"/>
    <w:rsid w:val="00404CC0"/>
    <w:rsid w:val="00405C6E"/>
    <w:rsid w:val="004108AC"/>
    <w:rsid w:val="00412495"/>
    <w:rsid w:val="00412E81"/>
    <w:rsid w:val="00413122"/>
    <w:rsid w:val="00413676"/>
    <w:rsid w:val="00414C8D"/>
    <w:rsid w:val="00414FF9"/>
    <w:rsid w:val="004162F9"/>
    <w:rsid w:val="00420C0B"/>
    <w:rsid w:val="004213FA"/>
    <w:rsid w:val="0042210F"/>
    <w:rsid w:val="00423525"/>
    <w:rsid w:val="004253B5"/>
    <w:rsid w:val="0042611A"/>
    <w:rsid w:val="0043009A"/>
    <w:rsid w:val="004302C5"/>
    <w:rsid w:val="00430751"/>
    <w:rsid w:val="00430E48"/>
    <w:rsid w:val="00430EFA"/>
    <w:rsid w:val="004316B5"/>
    <w:rsid w:val="00432680"/>
    <w:rsid w:val="00433856"/>
    <w:rsid w:val="00435C76"/>
    <w:rsid w:val="004362D1"/>
    <w:rsid w:val="00436FC2"/>
    <w:rsid w:val="00437F6B"/>
    <w:rsid w:val="00440BFA"/>
    <w:rsid w:val="0044180A"/>
    <w:rsid w:val="004420C7"/>
    <w:rsid w:val="00442CA6"/>
    <w:rsid w:val="00443AC9"/>
    <w:rsid w:val="00443C24"/>
    <w:rsid w:val="0044473B"/>
    <w:rsid w:val="00444797"/>
    <w:rsid w:val="004451A5"/>
    <w:rsid w:val="004467D2"/>
    <w:rsid w:val="00446F36"/>
    <w:rsid w:val="00447257"/>
    <w:rsid w:val="004518CF"/>
    <w:rsid w:val="00451FD1"/>
    <w:rsid w:val="0045274A"/>
    <w:rsid w:val="00452A08"/>
    <w:rsid w:val="00453CBE"/>
    <w:rsid w:val="00454021"/>
    <w:rsid w:val="0045454A"/>
    <w:rsid w:val="004548FE"/>
    <w:rsid w:val="00454A1A"/>
    <w:rsid w:val="0045580D"/>
    <w:rsid w:val="004566D0"/>
    <w:rsid w:val="00456EDB"/>
    <w:rsid w:val="00460893"/>
    <w:rsid w:val="0046095C"/>
    <w:rsid w:val="00460B66"/>
    <w:rsid w:val="00462DAF"/>
    <w:rsid w:val="00463640"/>
    <w:rsid w:val="00463CD3"/>
    <w:rsid w:val="00464A38"/>
    <w:rsid w:val="004659BA"/>
    <w:rsid w:val="00465A75"/>
    <w:rsid w:val="004674D6"/>
    <w:rsid w:val="0047047C"/>
    <w:rsid w:val="00470AB8"/>
    <w:rsid w:val="004739FF"/>
    <w:rsid w:val="00475B82"/>
    <w:rsid w:val="004766FA"/>
    <w:rsid w:val="00476EA7"/>
    <w:rsid w:val="004778EE"/>
    <w:rsid w:val="00480428"/>
    <w:rsid w:val="00481D3C"/>
    <w:rsid w:val="0048232B"/>
    <w:rsid w:val="0048283B"/>
    <w:rsid w:val="00482E14"/>
    <w:rsid w:val="0048379F"/>
    <w:rsid w:val="004844E5"/>
    <w:rsid w:val="00484A6B"/>
    <w:rsid w:val="00485700"/>
    <w:rsid w:val="00485F87"/>
    <w:rsid w:val="0048763B"/>
    <w:rsid w:val="004910D3"/>
    <w:rsid w:val="00491339"/>
    <w:rsid w:val="004917BB"/>
    <w:rsid w:val="004919C7"/>
    <w:rsid w:val="00491BF2"/>
    <w:rsid w:val="00491D9C"/>
    <w:rsid w:val="00492578"/>
    <w:rsid w:val="00492E58"/>
    <w:rsid w:val="00494B9E"/>
    <w:rsid w:val="004950E8"/>
    <w:rsid w:val="00495E47"/>
    <w:rsid w:val="00495F22"/>
    <w:rsid w:val="004965C4"/>
    <w:rsid w:val="00497254"/>
    <w:rsid w:val="0049E613"/>
    <w:rsid w:val="004A1B0A"/>
    <w:rsid w:val="004A1FDD"/>
    <w:rsid w:val="004A39A5"/>
    <w:rsid w:val="004A7424"/>
    <w:rsid w:val="004A7DE3"/>
    <w:rsid w:val="004B0B59"/>
    <w:rsid w:val="004B2DF5"/>
    <w:rsid w:val="004B4277"/>
    <w:rsid w:val="004B5A1E"/>
    <w:rsid w:val="004B6EAC"/>
    <w:rsid w:val="004B79CD"/>
    <w:rsid w:val="004B7BB1"/>
    <w:rsid w:val="004C0BED"/>
    <w:rsid w:val="004C11BB"/>
    <w:rsid w:val="004C1883"/>
    <w:rsid w:val="004C38D8"/>
    <w:rsid w:val="004C46C4"/>
    <w:rsid w:val="004C4B96"/>
    <w:rsid w:val="004C4BD1"/>
    <w:rsid w:val="004C66FF"/>
    <w:rsid w:val="004C7654"/>
    <w:rsid w:val="004D0733"/>
    <w:rsid w:val="004D1F0A"/>
    <w:rsid w:val="004D215F"/>
    <w:rsid w:val="004D2296"/>
    <w:rsid w:val="004D292E"/>
    <w:rsid w:val="004D5104"/>
    <w:rsid w:val="004D6ADF"/>
    <w:rsid w:val="004D7CA0"/>
    <w:rsid w:val="004D7F2F"/>
    <w:rsid w:val="004E0AAC"/>
    <w:rsid w:val="004E1095"/>
    <w:rsid w:val="004E193A"/>
    <w:rsid w:val="004E1C0D"/>
    <w:rsid w:val="004E1FC1"/>
    <w:rsid w:val="004E259C"/>
    <w:rsid w:val="004E3128"/>
    <w:rsid w:val="004E35CC"/>
    <w:rsid w:val="004E4042"/>
    <w:rsid w:val="004E4E44"/>
    <w:rsid w:val="004E5449"/>
    <w:rsid w:val="004E5649"/>
    <w:rsid w:val="004E5BB7"/>
    <w:rsid w:val="004E6582"/>
    <w:rsid w:val="004E6825"/>
    <w:rsid w:val="004F16CD"/>
    <w:rsid w:val="004F2173"/>
    <w:rsid w:val="004F2E1F"/>
    <w:rsid w:val="004F3856"/>
    <w:rsid w:val="004F4137"/>
    <w:rsid w:val="004F44BF"/>
    <w:rsid w:val="004F44F1"/>
    <w:rsid w:val="004F4A82"/>
    <w:rsid w:val="004F4D91"/>
    <w:rsid w:val="004F67EE"/>
    <w:rsid w:val="00501847"/>
    <w:rsid w:val="00502916"/>
    <w:rsid w:val="0050470C"/>
    <w:rsid w:val="00504B78"/>
    <w:rsid w:val="005059E6"/>
    <w:rsid w:val="00506002"/>
    <w:rsid w:val="00506C31"/>
    <w:rsid w:val="005110F4"/>
    <w:rsid w:val="0051245F"/>
    <w:rsid w:val="00512858"/>
    <w:rsid w:val="00514310"/>
    <w:rsid w:val="00517472"/>
    <w:rsid w:val="00520E19"/>
    <w:rsid w:val="005222EE"/>
    <w:rsid w:val="00522508"/>
    <w:rsid w:val="00523242"/>
    <w:rsid w:val="0052335B"/>
    <w:rsid w:val="00523D23"/>
    <w:rsid w:val="00524EE3"/>
    <w:rsid w:val="00525A22"/>
    <w:rsid w:val="005269E7"/>
    <w:rsid w:val="00527062"/>
    <w:rsid w:val="005279CE"/>
    <w:rsid w:val="0053062E"/>
    <w:rsid w:val="00530E03"/>
    <w:rsid w:val="005314B4"/>
    <w:rsid w:val="00531CF8"/>
    <w:rsid w:val="00531E10"/>
    <w:rsid w:val="00531FF6"/>
    <w:rsid w:val="00532803"/>
    <w:rsid w:val="00533622"/>
    <w:rsid w:val="00534393"/>
    <w:rsid w:val="005343E4"/>
    <w:rsid w:val="005349AF"/>
    <w:rsid w:val="00535014"/>
    <w:rsid w:val="00535DA2"/>
    <w:rsid w:val="0053678E"/>
    <w:rsid w:val="005373D4"/>
    <w:rsid w:val="00537689"/>
    <w:rsid w:val="00540432"/>
    <w:rsid w:val="0054112B"/>
    <w:rsid w:val="00541487"/>
    <w:rsid w:val="005421D7"/>
    <w:rsid w:val="00542819"/>
    <w:rsid w:val="005428CA"/>
    <w:rsid w:val="005438AD"/>
    <w:rsid w:val="00543A92"/>
    <w:rsid w:val="00543FAD"/>
    <w:rsid w:val="00545633"/>
    <w:rsid w:val="00546414"/>
    <w:rsid w:val="005475FF"/>
    <w:rsid w:val="00550189"/>
    <w:rsid w:val="00550912"/>
    <w:rsid w:val="0055107B"/>
    <w:rsid w:val="00553787"/>
    <w:rsid w:val="0055496D"/>
    <w:rsid w:val="005565B7"/>
    <w:rsid w:val="0055FADF"/>
    <w:rsid w:val="005600C8"/>
    <w:rsid w:val="00560373"/>
    <w:rsid w:val="00561609"/>
    <w:rsid w:val="00561983"/>
    <w:rsid w:val="005631FD"/>
    <w:rsid w:val="00565BB9"/>
    <w:rsid w:val="00565FC8"/>
    <w:rsid w:val="005660D7"/>
    <w:rsid w:val="005662CF"/>
    <w:rsid w:val="0056697E"/>
    <w:rsid w:val="00567518"/>
    <w:rsid w:val="005704F6"/>
    <w:rsid w:val="00570A31"/>
    <w:rsid w:val="0057140C"/>
    <w:rsid w:val="005734AE"/>
    <w:rsid w:val="0057383C"/>
    <w:rsid w:val="00573987"/>
    <w:rsid w:val="00573FE2"/>
    <w:rsid w:val="0057402B"/>
    <w:rsid w:val="005749EA"/>
    <w:rsid w:val="00574C50"/>
    <w:rsid w:val="00577544"/>
    <w:rsid w:val="00580236"/>
    <w:rsid w:val="005802A2"/>
    <w:rsid w:val="00580E59"/>
    <w:rsid w:val="005822AA"/>
    <w:rsid w:val="0058238C"/>
    <w:rsid w:val="005852BE"/>
    <w:rsid w:val="005866D6"/>
    <w:rsid w:val="00586891"/>
    <w:rsid w:val="00586B45"/>
    <w:rsid w:val="00587008"/>
    <w:rsid w:val="00587009"/>
    <w:rsid w:val="005878DF"/>
    <w:rsid w:val="00587CC4"/>
    <w:rsid w:val="0059299C"/>
    <w:rsid w:val="005945FB"/>
    <w:rsid w:val="00595E60"/>
    <w:rsid w:val="00596027"/>
    <w:rsid w:val="00596585"/>
    <w:rsid w:val="005A04E4"/>
    <w:rsid w:val="005A2083"/>
    <w:rsid w:val="005A2093"/>
    <w:rsid w:val="005A4EB0"/>
    <w:rsid w:val="005A5503"/>
    <w:rsid w:val="005A63C2"/>
    <w:rsid w:val="005A6A5E"/>
    <w:rsid w:val="005A7DF9"/>
    <w:rsid w:val="005B10DA"/>
    <w:rsid w:val="005B17CD"/>
    <w:rsid w:val="005B1D33"/>
    <w:rsid w:val="005B319D"/>
    <w:rsid w:val="005B33B9"/>
    <w:rsid w:val="005B38D4"/>
    <w:rsid w:val="005B51B7"/>
    <w:rsid w:val="005B6836"/>
    <w:rsid w:val="005B723E"/>
    <w:rsid w:val="005B774E"/>
    <w:rsid w:val="005B792D"/>
    <w:rsid w:val="005B7AC5"/>
    <w:rsid w:val="005B7FD2"/>
    <w:rsid w:val="005C3EEE"/>
    <w:rsid w:val="005C40CE"/>
    <w:rsid w:val="005C451C"/>
    <w:rsid w:val="005C4EC2"/>
    <w:rsid w:val="005C572F"/>
    <w:rsid w:val="005C58EF"/>
    <w:rsid w:val="005C5958"/>
    <w:rsid w:val="005C6216"/>
    <w:rsid w:val="005C76AD"/>
    <w:rsid w:val="005D0382"/>
    <w:rsid w:val="005D13F0"/>
    <w:rsid w:val="005D2B62"/>
    <w:rsid w:val="005D35C3"/>
    <w:rsid w:val="005D45E9"/>
    <w:rsid w:val="005D488C"/>
    <w:rsid w:val="005D49B0"/>
    <w:rsid w:val="005D5B54"/>
    <w:rsid w:val="005D5F83"/>
    <w:rsid w:val="005D6251"/>
    <w:rsid w:val="005D664D"/>
    <w:rsid w:val="005D69FB"/>
    <w:rsid w:val="005E15F6"/>
    <w:rsid w:val="005E193C"/>
    <w:rsid w:val="005E1FB7"/>
    <w:rsid w:val="005E3936"/>
    <w:rsid w:val="005E3966"/>
    <w:rsid w:val="005E4F41"/>
    <w:rsid w:val="005E58DE"/>
    <w:rsid w:val="005E645A"/>
    <w:rsid w:val="005E6F54"/>
    <w:rsid w:val="005E7CA8"/>
    <w:rsid w:val="005F0855"/>
    <w:rsid w:val="005F2145"/>
    <w:rsid w:val="005F269D"/>
    <w:rsid w:val="005F2B7D"/>
    <w:rsid w:val="005F336F"/>
    <w:rsid w:val="005F4591"/>
    <w:rsid w:val="005F4EA1"/>
    <w:rsid w:val="005F56B1"/>
    <w:rsid w:val="005F56E1"/>
    <w:rsid w:val="005F61CD"/>
    <w:rsid w:val="005F6388"/>
    <w:rsid w:val="005F6EAB"/>
    <w:rsid w:val="005F7F32"/>
    <w:rsid w:val="00601C25"/>
    <w:rsid w:val="006025C1"/>
    <w:rsid w:val="00602D3B"/>
    <w:rsid w:val="00603157"/>
    <w:rsid w:val="00604278"/>
    <w:rsid w:val="00605BDD"/>
    <w:rsid w:val="0060633C"/>
    <w:rsid w:val="00606DD2"/>
    <w:rsid w:val="0060746B"/>
    <w:rsid w:val="00611CCC"/>
    <w:rsid w:val="006121AD"/>
    <w:rsid w:val="00612BDD"/>
    <w:rsid w:val="00612C70"/>
    <w:rsid w:val="006141AE"/>
    <w:rsid w:val="0061518B"/>
    <w:rsid w:val="00616C8C"/>
    <w:rsid w:val="00617DDB"/>
    <w:rsid w:val="0062118B"/>
    <w:rsid w:val="0062132F"/>
    <w:rsid w:val="006218F0"/>
    <w:rsid w:val="00622334"/>
    <w:rsid w:val="0062261F"/>
    <w:rsid w:val="00622E93"/>
    <w:rsid w:val="006234FA"/>
    <w:rsid w:val="00623674"/>
    <w:rsid w:val="0062680A"/>
    <w:rsid w:val="00626D48"/>
    <w:rsid w:val="00627041"/>
    <w:rsid w:val="006279E9"/>
    <w:rsid w:val="00630E5A"/>
    <w:rsid w:val="0063142D"/>
    <w:rsid w:val="00631A7E"/>
    <w:rsid w:val="006327EB"/>
    <w:rsid w:val="00634A79"/>
    <w:rsid w:val="00634AC0"/>
    <w:rsid w:val="00636704"/>
    <w:rsid w:val="0063697D"/>
    <w:rsid w:val="00637352"/>
    <w:rsid w:val="006402C8"/>
    <w:rsid w:val="006421BB"/>
    <w:rsid w:val="00642E6A"/>
    <w:rsid w:val="00644C9A"/>
    <w:rsid w:val="006463AA"/>
    <w:rsid w:val="00646616"/>
    <w:rsid w:val="00647F96"/>
    <w:rsid w:val="0065092E"/>
    <w:rsid w:val="00650A45"/>
    <w:rsid w:val="00651FFB"/>
    <w:rsid w:val="0065386A"/>
    <w:rsid w:val="00654D3A"/>
    <w:rsid w:val="00655645"/>
    <w:rsid w:val="00655F2F"/>
    <w:rsid w:val="0066168F"/>
    <w:rsid w:val="006621EF"/>
    <w:rsid w:val="00665182"/>
    <w:rsid w:val="00665C1F"/>
    <w:rsid w:val="00666989"/>
    <w:rsid w:val="00667167"/>
    <w:rsid w:val="00670C33"/>
    <w:rsid w:val="0067294D"/>
    <w:rsid w:val="00674001"/>
    <w:rsid w:val="00675E71"/>
    <w:rsid w:val="00676163"/>
    <w:rsid w:val="0067694B"/>
    <w:rsid w:val="006769E0"/>
    <w:rsid w:val="006769FF"/>
    <w:rsid w:val="00676F59"/>
    <w:rsid w:val="0067751B"/>
    <w:rsid w:val="00677DAE"/>
    <w:rsid w:val="006806DA"/>
    <w:rsid w:val="00680A85"/>
    <w:rsid w:val="00680CA4"/>
    <w:rsid w:val="00680E91"/>
    <w:rsid w:val="00681B2B"/>
    <w:rsid w:val="00681BB3"/>
    <w:rsid w:val="00681C53"/>
    <w:rsid w:val="0068210C"/>
    <w:rsid w:val="00682CA4"/>
    <w:rsid w:val="00682FD1"/>
    <w:rsid w:val="00685F9B"/>
    <w:rsid w:val="00686250"/>
    <w:rsid w:val="00687113"/>
    <w:rsid w:val="0068745D"/>
    <w:rsid w:val="00690958"/>
    <w:rsid w:val="00690C5E"/>
    <w:rsid w:val="006924BC"/>
    <w:rsid w:val="00693300"/>
    <w:rsid w:val="006939AE"/>
    <w:rsid w:val="006939E1"/>
    <w:rsid w:val="006939FE"/>
    <w:rsid w:val="0069408B"/>
    <w:rsid w:val="00694288"/>
    <w:rsid w:val="006966B1"/>
    <w:rsid w:val="0069738D"/>
    <w:rsid w:val="006A11EA"/>
    <w:rsid w:val="006A1811"/>
    <w:rsid w:val="006A19F3"/>
    <w:rsid w:val="006A245D"/>
    <w:rsid w:val="006A25E1"/>
    <w:rsid w:val="006A42BB"/>
    <w:rsid w:val="006A4FD2"/>
    <w:rsid w:val="006A4FD6"/>
    <w:rsid w:val="006A63DA"/>
    <w:rsid w:val="006A64D7"/>
    <w:rsid w:val="006A6BB2"/>
    <w:rsid w:val="006A7D29"/>
    <w:rsid w:val="006A7E7A"/>
    <w:rsid w:val="006B0AB1"/>
    <w:rsid w:val="006B1F6A"/>
    <w:rsid w:val="006B29CC"/>
    <w:rsid w:val="006B339E"/>
    <w:rsid w:val="006B37A4"/>
    <w:rsid w:val="006B55D6"/>
    <w:rsid w:val="006B5DEA"/>
    <w:rsid w:val="006B6FDA"/>
    <w:rsid w:val="006C15E2"/>
    <w:rsid w:val="006C28D2"/>
    <w:rsid w:val="006C33DE"/>
    <w:rsid w:val="006C5232"/>
    <w:rsid w:val="006C56DF"/>
    <w:rsid w:val="006C6BE7"/>
    <w:rsid w:val="006C7592"/>
    <w:rsid w:val="006D0BCE"/>
    <w:rsid w:val="006D21F9"/>
    <w:rsid w:val="006D23BA"/>
    <w:rsid w:val="006D6F34"/>
    <w:rsid w:val="006D7A22"/>
    <w:rsid w:val="006E024E"/>
    <w:rsid w:val="006E03D1"/>
    <w:rsid w:val="006E24AB"/>
    <w:rsid w:val="006E29B8"/>
    <w:rsid w:val="006E2BD2"/>
    <w:rsid w:val="006E418B"/>
    <w:rsid w:val="006E41B6"/>
    <w:rsid w:val="006E42A0"/>
    <w:rsid w:val="006E43AE"/>
    <w:rsid w:val="006E6346"/>
    <w:rsid w:val="006E6C6F"/>
    <w:rsid w:val="006E7AAB"/>
    <w:rsid w:val="006E7B99"/>
    <w:rsid w:val="006E7F76"/>
    <w:rsid w:val="006F030D"/>
    <w:rsid w:val="006F165C"/>
    <w:rsid w:val="006F3C17"/>
    <w:rsid w:val="006F4AFD"/>
    <w:rsid w:val="006F50EB"/>
    <w:rsid w:val="006F5AEB"/>
    <w:rsid w:val="006F7483"/>
    <w:rsid w:val="006F7CC8"/>
    <w:rsid w:val="00701A0D"/>
    <w:rsid w:val="00701A73"/>
    <w:rsid w:val="00702239"/>
    <w:rsid w:val="00703651"/>
    <w:rsid w:val="007054D8"/>
    <w:rsid w:val="00705596"/>
    <w:rsid w:val="00705FA9"/>
    <w:rsid w:val="007061A0"/>
    <w:rsid w:val="00706695"/>
    <w:rsid w:val="00707289"/>
    <w:rsid w:val="007075D7"/>
    <w:rsid w:val="0071061B"/>
    <w:rsid w:val="00712839"/>
    <w:rsid w:val="0071389C"/>
    <w:rsid w:val="00714150"/>
    <w:rsid w:val="007143D7"/>
    <w:rsid w:val="00714B15"/>
    <w:rsid w:val="0071603B"/>
    <w:rsid w:val="00716277"/>
    <w:rsid w:val="007207E3"/>
    <w:rsid w:val="007208A6"/>
    <w:rsid w:val="00721AF6"/>
    <w:rsid w:val="00721C44"/>
    <w:rsid w:val="007224A0"/>
    <w:rsid w:val="00723D21"/>
    <w:rsid w:val="00723E98"/>
    <w:rsid w:val="0072413F"/>
    <w:rsid w:val="007242A6"/>
    <w:rsid w:val="00724418"/>
    <w:rsid w:val="0072606B"/>
    <w:rsid w:val="00726611"/>
    <w:rsid w:val="00727D7E"/>
    <w:rsid w:val="0073014F"/>
    <w:rsid w:val="007306D8"/>
    <w:rsid w:val="00730A48"/>
    <w:rsid w:val="00730DD5"/>
    <w:rsid w:val="0073169E"/>
    <w:rsid w:val="00731DF4"/>
    <w:rsid w:val="00735B73"/>
    <w:rsid w:val="00735E73"/>
    <w:rsid w:val="0073610F"/>
    <w:rsid w:val="00736372"/>
    <w:rsid w:val="00736867"/>
    <w:rsid w:val="0073793B"/>
    <w:rsid w:val="00737BB6"/>
    <w:rsid w:val="007403B0"/>
    <w:rsid w:val="00741037"/>
    <w:rsid w:val="00743A2E"/>
    <w:rsid w:val="007441EF"/>
    <w:rsid w:val="00744D80"/>
    <w:rsid w:val="00744E7B"/>
    <w:rsid w:val="0074546A"/>
    <w:rsid w:val="007459C4"/>
    <w:rsid w:val="00746337"/>
    <w:rsid w:val="00746C4B"/>
    <w:rsid w:val="007514C3"/>
    <w:rsid w:val="00751EEB"/>
    <w:rsid w:val="007522B7"/>
    <w:rsid w:val="00752793"/>
    <w:rsid w:val="00752C5D"/>
    <w:rsid w:val="00752E2E"/>
    <w:rsid w:val="0075321C"/>
    <w:rsid w:val="00754214"/>
    <w:rsid w:val="00754562"/>
    <w:rsid w:val="00754B18"/>
    <w:rsid w:val="00756AE4"/>
    <w:rsid w:val="00756AEE"/>
    <w:rsid w:val="00756B8E"/>
    <w:rsid w:val="00757027"/>
    <w:rsid w:val="00757D3C"/>
    <w:rsid w:val="00763075"/>
    <w:rsid w:val="007643C7"/>
    <w:rsid w:val="00764CE7"/>
    <w:rsid w:val="00764F71"/>
    <w:rsid w:val="0076634B"/>
    <w:rsid w:val="0076665B"/>
    <w:rsid w:val="00767B0B"/>
    <w:rsid w:val="007701A6"/>
    <w:rsid w:val="0077057D"/>
    <w:rsid w:val="00773258"/>
    <w:rsid w:val="00773322"/>
    <w:rsid w:val="00774C70"/>
    <w:rsid w:val="00774D8B"/>
    <w:rsid w:val="00780585"/>
    <w:rsid w:val="00780E0E"/>
    <w:rsid w:val="00782381"/>
    <w:rsid w:val="007833B0"/>
    <w:rsid w:val="00784AC0"/>
    <w:rsid w:val="007856E0"/>
    <w:rsid w:val="00785E68"/>
    <w:rsid w:val="007877D6"/>
    <w:rsid w:val="007879AD"/>
    <w:rsid w:val="00787A90"/>
    <w:rsid w:val="00791A5E"/>
    <w:rsid w:val="007925B7"/>
    <w:rsid w:val="00792D59"/>
    <w:rsid w:val="00793D2A"/>
    <w:rsid w:val="007944F5"/>
    <w:rsid w:val="00794A5E"/>
    <w:rsid w:val="00795B31"/>
    <w:rsid w:val="007969DF"/>
    <w:rsid w:val="00796DE6"/>
    <w:rsid w:val="00796FA2"/>
    <w:rsid w:val="00797809"/>
    <w:rsid w:val="007A1139"/>
    <w:rsid w:val="007A132C"/>
    <w:rsid w:val="007A195D"/>
    <w:rsid w:val="007A2A69"/>
    <w:rsid w:val="007A2D7B"/>
    <w:rsid w:val="007A4CBE"/>
    <w:rsid w:val="007A4F9F"/>
    <w:rsid w:val="007A5C4D"/>
    <w:rsid w:val="007A61DC"/>
    <w:rsid w:val="007A633A"/>
    <w:rsid w:val="007A6ED2"/>
    <w:rsid w:val="007A7809"/>
    <w:rsid w:val="007A797C"/>
    <w:rsid w:val="007B0E45"/>
    <w:rsid w:val="007B10D3"/>
    <w:rsid w:val="007B1E46"/>
    <w:rsid w:val="007B2799"/>
    <w:rsid w:val="007B29AE"/>
    <w:rsid w:val="007B3A20"/>
    <w:rsid w:val="007B63BB"/>
    <w:rsid w:val="007B68FD"/>
    <w:rsid w:val="007B6BF2"/>
    <w:rsid w:val="007C103C"/>
    <w:rsid w:val="007C14FE"/>
    <w:rsid w:val="007C25CC"/>
    <w:rsid w:val="007C2702"/>
    <w:rsid w:val="007C3DB3"/>
    <w:rsid w:val="007C4470"/>
    <w:rsid w:val="007C4A39"/>
    <w:rsid w:val="007C4D24"/>
    <w:rsid w:val="007C75C8"/>
    <w:rsid w:val="007C7B78"/>
    <w:rsid w:val="007C7E5F"/>
    <w:rsid w:val="007CD0AB"/>
    <w:rsid w:val="007D0343"/>
    <w:rsid w:val="007D0633"/>
    <w:rsid w:val="007D0E5E"/>
    <w:rsid w:val="007D11A1"/>
    <w:rsid w:val="007D1683"/>
    <w:rsid w:val="007D2A8B"/>
    <w:rsid w:val="007D3E34"/>
    <w:rsid w:val="007D6C43"/>
    <w:rsid w:val="007E01E9"/>
    <w:rsid w:val="007E098D"/>
    <w:rsid w:val="007E0C98"/>
    <w:rsid w:val="007E11FA"/>
    <w:rsid w:val="007E12DF"/>
    <w:rsid w:val="007E2884"/>
    <w:rsid w:val="007E2BB2"/>
    <w:rsid w:val="007E4B6A"/>
    <w:rsid w:val="007E5089"/>
    <w:rsid w:val="007E5C77"/>
    <w:rsid w:val="007E6E95"/>
    <w:rsid w:val="007E756A"/>
    <w:rsid w:val="007F016C"/>
    <w:rsid w:val="007F1053"/>
    <w:rsid w:val="007F2EA0"/>
    <w:rsid w:val="007F3FF4"/>
    <w:rsid w:val="007F4018"/>
    <w:rsid w:val="007F40CB"/>
    <w:rsid w:val="007F5C15"/>
    <w:rsid w:val="007F5F25"/>
    <w:rsid w:val="007F61E7"/>
    <w:rsid w:val="007F682F"/>
    <w:rsid w:val="007F7115"/>
    <w:rsid w:val="007F7842"/>
    <w:rsid w:val="008024BC"/>
    <w:rsid w:val="008031FF"/>
    <w:rsid w:val="00803AD9"/>
    <w:rsid w:val="00803BCA"/>
    <w:rsid w:val="00803DCE"/>
    <w:rsid w:val="00803FA0"/>
    <w:rsid w:val="00804195"/>
    <w:rsid w:val="0080447F"/>
    <w:rsid w:val="00804561"/>
    <w:rsid w:val="00805C2E"/>
    <w:rsid w:val="0080717B"/>
    <w:rsid w:val="00811128"/>
    <w:rsid w:val="008128D5"/>
    <w:rsid w:val="00814F3F"/>
    <w:rsid w:val="00816C2E"/>
    <w:rsid w:val="0082143A"/>
    <w:rsid w:val="0082194F"/>
    <w:rsid w:val="008237BE"/>
    <w:rsid w:val="00824302"/>
    <w:rsid w:val="00824360"/>
    <w:rsid w:val="008260B8"/>
    <w:rsid w:val="00826243"/>
    <w:rsid w:val="00826A40"/>
    <w:rsid w:val="00827C67"/>
    <w:rsid w:val="00830264"/>
    <w:rsid w:val="008333CD"/>
    <w:rsid w:val="008333EB"/>
    <w:rsid w:val="00833D95"/>
    <w:rsid w:val="008349DE"/>
    <w:rsid w:val="008358A4"/>
    <w:rsid w:val="0083658B"/>
    <w:rsid w:val="00841A97"/>
    <w:rsid w:val="00841E83"/>
    <w:rsid w:val="00841EE1"/>
    <w:rsid w:val="00841F6D"/>
    <w:rsid w:val="00842385"/>
    <w:rsid w:val="00842501"/>
    <w:rsid w:val="00842C19"/>
    <w:rsid w:val="00842EEC"/>
    <w:rsid w:val="008432A9"/>
    <w:rsid w:val="00843A0F"/>
    <w:rsid w:val="00844D79"/>
    <w:rsid w:val="00845EC2"/>
    <w:rsid w:val="00845EDD"/>
    <w:rsid w:val="0084608B"/>
    <w:rsid w:val="00846769"/>
    <w:rsid w:val="00846F4E"/>
    <w:rsid w:val="008474CC"/>
    <w:rsid w:val="00847EE4"/>
    <w:rsid w:val="0085013D"/>
    <w:rsid w:val="00852324"/>
    <w:rsid w:val="008532A5"/>
    <w:rsid w:val="008561AB"/>
    <w:rsid w:val="008561CA"/>
    <w:rsid w:val="008600F6"/>
    <w:rsid w:val="00860809"/>
    <w:rsid w:val="00860D4C"/>
    <w:rsid w:val="008612FB"/>
    <w:rsid w:val="00861708"/>
    <w:rsid w:val="00861734"/>
    <w:rsid w:val="00861B13"/>
    <w:rsid w:val="00863460"/>
    <w:rsid w:val="0086431A"/>
    <w:rsid w:val="0086581E"/>
    <w:rsid w:val="00865A52"/>
    <w:rsid w:val="00865E63"/>
    <w:rsid w:val="00870510"/>
    <w:rsid w:val="00871D96"/>
    <w:rsid w:val="0087205E"/>
    <w:rsid w:val="00873547"/>
    <w:rsid w:val="00874A09"/>
    <w:rsid w:val="008776BA"/>
    <w:rsid w:val="008809F7"/>
    <w:rsid w:val="00882500"/>
    <w:rsid w:val="00883541"/>
    <w:rsid w:val="00884D7B"/>
    <w:rsid w:val="00884F7E"/>
    <w:rsid w:val="00885691"/>
    <w:rsid w:val="00890BAC"/>
    <w:rsid w:val="0089135B"/>
    <w:rsid w:val="00894079"/>
    <w:rsid w:val="00897574"/>
    <w:rsid w:val="008A0177"/>
    <w:rsid w:val="008A02E1"/>
    <w:rsid w:val="008A1BC4"/>
    <w:rsid w:val="008A2B03"/>
    <w:rsid w:val="008A2E99"/>
    <w:rsid w:val="008A5CD8"/>
    <w:rsid w:val="008A63BD"/>
    <w:rsid w:val="008A6B6B"/>
    <w:rsid w:val="008A721D"/>
    <w:rsid w:val="008B0975"/>
    <w:rsid w:val="008B0DB5"/>
    <w:rsid w:val="008B16FC"/>
    <w:rsid w:val="008B22A6"/>
    <w:rsid w:val="008B23ED"/>
    <w:rsid w:val="008B2E0E"/>
    <w:rsid w:val="008B3373"/>
    <w:rsid w:val="008B3846"/>
    <w:rsid w:val="008B5200"/>
    <w:rsid w:val="008B58DF"/>
    <w:rsid w:val="008B59AD"/>
    <w:rsid w:val="008B642B"/>
    <w:rsid w:val="008B73EA"/>
    <w:rsid w:val="008C03CA"/>
    <w:rsid w:val="008C0F6A"/>
    <w:rsid w:val="008C1706"/>
    <w:rsid w:val="008C248A"/>
    <w:rsid w:val="008C24A6"/>
    <w:rsid w:val="008C3538"/>
    <w:rsid w:val="008C47B3"/>
    <w:rsid w:val="008C521D"/>
    <w:rsid w:val="008C6900"/>
    <w:rsid w:val="008C704D"/>
    <w:rsid w:val="008C749E"/>
    <w:rsid w:val="008D00FA"/>
    <w:rsid w:val="008D0799"/>
    <w:rsid w:val="008D0A24"/>
    <w:rsid w:val="008D0A9C"/>
    <w:rsid w:val="008D11DB"/>
    <w:rsid w:val="008D1D12"/>
    <w:rsid w:val="008D1D20"/>
    <w:rsid w:val="008D33DC"/>
    <w:rsid w:val="008D3749"/>
    <w:rsid w:val="008D389B"/>
    <w:rsid w:val="008D3D8A"/>
    <w:rsid w:val="008D5DA9"/>
    <w:rsid w:val="008D699E"/>
    <w:rsid w:val="008E057A"/>
    <w:rsid w:val="008E0890"/>
    <w:rsid w:val="008E0BEF"/>
    <w:rsid w:val="008E1565"/>
    <w:rsid w:val="008E20DE"/>
    <w:rsid w:val="008E3D38"/>
    <w:rsid w:val="008E4211"/>
    <w:rsid w:val="008E5E0E"/>
    <w:rsid w:val="008E67DA"/>
    <w:rsid w:val="008E6E88"/>
    <w:rsid w:val="008E6EB9"/>
    <w:rsid w:val="008F0A00"/>
    <w:rsid w:val="008F0BFD"/>
    <w:rsid w:val="008F17ED"/>
    <w:rsid w:val="008F3022"/>
    <w:rsid w:val="008F38AB"/>
    <w:rsid w:val="008F433F"/>
    <w:rsid w:val="008F4759"/>
    <w:rsid w:val="008F4889"/>
    <w:rsid w:val="008F4F35"/>
    <w:rsid w:val="008F5E3B"/>
    <w:rsid w:val="008F6812"/>
    <w:rsid w:val="008F7779"/>
    <w:rsid w:val="008F7B4F"/>
    <w:rsid w:val="00900367"/>
    <w:rsid w:val="009006ED"/>
    <w:rsid w:val="00900DE3"/>
    <w:rsid w:val="00901153"/>
    <w:rsid w:val="00901445"/>
    <w:rsid w:val="00902312"/>
    <w:rsid w:val="009028D5"/>
    <w:rsid w:val="009029C3"/>
    <w:rsid w:val="0090318F"/>
    <w:rsid w:val="0090794A"/>
    <w:rsid w:val="009104BA"/>
    <w:rsid w:val="00910623"/>
    <w:rsid w:val="00910F21"/>
    <w:rsid w:val="0091252E"/>
    <w:rsid w:val="00912730"/>
    <w:rsid w:val="00912B70"/>
    <w:rsid w:val="00913914"/>
    <w:rsid w:val="009142A0"/>
    <w:rsid w:val="00914538"/>
    <w:rsid w:val="0091639B"/>
    <w:rsid w:val="00916ABE"/>
    <w:rsid w:val="00917BB8"/>
    <w:rsid w:val="00917C54"/>
    <w:rsid w:val="00917E75"/>
    <w:rsid w:val="00920A6E"/>
    <w:rsid w:val="00920F01"/>
    <w:rsid w:val="0092118E"/>
    <w:rsid w:val="0092138D"/>
    <w:rsid w:val="0092166C"/>
    <w:rsid w:val="009218E8"/>
    <w:rsid w:val="009229F1"/>
    <w:rsid w:val="0092315C"/>
    <w:rsid w:val="00923D1A"/>
    <w:rsid w:val="00924036"/>
    <w:rsid w:val="009243C3"/>
    <w:rsid w:val="009257A3"/>
    <w:rsid w:val="00926158"/>
    <w:rsid w:val="009268B6"/>
    <w:rsid w:val="00930B29"/>
    <w:rsid w:val="00930CCD"/>
    <w:rsid w:val="00930F41"/>
    <w:rsid w:val="00931632"/>
    <w:rsid w:val="00933093"/>
    <w:rsid w:val="00933BC7"/>
    <w:rsid w:val="00934256"/>
    <w:rsid w:val="009349E5"/>
    <w:rsid w:val="0093515F"/>
    <w:rsid w:val="00935621"/>
    <w:rsid w:val="009357F5"/>
    <w:rsid w:val="00935B1C"/>
    <w:rsid w:val="0093605B"/>
    <w:rsid w:val="00936C15"/>
    <w:rsid w:val="00936E13"/>
    <w:rsid w:val="00936F60"/>
    <w:rsid w:val="00941354"/>
    <w:rsid w:val="009416E7"/>
    <w:rsid w:val="00944EBF"/>
    <w:rsid w:val="0094752C"/>
    <w:rsid w:val="00947AE3"/>
    <w:rsid w:val="009502A9"/>
    <w:rsid w:val="009503CF"/>
    <w:rsid w:val="00951303"/>
    <w:rsid w:val="00953407"/>
    <w:rsid w:val="00953B0A"/>
    <w:rsid w:val="00953E55"/>
    <w:rsid w:val="009559EA"/>
    <w:rsid w:val="009561B1"/>
    <w:rsid w:val="0095789F"/>
    <w:rsid w:val="0096072C"/>
    <w:rsid w:val="009607A5"/>
    <w:rsid w:val="0096081C"/>
    <w:rsid w:val="00960D79"/>
    <w:rsid w:val="009617A1"/>
    <w:rsid w:val="009620E7"/>
    <w:rsid w:val="00962F6B"/>
    <w:rsid w:val="00963572"/>
    <w:rsid w:val="009638D2"/>
    <w:rsid w:val="0096415D"/>
    <w:rsid w:val="009659CB"/>
    <w:rsid w:val="00966CBA"/>
    <w:rsid w:val="009673CD"/>
    <w:rsid w:val="009704D5"/>
    <w:rsid w:val="00970C0A"/>
    <w:rsid w:val="00970E45"/>
    <w:rsid w:val="00972FFD"/>
    <w:rsid w:val="009735AC"/>
    <w:rsid w:val="0097389B"/>
    <w:rsid w:val="009741D6"/>
    <w:rsid w:val="00975AF7"/>
    <w:rsid w:val="009774BF"/>
    <w:rsid w:val="009801CA"/>
    <w:rsid w:val="0098080C"/>
    <w:rsid w:val="009816B9"/>
    <w:rsid w:val="009834FC"/>
    <w:rsid w:val="00983FD8"/>
    <w:rsid w:val="00984DB0"/>
    <w:rsid w:val="00985657"/>
    <w:rsid w:val="0098611B"/>
    <w:rsid w:val="00986712"/>
    <w:rsid w:val="009869C0"/>
    <w:rsid w:val="00987F9B"/>
    <w:rsid w:val="00992CBE"/>
    <w:rsid w:val="00993C62"/>
    <w:rsid w:val="00994282"/>
    <w:rsid w:val="00994F19"/>
    <w:rsid w:val="009953E1"/>
    <w:rsid w:val="009967A2"/>
    <w:rsid w:val="009968F1"/>
    <w:rsid w:val="009968F2"/>
    <w:rsid w:val="00997187"/>
    <w:rsid w:val="00997345"/>
    <w:rsid w:val="00997E10"/>
    <w:rsid w:val="009A0186"/>
    <w:rsid w:val="009A022D"/>
    <w:rsid w:val="009A08BD"/>
    <w:rsid w:val="009A18C0"/>
    <w:rsid w:val="009A3D96"/>
    <w:rsid w:val="009A4D31"/>
    <w:rsid w:val="009A514B"/>
    <w:rsid w:val="009A781F"/>
    <w:rsid w:val="009B15CE"/>
    <w:rsid w:val="009B1C52"/>
    <w:rsid w:val="009B26CB"/>
    <w:rsid w:val="009B4461"/>
    <w:rsid w:val="009B4610"/>
    <w:rsid w:val="009B654C"/>
    <w:rsid w:val="009B66CD"/>
    <w:rsid w:val="009B6A9A"/>
    <w:rsid w:val="009B6F2D"/>
    <w:rsid w:val="009C0B25"/>
    <w:rsid w:val="009C126B"/>
    <w:rsid w:val="009C19F9"/>
    <w:rsid w:val="009C1A9D"/>
    <w:rsid w:val="009C1E55"/>
    <w:rsid w:val="009C2112"/>
    <w:rsid w:val="009C38D5"/>
    <w:rsid w:val="009C4907"/>
    <w:rsid w:val="009C53A0"/>
    <w:rsid w:val="009C5490"/>
    <w:rsid w:val="009C5C96"/>
    <w:rsid w:val="009C7CB8"/>
    <w:rsid w:val="009D178F"/>
    <w:rsid w:val="009D1938"/>
    <w:rsid w:val="009D25F1"/>
    <w:rsid w:val="009D2C85"/>
    <w:rsid w:val="009D3E4A"/>
    <w:rsid w:val="009D4A01"/>
    <w:rsid w:val="009D5105"/>
    <w:rsid w:val="009D5DA2"/>
    <w:rsid w:val="009D6616"/>
    <w:rsid w:val="009D7859"/>
    <w:rsid w:val="009E0F34"/>
    <w:rsid w:val="009E325C"/>
    <w:rsid w:val="009E3799"/>
    <w:rsid w:val="009E3B74"/>
    <w:rsid w:val="009E4789"/>
    <w:rsid w:val="009E69BE"/>
    <w:rsid w:val="009F1B9E"/>
    <w:rsid w:val="009F1E23"/>
    <w:rsid w:val="009F5773"/>
    <w:rsid w:val="009F57A3"/>
    <w:rsid w:val="009F5CE1"/>
    <w:rsid w:val="009F641F"/>
    <w:rsid w:val="009F7099"/>
    <w:rsid w:val="009F716D"/>
    <w:rsid w:val="00A03620"/>
    <w:rsid w:val="00A04611"/>
    <w:rsid w:val="00A04CB4"/>
    <w:rsid w:val="00A04E26"/>
    <w:rsid w:val="00A06B9B"/>
    <w:rsid w:val="00A074E9"/>
    <w:rsid w:val="00A07998"/>
    <w:rsid w:val="00A107FA"/>
    <w:rsid w:val="00A1279A"/>
    <w:rsid w:val="00A130BE"/>
    <w:rsid w:val="00A138E3"/>
    <w:rsid w:val="00A13992"/>
    <w:rsid w:val="00A1454D"/>
    <w:rsid w:val="00A15D0A"/>
    <w:rsid w:val="00A16243"/>
    <w:rsid w:val="00A16A49"/>
    <w:rsid w:val="00A175A1"/>
    <w:rsid w:val="00A17FCD"/>
    <w:rsid w:val="00A20625"/>
    <w:rsid w:val="00A210B0"/>
    <w:rsid w:val="00A223D8"/>
    <w:rsid w:val="00A22F89"/>
    <w:rsid w:val="00A24071"/>
    <w:rsid w:val="00A25663"/>
    <w:rsid w:val="00A26EA4"/>
    <w:rsid w:val="00A26F4B"/>
    <w:rsid w:val="00A27855"/>
    <w:rsid w:val="00A332C9"/>
    <w:rsid w:val="00A343F2"/>
    <w:rsid w:val="00A405DF"/>
    <w:rsid w:val="00A40B33"/>
    <w:rsid w:val="00A427F0"/>
    <w:rsid w:val="00A44534"/>
    <w:rsid w:val="00A44F04"/>
    <w:rsid w:val="00A4585E"/>
    <w:rsid w:val="00A458CE"/>
    <w:rsid w:val="00A45B73"/>
    <w:rsid w:val="00A46628"/>
    <w:rsid w:val="00A468C0"/>
    <w:rsid w:val="00A46A3D"/>
    <w:rsid w:val="00A47D89"/>
    <w:rsid w:val="00A504E9"/>
    <w:rsid w:val="00A51572"/>
    <w:rsid w:val="00A529F4"/>
    <w:rsid w:val="00A52ABF"/>
    <w:rsid w:val="00A53B86"/>
    <w:rsid w:val="00A54DCC"/>
    <w:rsid w:val="00A550E0"/>
    <w:rsid w:val="00A55BAA"/>
    <w:rsid w:val="00A55F6F"/>
    <w:rsid w:val="00A56211"/>
    <w:rsid w:val="00A57723"/>
    <w:rsid w:val="00A579EC"/>
    <w:rsid w:val="00A57C08"/>
    <w:rsid w:val="00A600A8"/>
    <w:rsid w:val="00A600E1"/>
    <w:rsid w:val="00A61297"/>
    <w:rsid w:val="00A6168D"/>
    <w:rsid w:val="00A630C9"/>
    <w:rsid w:val="00A63F19"/>
    <w:rsid w:val="00A650A0"/>
    <w:rsid w:val="00A66320"/>
    <w:rsid w:val="00A669E5"/>
    <w:rsid w:val="00A67BBE"/>
    <w:rsid w:val="00A709EB"/>
    <w:rsid w:val="00A70E48"/>
    <w:rsid w:val="00A71BFB"/>
    <w:rsid w:val="00A7215E"/>
    <w:rsid w:val="00A72801"/>
    <w:rsid w:val="00A73272"/>
    <w:rsid w:val="00A74327"/>
    <w:rsid w:val="00A74B11"/>
    <w:rsid w:val="00A74EAB"/>
    <w:rsid w:val="00A75187"/>
    <w:rsid w:val="00A75F61"/>
    <w:rsid w:val="00A80096"/>
    <w:rsid w:val="00A804C4"/>
    <w:rsid w:val="00A80A44"/>
    <w:rsid w:val="00A80D1A"/>
    <w:rsid w:val="00A80DD3"/>
    <w:rsid w:val="00A814D8"/>
    <w:rsid w:val="00A8176C"/>
    <w:rsid w:val="00A82038"/>
    <w:rsid w:val="00A830E1"/>
    <w:rsid w:val="00A83A84"/>
    <w:rsid w:val="00A83B7F"/>
    <w:rsid w:val="00A841CD"/>
    <w:rsid w:val="00A857AA"/>
    <w:rsid w:val="00A85C58"/>
    <w:rsid w:val="00A86DD5"/>
    <w:rsid w:val="00A873CF"/>
    <w:rsid w:val="00A87E2A"/>
    <w:rsid w:val="00A9243C"/>
    <w:rsid w:val="00A92D1C"/>
    <w:rsid w:val="00A93159"/>
    <w:rsid w:val="00A93615"/>
    <w:rsid w:val="00A948AF"/>
    <w:rsid w:val="00A95A64"/>
    <w:rsid w:val="00A964C5"/>
    <w:rsid w:val="00A9652F"/>
    <w:rsid w:val="00A9725F"/>
    <w:rsid w:val="00A97404"/>
    <w:rsid w:val="00A976B6"/>
    <w:rsid w:val="00AA0162"/>
    <w:rsid w:val="00AA0B24"/>
    <w:rsid w:val="00AA25A7"/>
    <w:rsid w:val="00AA2729"/>
    <w:rsid w:val="00AA3D18"/>
    <w:rsid w:val="00AA47EC"/>
    <w:rsid w:val="00AA49C9"/>
    <w:rsid w:val="00AA58B7"/>
    <w:rsid w:val="00AA64D7"/>
    <w:rsid w:val="00AA69B9"/>
    <w:rsid w:val="00AA7837"/>
    <w:rsid w:val="00AA7E23"/>
    <w:rsid w:val="00AB1A95"/>
    <w:rsid w:val="00AB488B"/>
    <w:rsid w:val="00AB50D4"/>
    <w:rsid w:val="00AB52F1"/>
    <w:rsid w:val="00AB54F6"/>
    <w:rsid w:val="00AB6F1B"/>
    <w:rsid w:val="00AB7293"/>
    <w:rsid w:val="00AB72B8"/>
    <w:rsid w:val="00AB783B"/>
    <w:rsid w:val="00AC16CD"/>
    <w:rsid w:val="00AC1A68"/>
    <w:rsid w:val="00AC4926"/>
    <w:rsid w:val="00AC4D4E"/>
    <w:rsid w:val="00AC4F06"/>
    <w:rsid w:val="00AC51FB"/>
    <w:rsid w:val="00AC589C"/>
    <w:rsid w:val="00AC621D"/>
    <w:rsid w:val="00AC66E2"/>
    <w:rsid w:val="00AC6EF4"/>
    <w:rsid w:val="00AC7DC6"/>
    <w:rsid w:val="00AD12FA"/>
    <w:rsid w:val="00AD1473"/>
    <w:rsid w:val="00AD186B"/>
    <w:rsid w:val="00AD3457"/>
    <w:rsid w:val="00AD3E34"/>
    <w:rsid w:val="00AD5C46"/>
    <w:rsid w:val="00AD5EE1"/>
    <w:rsid w:val="00AD7127"/>
    <w:rsid w:val="00AD7A55"/>
    <w:rsid w:val="00AD7B94"/>
    <w:rsid w:val="00AD7FBF"/>
    <w:rsid w:val="00AE0711"/>
    <w:rsid w:val="00AE17B0"/>
    <w:rsid w:val="00AE28DE"/>
    <w:rsid w:val="00AE2B48"/>
    <w:rsid w:val="00AE4498"/>
    <w:rsid w:val="00AE5666"/>
    <w:rsid w:val="00AE5AC9"/>
    <w:rsid w:val="00AE6520"/>
    <w:rsid w:val="00AE6779"/>
    <w:rsid w:val="00AF07D0"/>
    <w:rsid w:val="00AF1513"/>
    <w:rsid w:val="00AF15F8"/>
    <w:rsid w:val="00AF167B"/>
    <w:rsid w:val="00AF18BC"/>
    <w:rsid w:val="00AF27C0"/>
    <w:rsid w:val="00AF403F"/>
    <w:rsid w:val="00AF41BC"/>
    <w:rsid w:val="00AF44CD"/>
    <w:rsid w:val="00AF54B8"/>
    <w:rsid w:val="00AF57D9"/>
    <w:rsid w:val="00AF605F"/>
    <w:rsid w:val="00AF7432"/>
    <w:rsid w:val="00AF7EAE"/>
    <w:rsid w:val="00B00B71"/>
    <w:rsid w:val="00B00BA4"/>
    <w:rsid w:val="00B0169F"/>
    <w:rsid w:val="00B01DCB"/>
    <w:rsid w:val="00B0354A"/>
    <w:rsid w:val="00B03FB1"/>
    <w:rsid w:val="00B047BC"/>
    <w:rsid w:val="00B051ED"/>
    <w:rsid w:val="00B05344"/>
    <w:rsid w:val="00B078DA"/>
    <w:rsid w:val="00B07C41"/>
    <w:rsid w:val="00B1179F"/>
    <w:rsid w:val="00B12C9D"/>
    <w:rsid w:val="00B1459B"/>
    <w:rsid w:val="00B14A70"/>
    <w:rsid w:val="00B154AA"/>
    <w:rsid w:val="00B169D8"/>
    <w:rsid w:val="00B16BB1"/>
    <w:rsid w:val="00B16CA0"/>
    <w:rsid w:val="00B16FDA"/>
    <w:rsid w:val="00B170B1"/>
    <w:rsid w:val="00B203B8"/>
    <w:rsid w:val="00B208B2"/>
    <w:rsid w:val="00B208C5"/>
    <w:rsid w:val="00B21412"/>
    <w:rsid w:val="00B21AC2"/>
    <w:rsid w:val="00B223DB"/>
    <w:rsid w:val="00B22F7A"/>
    <w:rsid w:val="00B23D63"/>
    <w:rsid w:val="00B247C8"/>
    <w:rsid w:val="00B24D2C"/>
    <w:rsid w:val="00B252F3"/>
    <w:rsid w:val="00B25AF3"/>
    <w:rsid w:val="00B25CD1"/>
    <w:rsid w:val="00B25DD3"/>
    <w:rsid w:val="00B26169"/>
    <w:rsid w:val="00B26589"/>
    <w:rsid w:val="00B265A7"/>
    <w:rsid w:val="00B26DBE"/>
    <w:rsid w:val="00B27001"/>
    <w:rsid w:val="00B270CB"/>
    <w:rsid w:val="00B27A64"/>
    <w:rsid w:val="00B306A8"/>
    <w:rsid w:val="00B30CA5"/>
    <w:rsid w:val="00B32D1B"/>
    <w:rsid w:val="00B33003"/>
    <w:rsid w:val="00B331C1"/>
    <w:rsid w:val="00B354AC"/>
    <w:rsid w:val="00B35611"/>
    <w:rsid w:val="00B35C86"/>
    <w:rsid w:val="00B35EC8"/>
    <w:rsid w:val="00B3655A"/>
    <w:rsid w:val="00B36659"/>
    <w:rsid w:val="00B3714C"/>
    <w:rsid w:val="00B40E2C"/>
    <w:rsid w:val="00B423CF"/>
    <w:rsid w:val="00B4313A"/>
    <w:rsid w:val="00B43163"/>
    <w:rsid w:val="00B4340E"/>
    <w:rsid w:val="00B439AA"/>
    <w:rsid w:val="00B50167"/>
    <w:rsid w:val="00B5043B"/>
    <w:rsid w:val="00B51CD8"/>
    <w:rsid w:val="00B51CDD"/>
    <w:rsid w:val="00B52009"/>
    <w:rsid w:val="00B52763"/>
    <w:rsid w:val="00B52E15"/>
    <w:rsid w:val="00B53CD1"/>
    <w:rsid w:val="00B53D27"/>
    <w:rsid w:val="00B5599B"/>
    <w:rsid w:val="00B56068"/>
    <w:rsid w:val="00B568CA"/>
    <w:rsid w:val="00B57036"/>
    <w:rsid w:val="00B5715C"/>
    <w:rsid w:val="00B5740F"/>
    <w:rsid w:val="00B57461"/>
    <w:rsid w:val="00B600FC"/>
    <w:rsid w:val="00B60E82"/>
    <w:rsid w:val="00B60F63"/>
    <w:rsid w:val="00B65460"/>
    <w:rsid w:val="00B654E8"/>
    <w:rsid w:val="00B65DD3"/>
    <w:rsid w:val="00B65E0E"/>
    <w:rsid w:val="00B6612C"/>
    <w:rsid w:val="00B66204"/>
    <w:rsid w:val="00B66FFD"/>
    <w:rsid w:val="00B670E2"/>
    <w:rsid w:val="00B72940"/>
    <w:rsid w:val="00B73464"/>
    <w:rsid w:val="00B73507"/>
    <w:rsid w:val="00B73B03"/>
    <w:rsid w:val="00B75514"/>
    <w:rsid w:val="00B75C72"/>
    <w:rsid w:val="00B769D0"/>
    <w:rsid w:val="00B77972"/>
    <w:rsid w:val="00B8058E"/>
    <w:rsid w:val="00B81F8E"/>
    <w:rsid w:val="00B82CF1"/>
    <w:rsid w:val="00B83AA3"/>
    <w:rsid w:val="00B83E81"/>
    <w:rsid w:val="00B840C5"/>
    <w:rsid w:val="00B85CA0"/>
    <w:rsid w:val="00B86203"/>
    <w:rsid w:val="00B8664E"/>
    <w:rsid w:val="00B8676E"/>
    <w:rsid w:val="00B86902"/>
    <w:rsid w:val="00B87DCD"/>
    <w:rsid w:val="00B92153"/>
    <w:rsid w:val="00B92642"/>
    <w:rsid w:val="00B92643"/>
    <w:rsid w:val="00B9289D"/>
    <w:rsid w:val="00B93594"/>
    <w:rsid w:val="00B95B90"/>
    <w:rsid w:val="00B9714D"/>
    <w:rsid w:val="00BA05D7"/>
    <w:rsid w:val="00BA0C35"/>
    <w:rsid w:val="00BA1E65"/>
    <w:rsid w:val="00BA233A"/>
    <w:rsid w:val="00BA2BE5"/>
    <w:rsid w:val="00BA5DA3"/>
    <w:rsid w:val="00BA6EF4"/>
    <w:rsid w:val="00BA77C5"/>
    <w:rsid w:val="00BB0C04"/>
    <w:rsid w:val="00BB117F"/>
    <w:rsid w:val="00BB21D8"/>
    <w:rsid w:val="00BB24A8"/>
    <w:rsid w:val="00BB2B3A"/>
    <w:rsid w:val="00BB33F0"/>
    <w:rsid w:val="00BB4517"/>
    <w:rsid w:val="00BB4C9C"/>
    <w:rsid w:val="00BB5044"/>
    <w:rsid w:val="00BB7229"/>
    <w:rsid w:val="00BC14EB"/>
    <w:rsid w:val="00BC24CF"/>
    <w:rsid w:val="00BC2C71"/>
    <w:rsid w:val="00BC3884"/>
    <w:rsid w:val="00BC3999"/>
    <w:rsid w:val="00BC4F6C"/>
    <w:rsid w:val="00BC6460"/>
    <w:rsid w:val="00BC66D0"/>
    <w:rsid w:val="00BC78B4"/>
    <w:rsid w:val="00BD0D77"/>
    <w:rsid w:val="00BD1D84"/>
    <w:rsid w:val="00BD2644"/>
    <w:rsid w:val="00BD344B"/>
    <w:rsid w:val="00BD4A6A"/>
    <w:rsid w:val="00BE0E4E"/>
    <w:rsid w:val="00BE1CD6"/>
    <w:rsid w:val="00BE1F16"/>
    <w:rsid w:val="00BE202A"/>
    <w:rsid w:val="00BE28F2"/>
    <w:rsid w:val="00BE2AB6"/>
    <w:rsid w:val="00BE2F09"/>
    <w:rsid w:val="00BE3B2D"/>
    <w:rsid w:val="00BE5A6F"/>
    <w:rsid w:val="00BE5A9E"/>
    <w:rsid w:val="00BE5B49"/>
    <w:rsid w:val="00BE6B0F"/>
    <w:rsid w:val="00BE766B"/>
    <w:rsid w:val="00BE7931"/>
    <w:rsid w:val="00BE7E96"/>
    <w:rsid w:val="00BF0070"/>
    <w:rsid w:val="00BF0795"/>
    <w:rsid w:val="00BF0FEF"/>
    <w:rsid w:val="00BF18C5"/>
    <w:rsid w:val="00BF317B"/>
    <w:rsid w:val="00BF3323"/>
    <w:rsid w:val="00BF5BF0"/>
    <w:rsid w:val="00BF74F7"/>
    <w:rsid w:val="00BF768D"/>
    <w:rsid w:val="00BF7E4D"/>
    <w:rsid w:val="00C011B7"/>
    <w:rsid w:val="00C0239D"/>
    <w:rsid w:val="00C024F0"/>
    <w:rsid w:val="00C03260"/>
    <w:rsid w:val="00C0332A"/>
    <w:rsid w:val="00C037F3"/>
    <w:rsid w:val="00C04EB6"/>
    <w:rsid w:val="00C065AA"/>
    <w:rsid w:val="00C07145"/>
    <w:rsid w:val="00C07B46"/>
    <w:rsid w:val="00C0E702"/>
    <w:rsid w:val="00C11E9B"/>
    <w:rsid w:val="00C11EFE"/>
    <w:rsid w:val="00C1314A"/>
    <w:rsid w:val="00C131A0"/>
    <w:rsid w:val="00C13ABE"/>
    <w:rsid w:val="00C144CA"/>
    <w:rsid w:val="00C1542C"/>
    <w:rsid w:val="00C1620C"/>
    <w:rsid w:val="00C17B03"/>
    <w:rsid w:val="00C2100D"/>
    <w:rsid w:val="00C2131E"/>
    <w:rsid w:val="00C21390"/>
    <w:rsid w:val="00C21EA0"/>
    <w:rsid w:val="00C21FC6"/>
    <w:rsid w:val="00C228CB"/>
    <w:rsid w:val="00C234A4"/>
    <w:rsid w:val="00C23BFF"/>
    <w:rsid w:val="00C23E04"/>
    <w:rsid w:val="00C2433A"/>
    <w:rsid w:val="00C24444"/>
    <w:rsid w:val="00C24E64"/>
    <w:rsid w:val="00C25A55"/>
    <w:rsid w:val="00C271D7"/>
    <w:rsid w:val="00C27559"/>
    <w:rsid w:val="00C31029"/>
    <w:rsid w:val="00C317A7"/>
    <w:rsid w:val="00C31A57"/>
    <w:rsid w:val="00C3261A"/>
    <w:rsid w:val="00C33AAB"/>
    <w:rsid w:val="00C34412"/>
    <w:rsid w:val="00C35D93"/>
    <w:rsid w:val="00C372AA"/>
    <w:rsid w:val="00C3737B"/>
    <w:rsid w:val="00C37A38"/>
    <w:rsid w:val="00C411B1"/>
    <w:rsid w:val="00C4184D"/>
    <w:rsid w:val="00C42D21"/>
    <w:rsid w:val="00C4373B"/>
    <w:rsid w:val="00C4451F"/>
    <w:rsid w:val="00C44569"/>
    <w:rsid w:val="00C449A8"/>
    <w:rsid w:val="00C44DDC"/>
    <w:rsid w:val="00C4585A"/>
    <w:rsid w:val="00C45B28"/>
    <w:rsid w:val="00C4635B"/>
    <w:rsid w:val="00C47471"/>
    <w:rsid w:val="00C50273"/>
    <w:rsid w:val="00C505FA"/>
    <w:rsid w:val="00C50BDF"/>
    <w:rsid w:val="00C52947"/>
    <w:rsid w:val="00C52FE1"/>
    <w:rsid w:val="00C53006"/>
    <w:rsid w:val="00C53906"/>
    <w:rsid w:val="00C53FEB"/>
    <w:rsid w:val="00C54D56"/>
    <w:rsid w:val="00C54D79"/>
    <w:rsid w:val="00C56405"/>
    <w:rsid w:val="00C57894"/>
    <w:rsid w:val="00C578C0"/>
    <w:rsid w:val="00C57EE7"/>
    <w:rsid w:val="00C602F9"/>
    <w:rsid w:val="00C60717"/>
    <w:rsid w:val="00C60C93"/>
    <w:rsid w:val="00C61564"/>
    <w:rsid w:val="00C618A8"/>
    <w:rsid w:val="00C6216B"/>
    <w:rsid w:val="00C6395D"/>
    <w:rsid w:val="00C63E13"/>
    <w:rsid w:val="00C6493D"/>
    <w:rsid w:val="00C65456"/>
    <w:rsid w:val="00C65BBA"/>
    <w:rsid w:val="00C66206"/>
    <w:rsid w:val="00C66C45"/>
    <w:rsid w:val="00C66CF6"/>
    <w:rsid w:val="00C66E3B"/>
    <w:rsid w:val="00C70662"/>
    <w:rsid w:val="00C70BCC"/>
    <w:rsid w:val="00C72E95"/>
    <w:rsid w:val="00C73241"/>
    <w:rsid w:val="00C73D8F"/>
    <w:rsid w:val="00C750E6"/>
    <w:rsid w:val="00C75554"/>
    <w:rsid w:val="00C76932"/>
    <w:rsid w:val="00C77EA4"/>
    <w:rsid w:val="00C800E6"/>
    <w:rsid w:val="00C80491"/>
    <w:rsid w:val="00C81F3A"/>
    <w:rsid w:val="00C82788"/>
    <w:rsid w:val="00C8316B"/>
    <w:rsid w:val="00C8339C"/>
    <w:rsid w:val="00C8468F"/>
    <w:rsid w:val="00C851A7"/>
    <w:rsid w:val="00C86A37"/>
    <w:rsid w:val="00C90206"/>
    <w:rsid w:val="00C902B7"/>
    <w:rsid w:val="00C9134D"/>
    <w:rsid w:val="00C9251E"/>
    <w:rsid w:val="00C92C68"/>
    <w:rsid w:val="00C93104"/>
    <w:rsid w:val="00C93191"/>
    <w:rsid w:val="00C9474E"/>
    <w:rsid w:val="00C94E89"/>
    <w:rsid w:val="00C953E0"/>
    <w:rsid w:val="00C9650D"/>
    <w:rsid w:val="00C9658B"/>
    <w:rsid w:val="00C96F5F"/>
    <w:rsid w:val="00CA1047"/>
    <w:rsid w:val="00CA3936"/>
    <w:rsid w:val="00CA472A"/>
    <w:rsid w:val="00CA4D62"/>
    <w:rsid w:val="00CA4FFA"/>
    <w:rsid w:val="00CA5394"/>
    <w:rsid w:val="00CA5E9D"/>
    <w:rsid w:val="00CA6CF2"/>
    <w:rsid w:val="00CA73BE"/>
    <w:rsid w:val="00CA75F2"/>
    <w:rsid w:val="00CA77BE"/>
    <w:rsid w:val="00CB016A"/>
    <w:rsid w:val="00CB11E0"/>
    <w:rsid w:val="00CB13DE"/>
    <w:rsid w:val="00CB19B8"/>
    <w:rsid w:val="00CB234E"/>
    <w:rsid w:val="00CB26D9"/>
    <w:rsid w:val="00CB2BB6"/>
    <w:rsid w:val="00CB49BD"/>
    <w:rsid w:val="00CB752D"/>
    <w:rsid w:val="00CC0228"/>
    <w:rsid w:val="00CC0563"/>
    <w:rsid w:val="00CC1D80"/>
    <w:rsid w:val="00CC2DEE"/>
    <w:rsid w:val="00CC36B0"/>
    <w:rsid w:val="00CC5E15"/>
    <w:rsid w:val="00CC64C9"/>
    <w:rsid w:val="00CC6633"/>
    <w:rsid w:val="00CD07CC"/>
    <w:rsid w:val="00CD0F77"/>
    <w:rsid w:val="00CD2BCC"/>
    <w:rsid w:val="00CD46B7"/>
    <w:rsid w:val="00CD4C3D"/>
    <w:rsid w:val="00CD69AD"/>
    <w:rsid w:val="00CD6E79"/>
    <w:rsid w:val="00CE0184"/>
    <w:rsid w:val="00CE1342"/>
    <w:rsid w:val="00CE30D1"/>
    <w:rsid w:val="00CE3521"/>
    <w:rsid w:val="00CE3DA6"/>
    <w:rsid w:val="00CE3EFA"/>
    <w:rsid w:val="00CE4789"/>
    <w:rsid w:val="00CE5080"/>
    <w:rsid w:val="00CE6E45"/>
    <w:rsid w:val="00CE7672"/>
    <w:rsid w:val="00CE7A38"/>
    <w:rsid w:val="00CF08AB"/>
    <w:rsid w:val="00CF2275"/>
    <w:rsid w:val="00CF3304"/>
    <w:rsid w:val="00CF4054"/>
    <w:rsid w:val="00CF430D"/>
    <w:rsid w:val="00CF4DAA"/>
    <w:rsid w:val="00CF5743"/>
    <w:rsid w:val="00CF5877"/>
    <w:rsid w:val="00CF5F1E"/>
    <w:rsid w:val="00CF683D"/>
    <w:rsid w:val="00D0027F"/>
    <w:rsid w:val="00D0203B"/>
    <w:rsid w:val="00D02B3E"/>
    <w:rsid w:val="00D05E82"/>
    <w:rsid w:val="00D06DB9"/>
    <w:rsid w:val="00D07843"/>
    <w:rsid w:val="00D129BE"/>
    <w:rsid w:val="00D144D4"/>
    <w:rsid w:val="00D15470"/>
    <w:rsid w:val="00D162E8"/>
    <w:rsid w:val="00D17D77"/>
    <w:rsid w:val="00D223C2"/>
    <w:rsid w:val="00D22FE0"/>
    <w:rsid w:val="00D23E66"/>
    <w:rsid w:val="00D248EF"/>
    <w:rsid w:val="00D258A9"/>
    <w:rsid w:val="00D25E51"/>
    <w:rsid w:val="00D25E54"/>
    <w:rsid w:val="00D276AD"/>
    <w:rsid w:val="00D30790"/>
    <w:rsid w:val="00D30A84"/>
    <w:rsid w:val="00D31D62"/>
    <w:rsid w:val="00D342CE"/>
    <w:rsid w:val="00D36298"/>
    <w:rsid w:val="00D36BE8"/>
    <w:rsid w:val="00D36C0A"/>
    <w:rsid w:val="00D41BCD"/>
    <w:rsid w:val="00D42F60"/>
    <w:rsid w:val="00D434E5"/>
    <w:rsid w:val="00D44940"/>
    <w:rsid w:val="00D44F36"/>
    <w:rsid w:val="00D4784F"/>
    <w:rsid w:val="00D47AFA"/>
    <w:rsid w:val="00D501E8"/>
    <w:rsid w:val="00D5056F"/>
    <w:rsid w:val="00D50F8F"/>
    <w:rsid w:val="00D52037"/>
    <w:rsid w:val="00D52928"/>
    <w:rsid w:val="00D52B03"/>
    <w:rsid w:val="00D531FC"/>
    <w:rsid w:val="00D53CB8"/>
    <w:rsid w:val="00D548E8"/>
    <w:rsid w:val="00D54DAE"/>
    <w:rsid w:val="00D55151"/>
    <w:rsid w:val="00D55C59"/>
    <w:rsid w:val="00D572B7"/>
    <w:rsid w:val="00D57CEF"/>
    <w:rsid w:val="00D5D71D"/>
    <w:rsid w:val="00D611C1"/>
    <w:rsid w:val="00D61435"/>
    <w:rsid w:val="00D6163A"/>
    <w:rsid w:val="00D61F2D"/>
    <w:rsid w:val="00D624C9"/>
    <w:rsid w:val="00D63D9A"/>
    <w:rsid w:val="00D6457A"/>
    <w:rsid w:val="00D647A2"/>
    <w:rsid w:val="00D6539E"/>
    <w:rsid w:val="00D653F0"/>
    <w:rsid w:val="00D66CD6"/>
    <w:rsid w:val="00D67619"/>
    <w:rsid w:val="00D70CC4"/>
    <w:rsid w:val="00D70D7C"/>
    <w:rsid w:val="00D71550"/>
    <w:rsid w:val="00D719CC"/>
    <w:rsid w:val="00D72BF1"/>
    <w:rsid w:val="00D73195"/>
    <w:rsid w:val="00D745D5"/>
    <w:rsid w:val="00D747DF"/>
    <w:rsid w:val="00D74BDD"/>
    <w:rsid w:val="00D768FD"/>
    <w:rsid w:val="00D8091F"/>
    <w:rsid w:val="00D822E5"/>
    <w:rsid w:val="00D826CA"/>
    <w:rsid w:val="00D82ADE"/>
    <w:rsid w:val="00D83E4A"/>
    <w:rsid w:val="00D841D3"/>
    <w:rsid w:val="00D8446C"/>
    <w:rsid w:val="00D85E57"/>
    <w:rsid w:val="00D86E29"/>
    <w:rsid w:val="00D878A8"/>
    <w:rsid w:val="00D903F7"/>
    <w:rsid w:val="00D90630"/>
    <w:rsid w:val="00D90B43"/>
    <w:rsid w:val="00D93C53"/>
    <w:rsid w:val="00D9414C"/>
    <w:rsid w:val="00D946C9"/>
    <w:rsid w:val="00D94C2F"/>
    <w:rsid w:val="00D95106"/>
    <w:rsid w:val="00D9678D"/>
    <w:rsid w:val="00D969F1"/>
    <w:rsid w:val="00D979EA"/>
    <w:rsid w:val="00D97B39"/>
    <w:rsid w:val="00DA023F"/>
    <w:rsid w:val="00DA06ED"/>
    <w:rsid w:val="00DA2417"/>
    <w:rsid w:val="00DA26AA"/>
    <w:rsid w:val="00DA29A1"/>
    <w:rsid w:val="00DA42BB"/>
    <w:rsid w:val="00DA4B87"/>
    <w:rsid w:val="00DA5782"/>
    <w:rsid w:val="00DA7902"/>
    <w:rsid w:val="00DA951A"/>
    <w:rsid w:val="00DB1B02"/>
    <w:rsid w:val="00DB33BA"/>
    <w:rsid w:val="00DB3648"/>
    <w:rsid w:val="00DB3CE9"/>
    <w:rsid w:val="00DB3E0A"/>
    <w:rsid w:val="00DC00CA"/>
    <w:rsid w:val="00DC1954"/>
    <w:rsid w:val="00DC1E98"/>
    <w:rsid w:val="00DC27FF"/>
    <w:rsid w:val="00DC4BD7"/>
    <w:rsid w:val="00DC52AA"/>
    <w:rsid w:val="00DC552B"/>
    <w:rsid w:val="00DC639D"/>
    <w:rsid w:val="00DD01E4"/>
    <w:rsid w:val="00DD03FC"/>
    <w:rsid w:val="00DD1970"/>
    <w:rsid w:val="00DD21C7"/>
    <w:rsid w:val="00DD3D26"/>
    <w:rsid w:val="00DD4733"/>
    <w:rsid w:val="00DD5479"/>
    <w:rsid w:val="00DD56AA"/>
    <w:rsid w:val="00DD6741"/>
    <w:rsid w:val="00DD705F"/>
    <w:rsid w:val="00DE0442"/>
    <w:rsid w:val="00DE0D7F"/>
    <w:rsid w:val="00DE1C98"/>
    <w:rsid w:val="00DE2926"/>
    <w:rsid w:val="00DE3140"/>
    <w:rsid w:val="00DE36C6"/>
    <w:rsid w:val="00DE3CC9"/>
    <w:rsid w:val="00DE49A5"/>
    <w:rsid w:val="00DE54DA"/>
    <w:rsid w:val="00DE5773"/>
    <w:rsid w:val="00DE6DDB"/>
    <w:rsid w:val="00DE7440"/>
    <w:rsid w:val="00DF00D0"/>
    <w:rsid w:val="00DF0B77"/>
    <w:rsid w:val="00DF41D8"/>
    <w:rsid w:val="00DF43CD"/>
    <w:rsid w:val="00DF5A56"/>
    <w:rsid w:val="00DF5E86"/>
    <w:rsid w:val="00E00A61"/>
    <w:rsid w:val="00E0277D"/>
    <w:rsid w:val="00E02949"/>
    <w:rsid w:val="00E03105"/>
    <w:rsid w:val="00E04341"/>
    <w:rsid w:val="00E04569"/>
    <w:rsid w:val="00E04827"/>
    <w:rsid w:val="00E04C59"/>
    <w:rsid w:val="00E04E42"/>
    <w:rsid w:val="00E050EE"/>
    <w:rsid w:val="00E05E07"/>
    <w:rsid w:val="00E067BE"/>
    <w:rsid w:val="00E069EE"/>
    <w:rsid w:val="00E06D72"/>
    <w:rsid w:val="00E06F8C"/>
    <w:rsid w:val="00E1007C"/>
    <w:rsid w:val="00E101CB"/>
    <w:rsid w:val="00E10E9C"/>
    <w:rsid w:val="00E10EDF"/>
    <w:rsid w:val="00E112C2"/>
    <w:rsid w:val="00E11797"/>
    <w:rsid w:val="00E126B4"/>
    <w:rsid w:val="00E14D3D"/>
    <w:rsid w:val="00E15CAE"/>
    <w:rsid w:val="00E166E6"/>
    <w:rsid w:val="00E1670C"/>
    <w:rsid w:val="00E170F4"/>
    <w:rsid w:val="00E20578"/>
    <w:rsid w:val="00E23A3C"/>
    <w:rsid w:val="00E23FA3"/>
    <w:rsid w:val="00E26260"/>
    <w:rsid w:val="00E26C9B"/>
    <w:rsid w:val="00E2703C"/>
    <w:rsid w:val="00E27D1B"/>
    <w:rsid w:val="00E30309"/>
    <w:rsid w:val="00E3100E"/>
    <w:rsid w:val="00E31076"/>
    <w:rsid w:val="00E31338"/>
    <w:rsid w:val="00E31688"/>
    <w:rsid w:val="00E32F22"/>
    <w:rsid w:val="00E3372B"/>
    <w:rsid w:val="00E33B6A"/>
    <w:rsid w:val="00E34D0E"/>
    <w:rsid w:val="00E350EB"/>
    <w:rsid w:val="00E35C79"/>
    <w:rsid w:val="00E3680D"/>
    <w:rsid w:val="00E36869"/>
    <w:rsid w:val="00E36FCB"/>
    <w:rsid w:val="00E37AD0"/>
    <w:rsid w:val="00E3B538"/>
    <w:rsid w:val="00E41C99"/>
    <w:rsid w:val="00E43D2A"/>
    <w:rsid w:val="00E4407C"/>
    <w:rsid w:val="00E44649"/>
    <w:rsid w:val="00E46E34"/>
    <w:rsid w:val="00E50223"/>
    <w:rsid w:val="00E50272"/>
    <w:rsid w:val="00E50FDC"/>
    <w:rsid w:val="00E5169D"/>
    <w:rsid w:val="00E51A4A"/>
    <w:rsid w:val="00E520CE"/>
    <w:rsid w:val="00E5346D"/>
    <w:rsid w:val="00E55B67"/>
    <w:rsid w:val="00E57AF6"/>
    <w:rsid w:val="00E57B3C"/>
    <w:rsid w:val="00E57F72"/>
    <w:rsid w:val="00E61EFD"/>
    <w:rsid w:val="00E62143"/>
    <w:rsid w:val="00E625B2"/>
    <w:rsid w:val="00E6260A"/>
    <w:rsid w:val="00E62704"/>
    <w:rsid w:val="00E631DD"/>
    <w:rsid w:val="00E636CF"/>
    <w:rsid w:val="00E64200"/>
    <w:rsid w:val="00E6529D"/>
    <w:rsid w:val="00E65BD6"/>
    <w:rsid w:val="00E70360"/>
    <w:rsid w:val="00E7056A"/>
    <w:rsid w:val="00E71DB3"/>
    <w:rsid w:val="00E72B5E"/>
    <w:rsid w:val="00E72E3B"/>
    <w:rsid w:val="00E731D1"/>
    <w:rsid w:val="00E73B7B"/>
    <w:rsid w:val="00E756BF"/>
    <w:rsid w:val="00E7571D"/>
    <w:rsid w:val="00E76E0E"/>
    <w:rsid w:val="00E77C01"/>
    <w:rsid w:val="00E77C53"/>
    <w:rsid w:val="00E8211D"/>
    <w:rsid w:val="00E8234D"/>
    <w:rsid w:val="00E828DF"/>
    <w:rsid w:val="00E82F86"/>
    <w:rsid w:val="00E8357E"/>
    <w:rsid w:val="00E83644"/>
    <w:rsid w:val="00E83A98"/>
    <w:rsid w:val="00E84C0C"/>
    <w:rsid w:val="00E86012"/>
    <w:rsid w:val="00E861DC"/>
    <w:rsid w:val="00E86AD4"/>
    <w:rsid w:val="00E86E74"/>
    <w:rsid w:val="00E90F19"/>
    <w:rsid w:val="00E9119F"/>
    <w:rsid w:val="00E917E8"/>
    <w:rsid w:val="00E91D13"/>
    <w:rsid w:val="00E9291C"/>
    <w:rsid w:val="00E931FC"/>
    <w:rsid w:val="00E947E3"/>
    <w:rsid w:val="00E9546C"/>
    <w:rsid w:val="00E95577"/>
    <w:rsid w:val="00E957AA"/>
    <w:rsid w:val="00E9662F"/>
    <w:rsid w:val="00E96A4C"/>
    <w:rsid w:val="00E9710C"/>
    <w:rsid w:val="00E97771"/>
    <w:rsid w:val="00E97860"/>
    <w:rsid w:val="00EA08BF"/>
    <w:rsid w:val="00EA1C8C"/>
    <w:rsid w:val="00EA241D"/>
    <w:rsid w:val="00EA29A1"/>
    <w:rsid w:val="00EA5E8F"/>
    <w:rsid w:val="00EA692B"/>
    <w:rsid w:val="00EB0831"/>
    <w:rsid w:val="00EB0CEE"/>
    <w:rsid w:val="00EB1905"/>
    <w:rsid w:val="00EB22D9"/>
    <w:rsid w:val="00EB231E"/>
    <w:rsid w:val="00EB25BE"/>
    <w:rsid w:val="00EB2E09"/>
    <w:rsid w:val="00EB318F"/>
    <w:rsid w:val="00EB4D6E"/>
    <w:rsid w:val="00EB5A4A"/>
    <w:rsid w:val="00EB5E9C"/>
    <w:rsid w:val="00EC04D8"/>
    <w:rsid w:val="00EC2081"/>
    <w:rsid w:val="00EC29D6"/>
    <w:rsid w:val="00EC6008"/>
    <w:rsid w:val="00EC6B54"/>
    <w:rsid w:val="00EC7394"/>
    <w:rsid w:val="00EC758A"/>
    <w:rsid w:val="00EC79A6"/>
    <w:rsid w:val="00EC7B52"/>
    <w:rsid w:val="00EC7DDB"/>
    <w:rsid w:val="00ED05B4"/>
    <w:rsid w:val="00ED1A7D"/>
    <w:rsid w:val="00ED1BE4"/>
    <w:rsid w:val="00ED20BF"/>
    <w:rsid w:val="00ED22B7"/>
    <w:rsid w:val="00ED25B7"/>
    <w:rsid w:val="00ED25EB"/>
    <w:rsid w:val="00ED3475"/>
    <w:rsid w:val="00ED36C9"/>
    <w:rsid w:val="00ED4921"/>
    <w:rsid w:val="00ED5146"/>
    <w:rsid w:val="00ED6D8C"/>
    <w:rsid w:val="00EE0F80"/>
    <w:rsid w:val="00EE1EFE"/>
    <w:rsid w:val="00EE251F"/>
    <w:rsid w:val="00EE2B40"/>
    <w:rsid w:val="00EE4F0D"/>
    <w:rsid w:val="00EE58AE"/>
    <w:rsid w:val="00EE6485"/>
    <w:rsid w:val="00EE73EF"/>
    <w:rsid w:val="00EE7705"/>
    <w:rsid w:val="00EE779F"/>
    <w:rsid w:val="00EF0892"/>
    <w:rsid w:val="00EF164C"/>
    <w:rsid w:val="00EF320C"/>
    <w:rsid w:val="00EF3DCF"/>
    <w:rsid w:val="00EF3F22"/>
    <w:rsid w:val="00EF4BDC"/>
    <w:rsid w:val="00EF4DAC"/>
    <w:rsid w:val="00EF5690"/>
    <w:rsid w:val="00EF5D90"/>
    <w:rsid w:val="00EF6094"/>
    <w:rsid w:val="00F002A4"/>
    <w:rsid w:val="00F00830"/>
    <w:rsid w:val="00F00EB9"/>
    <w:rsid w:val="00F024B4"/>
    <w:rsid w:val="00F0286F"/>
    <w:rsid w:val="00F02CF9"/>
    <w:rsid w:val="00F02D3F"/>
    <w:rsid w:val="00F03462"/>
    <w:rsid w:val="00F03484"/>
    <w:rsid w:val="00F03A5E"/>
    <w:rsid w:val="00F0555A"/>
    <w:rsid w:val="00F05FB4"/>
    <w:rsid w:val="00F067C4"/>
    <w:rsid w:val="00F067C9"/>
    <w:rsid w:val="00F10E47"/>
    <w:rsid w:val="00F1256B"/>
    <w:rsid w:val="00F131DE"/>
    <w:rsid w:val="00F138E4"/>
    <w:rsid w:val="00F14BA4"/>
    <w:rsid w:val="00F15F3B"/>
    <w:rsid w:val="00F163F0"/>
    <w:rsid w:val="00F17789"/>
    <w:rsid w:val="00F17E5E"/>
    <w:rsid w:val="00F201D1"/>
    <w:rsid w:val="00F217A9"/>
    <w:rsid w:val="00F22DD1"/>
    <w:rsid w:val="00F233A0"/>
    <w:rsid w:val="00F236F9"/>
    <w:rsid w:val="00F23F3E"/>
    <w:rsid w:val="00F247D7"/>
    <w:rsid w:val="00F24B8D"/>
    <w:rsid w:val="00F25572"/>
    <w:rsid w:val="00F255BE"/>
    <w:rsid w:val="00F255DE"/>
    <w:rsid w:val="00F2626A"/>
    <w:rsid w:val="00F263DA"/>
    <w:rsid w:val="00F2787C"/>
    <w:rsid w:val="00F308A5"/>
    <w:rsid w:val="00F308C7"/>
    <w:rsid w:val="00F30C17"/>
    <w:rsid w:val="00F35471"/>
    <w:rsid w:val="00F3633C"/>
    <w:rsid w:val="00F36A40"/>
    <w:rsid w:val="00F37B90"/>
    <w:rsid w:val="00F402E4"/>
    <w:rsid w:val="00F4037A"/>
    <w:rsid w:val="00F406E4"/>
    <w:rsid w:val="00F4070F"/>
    <w:rsid w:val="00F40D92"/>
    <w:rsid w:val="00F425BD"/>
    <w:rsid w:val="00F428A9"/>
    <w:rsid w:val="00F42923"/>
    <w:rsid w:val="00F44434"/>
    <w:rsid w:val="00F4447C"/>
    <w:rsid w:val="00F45700"/>
    <w:rsid w:val="00F45944"/>
    <w:rsid w:val="00F47511"/>
    <w:rsid w:val="00F50122"/>
    <w:rsid w:val="00F50359"/>
    <w:rsid w:val="00F50B70"/>
    <w:rsid w:val="00F51AB7"/>
    <w:rsid w:val="00F528E3"/>
    <w:rsid w:val="00F53200"/>
    <w:rsid w:val="00F5347D"/>
    <w:rsid w:val="00F53B58"/>
    <w:rsid w:val="00F5641F"/>
    <w:rsid w:val="00F56FEA"/>
    <w:rsid w:val="00F5735C"/>
    <w:rsid w:val="00F5765D"/>
    <w:rsid w:val="00F613E9"/>
    <w:rsid w:val="00F62CE1"/>
    <w:rsid w:val="00F630C6"/>
    <w:rsid w:val="00F6389C"/>
    <w:rsid w:val="00F65CB3"/>
    <w:rsid w:val="00F66A86"/>
    <w:rsid w:val="00F66CFD"/>
    <w:rsid w:val="00F670A0"/>
    <w:rsid w:val="00F700C8"/>
    <w:rsid w:val="00F70643"/>
    <w:rsid w:val="00F70C68"/>
    <w:rsid w:val="00F71F85"/>
    <w:rsid w:val="00F71FDD"/>
    <w:rsid w:val="00F74B6F"/>
    <w:rsid w:val="00F76AA5"/>
    <w:rsid w:val="00F7769F"/>
    <w:rsid w:val="00F777CB"/>
    <w:rsid w:val="00F77FF2"/>
    <w:rsid w:val="00F8043D"/>
    <w:rsid w:val="00F812F4"/>
    <w:rsid w:val="00F8323F"/>
    <w:rsid w:val="00F84734"/>
    <w:rsid w:val="00F8733B"/>
    <w:rsid w:val="00F92E39"/>
    <w:rsid w:val="00F932AA"/>
    <w:rsid w:val="00F94347"/>
    <w:rsid w:val="00F94A84"/>
    <w:rsid w:val="00F95AEC"/>
    <w:rsid w:val="00F9653B"/>
    <w:rsid w:val="00F968B4"/>
    <w:rsid w:val="00F96BEF"/>
    <w:rsid w:val="00FA0B3D"/>
    <w:rsid w:val="00FA1E54"/>
    <w:rsid w:val="00FA29AC"/>
    <w:rsid w:val="00FA3F4D"/>
    <w:rsid w:val="00FA51ED"/>
    <w:rsid w:val="00FA54EB"/>
    <w:rsid w:val="00FA570D"/>
    <w:rsid w:val="00FA60E5"/>
    <w:rsid w:val="00FA6FA0"/>
    <w:rsid w:val="00FA7777"/>
    <w:rsid w:val="00FA789B"/>
    <w:rsid w:val="00FB09F6"/>
    <w:rsid w:val="00FB0CB7"/>
    <w:rsid w:val="00FB0D38"/>
    <w:rsid w:val="00FB178D"/>
    <w:rsid w:val="00FB3577"/>
    <w:rsid w:val="00FB4DEF"/>
    <w:rsid w:val="00FB7051"/>
    <w:rsid w:val="00FB712B"/>
    <w:rsid w:val="00FB7A85"/>
    <w:rsid w:val="00FB7AEA"/>
    <w:rsid w:val="00FB7DF3"/>
    <w:rsid w:val="00FC00EE"/>
    <w:rsid w:val="00FC0D44"/>
    <w:rsid w:val="00FC24D1"/>
    <w:rsid w:val="00FC2848"/>
    <w:rsid w:val="00FC3D65"/>
    <w:rsid w:val="00FC4CEA"/>
    <w:rsid w:val="00FC5C4B"/>
    <w:rsid w:val="00FC5DD1"/>
    <w:rsid w:val="00FC7371"/>
    <w:rsid w:val="00FC757A"/>
    <w:rsid w:val="00FC7703"/>
    <w:rsid w:val="00FD043B"/>
    <w:rsid w:val="00FD06F1"/>
    <w:rsid w:val="00FD0A63"/>
    <w:rsid w:val="00FD10D8"/>
    <w:rsid w:val="00FD1171"/>
    <w:rsid w:val="00FD14D6"/>
    <w:rsid w:val="00FD18AC"/>
    <w:rsid w:val="00FD2905"/>
    <w:rsid w:val="00FD3601"/>
    <w:rsid w:val="00FD4F7E"/>
    <w:rsid w:val="00FD7285"/>
    <w:rsid w:val="00FE103E"/>
    <w:rsid w:val="00FE2060"/>
    <w:rsid w:val="00FE22DF"/>
    <w:rsid w:val="00FE26BD"/>
    <w:rsid w:val="00FE3DFB"/>
    <w:rsid w:val="00FE5032"/>
    <w:rsid w:val="00FE52CD"/>
    <w:rsid w:val="00FE5560"/>
    <w:rsid w:val="00FE6BCB"/>
    <w:rsid w:val="00FE7719"/>
    <w:rsid w:val="00FE785A"/>
    <w:rsid w:val="00FE7CE7"/>
    <w:rsid w:val="00FF097B"/>
    <w:rsid w:val="00FF30F1"/>
    <w:rsid w:val="00FF4299"/>
    <w:rsid w:val="00FF465B"/>
    <w:rsid w:val="00FF4ABD"/>
    <w:rsid w:val="00FF4EF8"/>
    <w:rsid w:val="00FF53DA"/>
    <w:rsid w:val="00FF5BB6"/>
    <w:rsid w:val="00FF623E"/>
    <w:rsid w:val="00FF70DD"/>
    <w:rsid w:val="00FF7DE0"/>
    <w:rsid w:val="0130D8A3"/>
    <w:rsid w:val="01481DD5"/>
    <w:rsid w:val="014CF082"/>
    <w:rsid w:val="014D32C0"/>
    <w:rsid w:val="01AAAA5E"/>
    <w:rsid w:val="01CCD64C"/>
    <w:rsid w:val="01E68F56"/>
    <w:rsid w:val="020DB2BF"/>
    <w:rsid w:val="022A076D"/>
    <w:rsid w:val="02307C5D"/>
    <w:rsid w:val="023098B6"/>
    <w:rsid w:val="028D1BB5"/>
    <w:rsid w:val="02B3CEC9"/>
    <w:rsid w:val="02B5ADBB"/>
    <w:rsid w:val="02BF449E"/>
    <w:rsid w:val="033A60F9"/>
    <w:rsid w:val="0357DDC7"/>
    <w:rsid w:val="035A8213"/>
    <w:rsid w:val="036ADADE"/>
    <w:rsid w:val="038D3F84"/>
    <w:rsid w:val="03A3414A"/>
    <w:rsid w:val="03ABDEBF"/>
    <w:rsid w:val="03BDE23A"/>
    <w:rsid w:val="03D34FAE"/>
    <w:rsid w:val="03FA8D1C"/>
    <w:rsid w:val="040BB4A2"/>
    <w:rsid w:val="04200F91"/>
    <w:rsid w:val="0432D7D8"/>
    <w:rsid w:val="0482DE0F"/>
    <w:rsid w:val="04930EB3"/>
    <w:rsid w:val="04B06F29"/>
    <w:rsid w:val="04C1B1BD"/>
    <w:rsid w:val="04F46007"/>
    <w:rsid w:val="04F65274"/>
    <w:rsid w:val="051AF1B8"/>
    <w:rsid w:val="051EC077"/>
    <w:rsid w:val="051F5C2A"/>
    <w:rsid w:val="0524FF16"/>
    <w:rsid w:val="05292C2F"/>
    <w:rsid w:val="055AD6B7"/>
    <w:rsid w:val="0563878E"/>
    <w:rsid w:val="056F83E4"/>
    <w:rsid w:val="05B19490"/>
    <w:rsid w:val="05D74540"/>
    <w:rsid w:val="0621B8F8"/>
    <w:rsid w:val="064EE55C"/>
    <w:rsid w:val="067F6391"/>
    <w:rsid w:val="0680B52F"/>
    <w:rsid w:val="06A4C240"/>
    <w:rsid w:val="06AF0EAB"/>
    <w:rsid w:val="06D319B0"/>
    <w:rsid w:val="0702AC58"/>
    <w:rsid w:val="070B74D7"/>
    <w:rsid w:val="070FCE38"/>
    <w:rsid w:val="0741E100"/>
    <w:rsid w:val="07507949"/>
    <w:rsid w:val="077EEF04"/>
    <w:rsid w:val="0795F910"/>
    <w:rsid w:val="07CB2026"/>
    <w:rsid w:val="07EBF471"/>
    <w:rsid w:val="081F2DCD"/>
    <w:rsid w:val="08250D5D"/>
    <w:rsid w:val="085C862A"/>
    <w:rsid w:val="085C9340"/>
    <w:rsid w:val="0879080E"/>
    <w:rsid w:val="08912970"/>
    <w:rsid w:val="0894F848"/>
    <w:rsid w:val="08BF0DF2"/>
    <w:rsid w:val="08C88C46"/>
    <w:rsid w:val="0909C28A"/>
    <w:rsid w:val="092B4728"/>
    <w:rsid w:val="092BA95D"/>
    <w:rsid w:val="094CA87A"/>
    <w:rsid w:val="0962AAA2"/>
    <w:rsid w:val="09A5C1B0"/>
    <w:rsid w:val="09B7A4B5"/>
    <w:rsid w:val="09C7DA29"/>
    <w:rsid w:val="09DC5289"/>
    <w:rsid w:val="09E7E8F5"/>
    <w:rsid w:val="0A208263"/>
    <w:rsid w:val="0A607746"/>
    <w:rsid w:val="0A863D24"/>
    <w:rsid w:val="0A86DE35"/>
    <w:rsid w:val="0A8C8933"/>
    <w:rsid w:val="0AB7CB2D"/>
    <w:rsid w:val="0AD85782"/>
    <w:rsid w:val="0AD995C8"/>
    <w:rsid w:val="0B0DABE5"/>
    <w:rsid w:val="0B141FC8"/>
    <w:rsid w:val="0B16C836"/>
    <w:rsid w:val="0B362BA2"/>
    <w:rsid w:val="0B6408D9"/>
    <w:rsid w:val="0B65298C"/>
    <w:rsid w:val="0B7191CF"/>
    <w:rsid w:val="0B843050"/>
    <w:rsid w:val="0B857D9C"/>
    <w:rsid w:val="0BC96596"/>
    <w:rsid w:val="0BE1F829"/>
    <w:rsid w:val="0BF78204"/>
    <w:rsid w:val="0BFFB475"/>
    <w:rsid w:val="0C1AD4AF"/>
    <w:rsid w:val="0C3C4472"/>
    <w:rsid w:val="0C48CF87"/>
    <w:rsid w:val="0C56BD37"/>
    <w:rsid w:val="0C7C6B82"/>
    <w:rsid w:val="0CA98D29"/>
    <w:rsid w:val="0CAF7E89"/>
    <w:rsid w:val="0CB67BEE"/>
    <w:rsid w:val="0CC15987"/>
    <w:rsid w:val="0CDF7F0D"/>
    <w:rsid w:val="0CE41A7F"/>
    <w:rsid w:val="0CEA11C7"/>
    <w:rsid w:val="0CFDDAE3"/>
    <w:rsid w:val="0D6CC5B2"/>
    <w:rsid w:val="0DA299E4"/>
    <w:rsid w:val="0DA65B8A"/>
    <w:rsid w:val="0DC6D763"/>
    <w:rsid w:val="0DD6666E"/>
    <w:rsid w:val="0DD9E794"/>
    <w:rsid w:val="0DDED849"/>
    <w:rsid w:val="0DE74BE6"/>
    <w:rsid w:val="0E043A2C"/>
    <w:rsid w:val="0E16C0D5"/>
    <w:rsid w:val="0E5D78A7"/>
    <w:rsid w:val="0E7E2054"/>
    <w:rsid w:val="0E9DC074"/>
    <w:rsid w:val="0EAE3264"/>
    <w:rsid w:val="0EB0241D"/>
    <w:rsid w:val="0EB4B305"/>
    <w:rsid w:val="0EC20861"/>
    <w:rsid w:val="0EC5A8E3"/>
    <w:rsid w:val="0ED86034"/>
    <w:rsid w:val="0F0D1447"/>
    <w:rsid w:val="0F163425"/>
    <w:rsid w:val="0F22AB0A"/>
    <w:rsid w:val="0F86B2A0"/>
    <w:rsid w:val="0FB6E5DB"/>
    <w:rsid w:val="0FDC0CF0"/>
    <w:rsid w:val="0FEC97E1"/>
    <w:rsid w:val="1003D6C7"/>
    <w:rsid w:val="1025F5A8"/>
    <w:rsid w:val="103FB635"/>
    <w:rsid w:val="1081834D"/>
    <w:rsid w:val="10A3F519"/>
    <w:rsid w:val="10BE7B6B"/>
    <w:rsid w:val="10C43287"/>
    <w:rsid w:val="10EE4F9E"/>
    <w:rsid w:val="11210847"/>
    <w:rsid w:val="112851A9"/>
    <w:rsid w:val="1144DD81"/>
    <w:rsid w:val="11657058"/>
    <w:rsid w:val="11680F6F"/>
    <w:rsid w:val="11784FEB"/>
    <w:rsid w:val="1197B4C5"/>
    <w:rsid w:val="1199F0BF"/>
    <w:rsid w:val="11A4FE12"/>
    <w:rsid w:val="11C7EBA9"/>
    <w:rsid w:val="11DD52DD"/>
    <w:rsid w:val="11E59464"/>
    <w:rsid w:val="1214A538"/>
    <w:rsid w:val="12428E62"/>
    <w:rsid w:val="128FB8CE"/>
    <w:rsid w:val="12B59F40"/>
    <w:rsid w:val="12B5D92B"/>
    <w:rsid w:val="12E301E6"/>
    <w:rsid w:val="1315F14C"/>
    <w:rsid w:val="131B6733"/>
    <w:rsid w:val="131CD83E"/>
    <w:rsid w:val="132534C2"/>
    <w:rsid w:val="1339F6A0"/>
    <w:rsid w:val="1377C4FD"/>
    <w:rsid w:val="138812DF"/>
    <w:rsid w:val="13A0FE4D"/>
    <w:rsid w:val="13CF6F80"/>
    <w:rsid w:val="13FBD349"/>
    <w:rsid w:val="142FE468"/>
    <w:rsid w:val="1444238D"/>
    <w:rsid w:val="149139AC"/>
    <w:rsid w:val="14E351D7"/>
    <w:rsid w:val="14ECAE81"/>
    <w:rsid w:val="14F13ED3"/>
    <w:rsid w:val="158EE448"/>
    <w:rsid w:val="160F8443"/>
    <w:rsid w:val="163AA216"/>
    <w:rsid w:val="1642D17B"/>
    <w:rsid w:val="16482BA5"/>
    <w:rsid w:val="16616863"/>
    <w:rsid w:val="1665C752"/>
    <w:rsid w:val="166C6C26"/>
    <w:rsid w:val="168BEB8A"/>
    <w:rsid w:val="16C59106"/>
    <w:rsid w:val="16DEE0C7"/>
    <w:rsid w:val="16E3A771"/>
    <w:rsid w:val="16F6E0DC"/>
    <w:rsid w:val="17195D99"/>
    <w:rsid w:val="1733740B"/>
    <w:rsid w:val="173713A0"/>
    <w:rsid w:val="1739C63C"/>
    <w:rsid w:val="17785CC9"/>
    <w:rsid w:val="17A389D9"/>
    <w:rsid w:val="17CE92B5"/>
    <w:rsid w:val="17EAB3E4"/>
    <w:rsid w:val="180A35E7"/>
    <w:rsid w:val="1814C18E"/>
    <w:rsid w:val="1838667D"/>
    <w:rsid w:val="1887258E"/>
    <w:rsid w:val="18A42235"/>
    <w:rsid w:val="18A6C03C"/>
    <w:rsid w:val="18BA4D3F"/>
    <w:rsid w:val="18CF446C"/>
    <w:rsid w:val="18D2B473"/>
    <w:rsid w:val="18F01301"/>
    <w:rsid w:val="18F8E297"/>
    <w:rsid w:val="1961EAEA"/>
    <w:rsid w:val="1A2BB75B"/>
    <w:rsid w:val="1A33372E"/>
    <w:rsid w:val="1A733EB8"/>
    <w:rsid w:val="1A7D3CC8"/>
    <w:rsid w:val="1A87B8FB"/>
    <w:rsid w:val="1AAF5127"/>
    <w:rsid w:val="1ABD7EC6"/>
    <w:rsid w:val="1B0D41AA"/>
    <w:rsid w:val="1B118DFC"/>
    <w:rsid w:val="1B22CD43"/>
    <w:rsid w:val="1B27C994"/>
    <w:rsid w:val="1B2FD5E7"/>
    <w:rsid w:val="1B31CD6D"/>
    <w:rsid w:val="1B3C6ADA"/>
    <w:rsid w:val="1B86E638"/>
    <w:rsid w:val="1B888CAA"/>
    <w:rsid w:val="1B980A48"/>
    <w:rsid w:val="1BA59E7C"/>
    <w:rsid w:val="1BDF6794"/>
    <w:rsid w:val="1C40D773"/>
    <w:rsid w:val="1C5A64EE"/>
    <w:rsid w:val="1C68AA71"/>
    <w:rsid w:val="1CAF17A0"/>
    <w:rsid w:val="1CB85419"/>
    <w:rsid w:val="1CBEA062"/>
    <w:rsid w:val="1D1DD39B"/>
    <w:rsid w:val="1D1F0B3D"/>
    <w:rsid w:val="1D2C5658"/>
    <w:rsid w:val="1D5623CE"/>
    <w:rsid w:val="1D7E7338"/>
    <w:rsid w:val="1D7EB8E6"/>
    <w:rsid w:val="1D7EE6C1"/>
    <w:rsid w:val="1DA6391C"/>
    <w:rsid w:val="1DC63CC6"/>
    <w:rsid w:val="1DE83E79"/>
    <w:rsid w:val="1E05D9C6"/>
    <w:rsid w:val="1E0F59CD"/>
    <w:rsid w:val="1E27533A"/>
    <w:rsid w:val="1E3E8F6F"/>
    <w:rsid w:val="1E738B69"/>
    <w:rsid w:val="1E8F099C"/>
    <w:rsid w:val="1EAC6F09"/>
    <w:rsid w:val="1ECF96B5"/>
    <w:rsid w:val="1EEC14DA"/>
    <w:rsid w:val="1EF2BB3B"/>
    <w:rsid w:val="1EFB780C"/>
    <w:rsid w:val="1F2B442C"/>
    <w:rsid w:val="1F2C1429"/>
    <w:rsid w:val="1F3F759F"/>
    <w:rsid w:val="1F88F6CF"/>
    <w:rsid w:val="1FA2C0C7"/>
    <w:rsid w:val="1FABBF9C"/>
    <w:rsid w:val="1FE8B2A2"/>
    <w:rsid w:val="1FEA105D"/>
    <w:rsid w:val="1FFD496E"/>
    <w:rsid w:val="203DEE0E"/>
    <w:rsid w:val="20407C4B"/>
    <w:rsid w:val="205C16A9"/>
    <w:rsid w:val="206467DB"/>
    <w:rsid w:val="20689A42"/>
    <w:rsid w:val="2085537B"/>
    <w:rsid w:val="20B8C173"/>
    <w:rsid w:val="2130E016"/>
    <w:rsid w:val="21320BD9"/>
    <w:rsid w:val="21347821"/>
    <w:rsid w:val="213A57B0"/>
    <w:rsid w:val="21676116"/>
    <w:rsid w:val="216B806A"/>
    <w:rsid w:val="2195C2AC"/>
    <w:rsid w:val="21C554CD"/>
    <w:rsid w:val="21E4E28E"/>
    <w:rsid w:val="21F27C60"/>
    <w:rsid w:val="21F57701"/>
    <w:rsid w:val="21F7E70A"/>
    <w:rsid w:val="2213D6DF"/>
    <w:rsid w:val="2214AB81"/>
    <w:rsid w:val="223C6C33"/>
    <w:rsid w:val="224ECF49"/>
    <w:rsid w:val="22C015CF"/>
    <w:rsid w:val="22CAE942"/>
    <w:rsid w:val="22CBDB5E"/>
    <w:rsid w:val="22E2B315"/>
    <w:rsid w:val="22E30E9A"/>
    <w:rsid w:val="22F8FB2A"/>
    <w:rsid w:val="235B9FEA"/>
    <w:rsid w:val="23608163"/>
    <w:rsid w:val="2361252E"/>
    <w:rsid w:val="237F363F"/>
    <w:rsid w:val="23808652"/>
    <w:rsid w:val="23B69B49"/>
    <w:rsid w:val="23BBB769"/>
    <w:rsid w:val="23D9A150"/>
    <w:rsid w:val="241CF12B"/>
    <w:rsid w:val="2449D640"/>
    <w:rsid w:val="2495E681"/>
    <w:rsid w:val="24AA0192"/>
    <w:rsid w:val="24B9EF51"/>
    <w:rsid w:val="256727D4"/>
    <w:rsid w:val="25BD8437"/>
    <w:rsid w:val="25C3F3CF"/>
    <w:rsid w:val="25CA2B87"/>
    <w:rsid w:val="25F2191E"/>
    <w:rsid w:val="26153EFC"/>
    <w:rsid w:val="261A5E8D"/>
    <w:rsid w:val="2654EB46"/>
    <w:rsid w:val="26573484"/>
    <w:rsid w:val="269AB135"/>
    <w:rsid w:val="269F9F11"/>
    <w:rsid w:val="26B3462E"/>
    <w:rsid w:val="26CBA96B"/>
    <w:rsid w:val="26CFF286"/>
    <w:rsid w:val="26E537CA"/>
    <w:rsid w:val="26E5BEF8"/>
    <w:rsid w:val="26EE4293"/>
    <w:rsid w:val="2701E5D2"/>
    <w:rsid w:val="272FE0A3"/>
    <w:rsid w:val="2738E39F"/>
    <w:rsid w:val="274A393D"/>
    <w:rsid w:val="27528507"/>
    <w:rsid w:val="2760FDD7"/>
    <w:rsid w:val="27868DBC"/>
    <w:rsid w:val="27BE7170"/>
    <w:rsid w:val="28171079"/>
    <w:rsid w:val="2828639B"/>
    <w:rsid w:val="284C49AE"/>
    <w:rsid w:val="2868B485"/>
    <w:rsid w:val="28A85F10"/>
    <w:rsid w:val="28FD8539"/>
    <w:rsid w:val="291385AB"/>
    <w:rsid w:val="294864FB"/>
    <w:rsid w:val="2979FE8F"/>
    <w:rsid w:val="29825D3E"/>
    <w:rsid w:val="29B219F2"/>
    <w:rsid w:val="29D60AEB"/>
    <w:rsid w:val="29FD9BD7"/>
    <w:rsid w:val="2A809B9C"/>
    <w:rsid w:val="2A99559A"/>
    <w:rsid w:val="2AA8FD6B"/>
    <w:rsid w:val="2ACA9A13"/>
    <w:rsid w:val="2AD51A63"/>
    <w:rsid w:val="2AD5F993"/>
    <w:rsid w:val="2AEF539C"/>
    <w:rsid w:val="2AF582D8"/>
    <w:rsid w:val="2B20207C"/>
    <w:rsid w:val="2B5EEFE5"/>
    <w:rsid w:val="2B7D004A"/>
    <w:rsid w:val="2BA275E8"/>
    <w:rsid w:val="2BBFDC2E"/>
    <w:rsid w:val="2BD02DBA"/>
    <w:rsid w:val="2BFE46C4"/>
    <w:rsid w:val="2C0A991A"/>
    <w:rsid w:val="2C148425"/>
    <w:rsid w:val="2C546AC9"/>
    <w:rsid w:val="2C605F84"/>
    <w:rsid w:val="2C73273C"/>
    <w:rsid w:val="2CA3104A"/>
    <w:rsid w:val="2CCAB5AB"/>
    <w:rsid w:val="2CDC2243"/>
    <w:rsid w:val="2CDDA496"/>
    <w:rsid w:val="2CEE56DD"/>
    <w:rsid w:val="2CF60B0D"/>
    <w:rsid w:val="2CFCD097"/>
    <w:rsid w:val="2D303797"/>
    <w:rsid w:val="2D35B471"/>
    <w:rsid w:val="2D3D71FC"/>
    <w:rsid w:val="2D45FC2C"/>
    <w:rsid w:val="2D571A90"/>
    <w:rsid w:val="2D751DDB"/>
    <w:rsid w:val="2D8D6E6F"/>
    <w:rsid w:val="2D980933"/>
    <w:rsid w:val="2DD0F65C"/>
    <w:rsid w:val="2DD61C49"/>
    <w:rsid w:val="2DEFB679"/>
    <w:rsid w:val="2E0ACCB1"/>
    <w:rsid w:val="2E2473A3"/>
    <w:rsid w:val="2E7C240D"/>
    <w:rsid w:val="2E87B0C6"/>
    <w:rsid w:val="2EAE56E9"/>
    <w:rsid w:val="2EE6EF0C"/>
    <w:rsid w:val="2EF32E14"/>
    <w:rsid w:val="2F43EF11"/>
    <w:rsid w:val="2F6440CC"/>
    <w:rsid w:val="2F6DE935"/>
    <w:rsid w:val="2F744409"/>
    <w:rsid w:val="2FAC046A"/>
    <w:rsid w:val="2FB08278"/>
    <w:rsid w:val="2FB83B5E"/>
    <w:rsid w:val="2FCF2A7A"/>
    <w:rsid w:val="2FD6E7CE"/>
    <w:rsid w:val="300C2CC2"/>
    <w:rsid w:val="3028CDB2"/>
    <w:rsid w:val="302F4D74"/>
    <w:rsid w:val="307098EB"/>
    <w:rsid w:val="30A364CB"/>
    <w:rsid w:val="30ABA6C2"/>
    <w:rsid w:val="30C22F8F"/>
    <w:rsid w:val="30D46D44"/>
    <w:rsid w:val="30EAFB6C"/>
    <w:rsid w:val="30F90909"/>
    <w:rsid w:val="3101F4AB"/>
    <w:rsid w:val="31065AFB"/>
    <w:rsid w:val="310C0FE5"/>
    <w:rsid w:val="31297B87"/>
    <w:rsid w:val="313D1123"/>
    <w:rsid w:val="3143AD91"/>
    <w:rsid w:val="3152F8EA"/>
    <w:rsid w:val="315B412C"/>
    <w:rsid w:val="315F982A"/>
    <w:rsid w:val="31650BDF"/>
    <w:rsid w:val="3176816D"/>
    <w:rsid w:val="319C03AD"/>
    <w:rsid w:val="31A374FF"/>
    <w:rsid w:val="31C38ED7"/>
    <w:rsid w:val="31DD6948"/>
    <w:rsid w:val="31F5B4A6"/>
    <w:rsid w:val="3211EB06"/>
    <w:rsid w:val="32142939"/>
    <w:rsid w:val="3224DFE9"/>
    <w:rsid w:val="32255D1C"/>
    <w:rsid w:val="327B7983"/>
    <w:rsid w:val="3294D96A"/>
    <w:rsid w:val="32CFC96A"/>
    <w:rsid w:val="32F7118D"/>
    <w:rsid w:val="330F602D"/>
    <w:rsid w:val="333AD55B"/>
    <w:rsid w:val="33446EA3"/>
    <w:rsid w:val="3345E85F"/>
    <w:rsid w:val="335FD709"/>
    <w:rsid w:val="337A30BF"/>
    <w:rsid w:val="33800307"/>
    <w:rsid w:val="33A04F19"/>
    <w:rsid w:val="33A65632"/>
    <w:rsid w:val="33D40BCA"/>
    <w:rsid w:val="33DB058D"/>
    <w:rsid w:val="340BEF72"/>
    <w:rsid w:val="344FE2A5"/>
    <w:rsid w:val="345B028D"/>
    <w:rsid w:val="346B296B"/>
    <w:rsid w:val="347EBC92"/>
    <w:rsid w:val="34BABEB2"/>
    <w:rsid w:val="34CF2A21"/>
    <w:rsid w:val="34E1B8C0"/>
    <w:rsid w:val="3539BA0A"/>
    <w:rsid w:val="353A4AD1"/>
    <w:rsid w:val="353B781F"/>
    <w:rsid w:val="3544CF0C"/>
    <w:rsid w:val="3567F305"/>
    <w:rsid w:val="35700E2A"/>
    <w:rsid w:val="357EDA95"/>
    <w:rsid w:val="35877422"/>
    <w:rsid w:val="35BDBF85"/>
    <w:rsid w:val="35CC7A2C"/>
    <w:rsid w:val="35CCFA4A"/>
    <w:rsid w:val="363833F0"/>
    <w:rsid w:val="363C9C0F"/>
    <w:rsid w:val="364982FE"/>
    <w:rsid w:val="364C14BE"/>
    <w:rsid w:val="3652B32D"/>
    <w:rsid w:val="368CCB90"/>
    <w:rsid w:val="36C64D87"/>
    <w:rsid w:val="36CD5FAE"/>
    <w:rsid w:val="36D0AEE1"/>
    <w:rsid w:val="36E5021C"/>
    <w:rsid w:val="36EB6C53"/>
    <w:rsid w:val="36F4BF68"/>
    <w:rsid w:val="37103C02"/>
    <w:rsid w:val="372752A7"/>
    <w:rsid w:val="37684A8D"/>
    <w:rsid w:val="3777FAEC"/>
    <w:rsid w:val="37883BCD"/>
    <w:rsid w:val="379F2C78"/>
    <w:rsid w:val="37AE3076"/>
    <w:rsid w:val="37B3DABA"/>
    <w:rsid w:val="37CBE3FC"/>
    <w:rsid w:val="38045A6A"/>
    <w:rsid w:val="3829FEBC"/>
    <w:rsid w:val="38953AED"/>
    <w:rsid w:val="389F65DE"/>
    <w:rsid w:val="38AFF10F"/>
    <w:rsid w:val="39022D48"/>
    <w:rsid w:val="391A6AED"/>
    <w:rsid w:val="391AAAB6"/>
    <w:rsid w:val="395E4589"/>
    <w:rsid w:val="3A062294"/>
    <w:rsid w:val="3A0E05C3"/>
    <w:rsid w:val="3A12865D"/>
    <w:rsid w:val="3A1850A8"/>
    <w:rsid w:val="3A24DAD8"/>
    <w:rsid w:val="3A3A616D"/>
    <w:rsid w:val="3A6F2394"/>
    <w:rsid w:val="3A6F77BB"/>
    <w:rsid w:val="3A76171B"/>
    <w:rsid w:val="3A783586"/>
    <w:rsid w:val="3A8C05A9"/>
    <w:rsid w:val="3AA58CDD"/>
    <w:rsid w:val="3AAF0289"/>
    <w:rsid w:val="3AF3B645"/>
    <w:rsid w:val="3B0246AC"/>
    <w:rsid w:val="3B0384BE"/>
    <w:rsid w:val="3B3152DA"/>
    <w:rsid w:val="3BAFB108"/>
    <w:rsid w:val="3BBEDD76"/>
    <w:rsid w:val="3BC7DD02"/>
    <w:rsid w:val="3BFCF97A"/>
    <w:rsid w:val="3BFF98E3"/>
    <w:rsid w:val="3C4B9109"/>
    <w:rsid w:val="3C4F6EA0"/>
    <w:rsid w:val="3CB1BC95"/>
    <w:rsid w:val="3CC42DD9"/>
    <w:rsid w:val="3CD40A1A"/>
    <w:rsid w:val="3CD888BD"/>
    <w:rsid w:val="3CE61C34"/>
    <w:rsid w:val="3CF910B7"/>
    <w:rsid w:val="3D07B774"/>
    <w:rsid w:val="3D265F58"/>
    <w:rsid w:val="3D286328"/>
    <w:rsid w:val="3D2CFCD2"/>
    <w:rsid w:val="3D605283"/>
    <w:rsid w:val="3D6A4BB0"/>
    <w:rsid w:val="3D83AB53"/>
    <w:rsid w:val="3D85AEB6"/>
    <w:rsid w:val="3D8C4978"/>
    <w:rsid w:val="3E101B99"/>
    <w:rsid w:val="3E121348"/>
    <w:rsid w:val="3E34A1E4"/>
    <w:rsid w:val="3EB63F67"/>
    <w:rsid w:val="3ED79DAD"/>
    <w:rsid w:val="3EDF74AF"/>
    <w:rsid w:val="3EE751CA"/>
    <w:rsid w:val="3F218095"/>
    <w:rsid w:val="3F27BFCA"/>
    <w:rsid w:val="3F518FF7"/>
    <w:rsid w:val="3F677A5D"/>
    <w:rsid w:val="3F76B719"/>
    <w:rsid w:val="3FA26077"/>
    <w:rsid w:val="3FDEAF47"/>
    <w:rsid w:val="3FED0306"/>
    <w:rsid w:val="400E454C"/>
    <w:rsid w:val="406A829F"/>
    <w:rsid w:val="406F9332"/>
    <w:rsid w:val="4081559C"/>
    <w:rsid w:val="40824798"/>
    <w:rsid w:val="4083222B"/>
    <w:rsid w:val="40979DC4"/>
    <w:rsid w:val="40BCE61A"/>
    <w:rsid w:val="40CE78C7"/>
    <w:rsid w:val="40E4C66E"/>
    <w:rsid w:val="40FA2838"/>
    <w:rsid w:val="41001BF7"/>
    <w:rsid w:val="4107EE8F"/>
    <w:rsid w:val="4112376C"/>
    <w:rsid w:val="41202CF3"/>
    <w:rsid w:val="412DA9E8"/>
    <w:rsid w:val="413E9BB5"/>
    <w:rsid w:val="415F7E86"/>
    <w:rsid w:val="418304FA"/>
    <w:rsid w:val="418AB303"/>
    <w:rsid w:val="41916358"/>
    <w:rsid w:val="41920DEF"/>
    <w:rsid w:val="41B28236"/>
    <w:rsid w:val="41BBAD51"/>
    <w:rsid w:val="41C37504"/>
    <w:rsid w:val="41E9C769"/>
    <w:rsid w:val="4211F4EF"/>
    <w:rsid w:val="4212D569"/>
    <w:rsid w:val="421D25FD"/>
    <w:rsid w:val="422E2517"/>
    <w:rsid w:val="4235CCD7"/>
    <w:rsid w:val="4237F77B"/>
    <w:rsid w:val="4248B003"/>
    <w:rsid w:val="42758F18"/>
    <w:rsid w:val="429E716E"/>
    <w:rsid w:val="42A0A7A6"/>
    <w:rsid w:val="42A7FD44"/>
    <w:rsid w:val="42AFA89D"/>
    <w:rsid w:val="42DF5CE9"/>
    <w:rsid w:val="42EE6BE3"/>
    <w:rsid w:val="43124CCF"/>
    <w:rsid w:val="43132A6D"/>
    <w:rsid w:val="43342139"/>
    <w:rsid w:val="4370ED39"/>
    <w:rsid w:val="43728EA5"/>
    <w:rsid w:val="43C47167"/>
    <w:rsid w:val="43C4918B"/>
    <w:rsid w:val="442FD02E"/>
    <w:rsid w:val="443CF06C"/>
    <w:rsid w:val="4449DAB6"/>
    <w:rsid w:val="444ACEEB"/>
    <w:rsid w:val="4454E5AF"/>
    <w:rsid w:val="44804B10"/>
    <w:rsid w:val="4481272D"/>
    <w:rsid w:val="44D03B64"/>
    <w:rsid w:val="44D364E6"/>
    <w:rsid w:val="44D7F692"/>
    <w:rsid w:val="44F18493"/>
    <w:rsid w:val="44F58250"/>
    <w:rsid w:val="4516630B"/>
    <w:rsid w:val="452EEE8A"/>
    <w:rsid w:val="453E3411"/>
    <w:rsid w:val="456B2E19"/>
    <w:rsid w:val="457296E1"/>
    <w:rsid w:val="4582EAC7"/>
    <w:rsid w:val="45C8ED2F"/>
    <w:rsid w:val="460E4878"/>
    <w:rsid w:val="462F9411"/>
    <w:rsid w:val="463081B9"/>
    <w:rsid w:val="466F2C30"/>
    <w:rsid w:val="469A431E"/>
    <w:rsid w:val="46A4C896"/>
    <w:rsid w:val="46C198B9"/>
    <w:rsid w:val="46EF06AE"/>
    <w:rsid w:val="46F220CF"/>
    <w:rsid w:val="4702367A"/>
    <w:rsid w:val="47293B62"/>
    <w:rsid w:val="47472799"/>
    <w:rsid w:val="476F0CAF"/>
    <w:rsid w:val="47B911FA"/>
    <w:rsid w:val="47BD1FE7"/>
    <w:rsid w:val="47BF3666"/>
    <w:rsid w:val="47F18DAB"/>
    <w:rsid w:val="47F9E149"/>
    <w:rsid w:val="48076C34"/>
    <w:rsid w:val="480E8B3E"/>
    <w:rsid w:val="480F9754"/>
    <w:rsid w:val="48608F27"/>
    <w:rsid w:val="48893E73"/>
    <w:rsid w:val="48961C69"/>
    <w:rsid w:val="48AF9F41"/>
    <w:rsid w:val="48D38095"/>
    <w:rsid w:val="48D6C6C5"/>
    <w:rsid w:val="48EA0BE8"/>
    <w:rsid w:val="49A1C6D0"/>
    <w:rsid w:val="49E8C7AF"/>
    <w:rsid w:val="49FC499F"/>
    <w:rsid w:val="4A24BA90"/>
    <w:rsid w:val="4A29C456"/>
    <w:rsid w:val="4A4135FE"/>
    <w:rsid w:val="4A449CBA"/>
    <w:rsid w:val="4A4CF3CC"/>
    <w:rsid w:val="4A534343"/>
    <w:rsid w:val="4A5B62A9"/>
    <w:rsid w:val="4A7EF8E9"/>
    <w:rsid w:val="4ABD1EF6"/>
    <w:rsid w:val="4AC4C0DB"/>
    <w:rsid w:val="4AE5B67A"/>
    <w:rsid w:val="4B088B31"/>
    <w:rsid w:val="4B199614"/>
    <w:rsid w:val="4B318377"/>
    <w:rsid w:val="4B34109A"/>
    <w:rsid w:val="4B94F68F"/>
    <w:rsid w:val="4C7AB761"/>
    <w:rsid w:val="4CB3BCE1"/>
    <w:rsid w:val="4D117298"/>
    <w:rsid w:val="4D281804"/>
    <w:rsid w:val="4D2D9345"/>
    <w:rsid w:val="4D4B3FB9"/>
    <w:rsid w:val="4D5260A2"/>
    <w:rsid w:val="4D643070"/>
    <w:rsid w:val="4D6576BA"/>
    <w:rsid w:val="4D8EB233"/>
    <w:rsid w:val="4DB07653"/>
    <w:rsid w:val="4DDFF39D"/>
    <w:rsid w:val="4DE41FD8"/>
    <w:rsid w:val="4E148AEF"/>
    <w:rsid w:val="4E2B31DF"/>
    <w:rsid w:val="4E5F1B96"/>
    <w:rsid w:val="4EC57B58"/>
    <w:rsid w:val="4F0000D1"/>
    <w:rsid w:val="4F29FA53"/>
    <w:rsid w:val="4F2A8294"/>
    <w:rsid w:val="4F455756"/>
    <w:rsid w:val="4F4B9BE6"/>
    <w:rsid w:val="4F8586DF"/>
    <w:rsid w:val="4F879FB6"/>
    <w:rsid w:val="4FAF9194"/>
    <w:rsid w:val="4FBAF6B7"/>
    <w:rsid w:val="4FD6D32D"/>
    <w:rsid w:val="4FD93B22"/>
    <w:rsid w:val="500D2548"/>
    <w:rsid w:val="500E75EC"/>
    <w:rsid w:val="503C5BB9"/>
    <w:rsid w:val="5070B1D3"/>
    <w:rsid w:val="507C667C"/>
    <w:rsid w:val="50821BB8"/>
    <w:rsid w:val="508B50F4"/>
    <w:rsid w:val="508C2150"/>
    <w:rsid w:val="50B4D5CF"/>
    <w:rsid w:val="50B56F22"/>
    <w:rsid w:val="50BA44FC"/>
    <w:rsid w:val="50FC6732"/>
    <w:rsid w:val="515ABA1C"/>
    <w:rsid w:val="5165CDAB"/>
    <w:rsid w:val="516EE926"/>
    <w:rsid w:val="518CB03F"/>
    <w:rsid w:val="51A5A38E"/>
    <w:rsid w:val="51AA464D"/>
    <w:rsid w:val="51DFAAD0"/>
    <w:rsid w:val="51F214A5"/>
    <w:rsid w:val="51F4B2BC"/>
    <w:rsid w:val="5204D8C9"/>
    <w:rsid w:val="524CE311"/>
    <w:rsid w:val="524CF6E6"/>
    <w:rsid w:val="526384A2"/>
    <w:rsid w:val="526BB358"/>
    <w:rsid w:val="5285F9FC"/>
    <w:rsid w:val="52C86BB2"/>
    <w:rsid w:val="52EA4847"/>
    <w:rsid w:val="52ECE35E"/>
    <w:rsid w:val="52EFEC80"/>
    <w:rsid w:val="53A5C551"/>
    <w:rsid w:val="53EE24C4"/>
    <w:rsid w:val="53EE960D"/>
    <w:rsid w:val="540C5C89"/>
    <w:rsid w:val="54112233"/>
    <w:rsid w:val="5414A5DD"/>
    <w:rsid w:val="54466E83"/>
    <w:rsid w:val="546FF21E"/>
    <w:rsid w:val="54875D04"/>
    <w:rsid w:val="5495043D"/>
    <w:rsid w:val="54A689E8"/>
    <w:rsid w:val="54C742AF"/>
    <w:rsid w:val="54D71D5D"/>
    <w:rsid w:val="55164C5A"/>
    <w:rsid w:val="5527C5E9"/>
    <w:rsid w:val="55584E3E"/>
    <w:rsid w:val="558D08D1"/>
    <w:rsid w:val="558F5432"/>
    <w:rsid w:val="55913D90"/>
    <w:rsid w:val="55991F7D"/>
    <w:rsid w:val="55A8344B"/>
    <w:rsid w:val="55B7876A"/>
    <w:rsid w:val="55BF4836"/>
    <w:rsid w:val="55C70AEA"/>
    <w:rsid w:val="55DEE2CB"/>
    <w:rsid w:val="5623D44E"/>
    <w:rsid w:val="56469849"/>
    <w:rsid w:val="56567E1C"/>
    <w:rsid w:val="566C021B"/>
    <w:rsid w:val="56728668"/>
    <w:rsid w:val="568BBC03"/>
    <w:rsid w:val="56A91261"/>
    <w:rsid w:val="56D3DE13"/>
    <w:rsid w:val="57036C7E"/>
    <w:rsid w:val="57218330"/>
    <w:rsid w:val="572D0DF1"/>
    <w:rsid w:val="577AB32C"/>
    <w:rsid w:val="57ACE8B7"/>
    <w:rsid w:val="57F24E7D"/>
    <w:rsid w:val="57F4D33D"/>
    <w:rsid w:val="57FF7C5C"/>
    <w:rsid w:val="582F82FF"/>
    <w:rsid w:val="587B0BB0"/>
    <w:rsid w:val="58AB94D6"/>
    <w:rsid w:val="58F9D916"/>
    <w:rsid w:val="59102862"/>
    <w:rsid w:val="5916838D"/>
    <w:rsid w:val="593EEEDD"/>
    <w:rsid w:val="59666E84"/>
    <w:rsid w:val="5976E6F7"/>
    <w:rsid w:val="597FEF58"/>
    <w:rsid w:val="59A8AFE7"/>
    <w:rsid w:val="59B3F122"/>
    <w:rsid w:val="59FF1730"/>
    <w:rsid w:val="5A0C7AF4"/>
    <w:rsid w:val="5A1EDF57"/>
    <w:rsid w:val="5A3B2270"/>
    <w:rsid w:val="5A87FD5C"/>
    <w:rsid w:val="5A96CDB6"/>
    <w:rsid w:val="5AA1A796"/>
    <w:rsid w:val="5AD1385E"/>
    <w:rsid w:val="5AD74B5F"/>
    <w:rsid w:val="5ADA5E58"/>
    <w:rsid w:val="5AEEF038"/>
    <w:rsid w:val="5B066780"/>
    <w:rsid w:val="5B092845"/>
    <w:rsid w:val="5B228E1F"/>
    <w:rsid w:val="5B29A133"/>
    <w:rsid w:val="5B2E9D0F"/>
    <w:rsid w:val="5B31A7EA"/>
    <w:rsid w:val="5B875391"/>
    <w:rsid w:val="5B9743FC"/>
    <w:rsid w:val="5BE8A206"/>
    <w:rsid w:val="5BEB8F88"/>
    <w:rsid w:val="5BEEEBDD"/>
    <w:rsid w:val="5BFAED0D"/>
    <w:rsid w:val="5C0A10C2"/>
    <w:rsid w:val="5C2A76E1"/>
    <w:rsid w:val="5C337B4C"/>
    <w:rsid w:val="5C3ED2CB"/>
    <w:rsid w:val="5C41D5E8"/>
    <w:rsid w:val="5C4DCECE"/>
    <w:rsid w:val="5C864880"/>
    <w:rsid w:val="5CC10DC9"/>
    <w:rsid w:val="5CCED085"/>
    <w:rsid w:val="5CCFE94E"/>
    <w:rsid w:val="5CDAA005"/>
    <w:rsid w:val="5CDECCAE"/>
    <w:rsid w:val="5D0BC7CF"/>
    <w:rsid w:val="5D298E30"/>
    <w:rsid w:val="5D2D87D8"/>
    <w:rsid w:val="5D3BF1B7"/>
    <w:rsid w:val="5D475041"/>
    <w:rsid w:val="5D5489CF"/>
    <w:rsid w:val="5D68314E"/>
    <w:rsid w:val="5D8D8095"/>
    <w:rsid w:val="5DA5BF9F"/>
    <w:rsid w:val="5DA8A31F"/>
    <w:rsid w:val="5DDEB328"/>
    <w:rsid w:val="5E16D733"/>
    <w:rsid w:val="5E1D3870"/>
    <w:rsid w:val="5E339BBA"/>
    <w:rsid w:val="5E3CEB7E"/>
    <w:rsid w:val="5E530D2D"/>
    <w:rsid w:val="5E70AAA7"/>
    <w:rsid w:val="5E70D404"/>
    <w:rsid w:val="5E972C77"/>
    <w:rsid w:val="5EB4003A"/>
    <w:rsid w:val="5EBBC2A7"/>
    <w:rsid w:val="5ECC6D3D"/>
    <w:rsid w:val="5ED11C00"/>
    <w:rsid w:val="5F0091F8"/>
    <w:rsid w:val="5F0E5D46"/>
    <w:rsid w:val="5F2C18E5"/>
    <w:rsid w:val="5F2E6407"/>
    <w:rsid w:val="5F73571E"/>
    <w:rsid w:val="5F78211C"/>
    <w:rsid w:val="5F80EE41"/>
    <w:rsid w:val="5F8EEB7C"/>
    <w:rsid w:val="5FA28DC1"/>
    <w:rsid w:val="5FA47C5D"/>
    <w:rsid w:val="5FDDE6DE"/>
    <w:rsid w:val="5FDEC82F"/>
    <w:rsid w:val="602EFF60"/>
    <w:rsid w:val="604ACD7C"/>
    <w:rsid w:val="606C3813"/>
    <w:rsid w:val="6087175A"/>
    <w:rsid w:val="608C2A91"/>
    <w:rsid w:val="60933C6B"/>
    <w:rsid w:val="60AD35D4"/>
    <w:rsid w:val="60C298B3"/>
    <w:rsid w:val="60CB0692"/>
    <w:rsid w:val="60D0B616"/>
    <w:rsid w:val="60E7DCD6"/>
    <w:rsid w:val="614CB1F0"/>
    <w:rsid w:val="61577104"/>
    <w:rsid w:val="61879846"/>
    <w:rsid w:val="6194F509"/>
    <w:rsid w:val="61A9C44B"/>
    <w:rsid w:val="61AC0E1A"/>
    <w:rsid w:val="61B2C737"/>
    <w:rsid w:val="61B3C2D5"/>
    <w:rsid w:val="61CBB6E8"/>
    <w:rsid w:val="61EC9B60"/>
    <w:rsid w:val="61FB6522"/>
    <w:rsid w:val="6231F036"/>
    <w:rsid w:val="62561070"/>
    <w:rsid w:val="6258271C"/>
    <w:rsid w:val="625DB70B"/>
    <w:rsid w:val="626BBBF7"/>
    <w:rsid w:val="626CC845"/>
    <w:rsid w:val="626D83ED"/>
    <w:rsid w:val="62862D62"/>
    <w:rsid w:val="62909FD1"/>
    <w:rsid w:val="62E196F4"/>
    <w:rsid w:val="631DED54"/>
    <w:rsid w:val="63258260"/>
    <w:rsid w:val="63330AFF"/>
    <w:rsid w:val="63575A3A"/>
    <w:rsid w:val="635D127F"/>
    <w:rsid w:val="63725888"/>
    <w:rsid w:val="63923508"/>
    <w:rsid w:val="63B8E688"/>
    <w:rsid w:val="63CB2CBF"/>
    <w:rsid w:val="63D260A7"/>
    <w:rsid w:val="63FA7F30"/>
    <w:rsid w:val="6404FFC6"/>
    <w:rsid w:val="640C0D05"/>
    <w:rsid w:val="64308616"/>
    <w:rsid w:val="644D5D34"/>
    <w:rsid w:val="6483322A"/>
    <w:rsid w:val="64A82FBE"/>
    <w:rsid w:val="64F1BAC1"/>
    <w:rsid w:val="652212BB"/>
    <w:rsid w:val="6553AF9F"/>
    <w:rsid w:val="6554D2E3"/>
    <w:rsid w:val="65638B67"/>
    <w:rsid w:val="657CAC16"/>
    <w:rsid w:val="65A877BE"/>
    <w:rsid w:val="65BB3386"/>
    <w:rsid w:val="65C0F722"/>
    <w:rsid w:val="65EF7DDF"/>
    <w:rsid w:val="65FB7AAF"/>
    <w:rsid w:val="66271473"/>
    <w:rsid w:val="66447D4B"/>
    <w:rsid w:val="6644FACC"/>
    <w:rsid w:val="6651D918"/>
    <w:rsid w:val="666C8CCA"/>
    <w:rsid w:val="66737E0B"/>
    <w:rsid w:val="66790552"/>
    <w:rsid w:val="668DB66D"/>
    <w:rsid w:val="668ED3B0"/>
    <w:rsid w:val="668FF416"/>
    <w:rsid w:val="66C9E4DB"/>
    <w:rsid w:val="66FA7A9E"/>
    <w:rsid w:val="67091929"/>
    <w:rsid w:val="672B8644"/>
    <w:rsid w:val="67371A69"/>
    <w:rsid w:val="6742C58C"/>
    <w:rsid w:val="678D5101"/>
    <w:rsid w:val="67C22D10"/>
    <w:rsid w:val="67C73E38"/>
    <w:rsid w:val="67EC9E57"/>
    <w:rsid w:val="67F6AA97"/>
    <w:rsid w:val="680F65FB"/>
    <w:rsid w:val="681C9A16"/>
    <w:rsid w:val="682CF9A6"/>
    <w:rsid w:val="68610872"/>
    <w:rsid w:val="68779443"/>
    <w:rsid w:val="68797A17"/>
    <w:rsid w:val="68917CDE"/>
    <w:rsid w:val="68A33E22"/>
    <w:rsid w:val="68CA7BC0"/>
    <w:rsid w:val="68CEE90A"/>
    <w:rsid w:val="68D13FB1"/>
    <w:rsid w:val="69287DBA"/>
    <w:rsid w:val="692C996C"/>
    <w:rsid w:val="696FC50F"/>
    <w:rsid w:val="698C4E59"/>
    <w:rsid w:val="69A04EF8"/>
    <w:rsid w:val="69B67448"/>
    <w:rsid w:val="69FA2245"/>
    <w:rsid w:val="6A01859D"/>
    <w:rsid w:val="6A1364A4"/>
    <w:rsid w:val="6A254EE8"/>
    <w:rsid w:val="6A3F1612"/>
    <w:rsid w:val="6A458FF1"/>
    <w:rsid w:val="6A635A83"/>
    <w:rsid w:val="6A6DEA68"/>
    <w:rsid w:val="6A7054E8"/>
    <w:rsid w:val="6A96B78D"/>
    <w:rsid w:val="6AD7E33D"/>
    <w:rsid w:val="6AD7F034"/>
    <w:rsid w:val="6AE1FAD7"/>
    <w:rsid w:val="6B53ABEC"/>
    <w:rsid w:val="6B76729F"/>
    <w:rsid w:val="6B8A1851"/>
    <w:rsid w:val="6B9D55FE"/>
    <w:rsid w:val="6BA0A79B"/>
    <w:rsid w:val="6BD782C2"/>
    <w:rsid w:val="6BF09047"/>
    <w:rsid w:val="6C0689CC"/>
    <w:rsid w:val="6C11DE5E"/>
    <w:rsid w:val="6C2BE72F"/>
    <w:rsid w:val="6C2F23EA"/>
    <w:rsid w:val="6CC2A02B"/>
    <w:rsid w:val="6CDD7E98"/>
    <w:rsid w:val="6CEFBEE3"/>
    <w:rsid w:val="6CF90254"/>
    <w:rsid w:val="6D097A19"/>
    <w:rsid w:val="6D561C6B"/>
    <w:rsid w:val="6D80072A"/>
    <w:rsid w:val="6D81FC94"/>
    <w:rsid w:val="6DA176AE"/>
    <w:rsid w:val="6DAFD1ED"/>
    <w:rsid w:val="6DD74022"/>
    <w:rsid w:val="6E01DD7F"/>
    <w:rsid w:val="6E0387A9"/>
    <w:rsid w:val="6E08C730"/>
    <w:rsid w:val="6E11585B"/>
    <w:rsid w:val="6E1EB0CB"/>
    <w:rsid w:val="6E25E2D8"/>
    <w:rsid w:val="6E373D11"/>
    <w:rsid w:val="6E3AA858"/>
    <w:rsid w:val="6E8B0A18"/>
    <w:rsid w:val="6E9297D3"/>
    <w:rsid w:val="6E9CB605"/>
    <w:rsid w:val="6ED26FC0"/>
    <w:rsid w:val="6F141608"/>
    <w:rsid w:val="6F58D315"/>
    <w:rsid w:val="6F6A2B28"/>
    <w:rsid w:val="6F872BEA"/>
    <w:rsid w:val="6F87C3AB"/>
    <w:rsid w:val="6FC28783"/>
    <w:rsid w:val="6FD6E378"/>
    <w:rsid w:val="6FED2362"/>
    <w:rsid w:val="70091485"/>
    <w:rsid w:val="7045C4A0"/>
    <w:rsid w:val="705C17A4"/>
    <w:rsid w:val="705D1EFB"/>
    <w:rsid w:val="7070F830"/>
    <w:rsid w:val="707307A0"/>
    <w:rsid w:val="70735BEF"/>
    <w:rsid w:val="7092A6B9"/>
    <w:rsid w:val="7098EF4C"/>
    <w:rsid w:val="70BD0257"/>
    <w:rsid w:val="70CA5D7E"/>
    <w:rsid w:val="70CD88E5"/>
    <w:rsid w:val="70CE948E"/>
    <w:rsid w:val="70DA4242"/>
    <w:rsid w:val="70E7E5AB"/>
    <w:rsid w:val="7136BD42"/>
    <w:rsid w:val="714D6A17"/>
    <w:rsid w:val="7172491A"/>
    <w:rsid w:val="7172EA82"/>
    <w:rsid w:val="719EB38D"/>
    <w:rsid w:val="71BBE249"/>
    <w:rsid w:val="71DED523"/>
    <w:rsid w:val="71EB769F"/>
    <w:rsid w:val="7204BC3A"/>
    <w:rsid w:val="7214FFF8"/>
    <w:rsid w:val="7227D976"/>
    <w:rsid w:val="725AAE2D"/>
    <w:rsid w:val="727B4402"/>
    <w:rsid w:val="728A8C4C"/>
    <w:rsid w:val="72926FBD"/>
    <w:rsid w:val="72E3DBAA"/>
    <w:rsid w:val="72F51070"/>
    <w:rsid w:val="73785D97"/>
    <w:rsid w:val="73A7B45A"/>
    <w:rsid w:val="73B6C851"/>
    <w:rsid w:val="73D2FDCF"/>
    <w:rsid w:val="73D9B131"/>
    <w:rsid w:val="73F71AEA"/>
    <w:rsid w:val="742288A4"/>
    <w:rsid w:val="748D5B0A"/>
    <w:rsid w:val="74A2C2BD"/>
    <w:rsid w:val="74AEEA33"/>
    <w:rsid w:val="74B0B383"/>
    <w:rsid w:val="74B44E80"/>
    <w:rsid w:val="74C4C17B"/>
    <w:rsid w:val="74DC1100"/>
    <w:rsid w:val="75139B7C"/>
    <w:rsid w:val="75265C98"/>
    <w:rsid w:val="75355C16"/>
    <w:rsid w:val="7555A02A"/>
    <w:rsid w:val="758F7FC5"/>
    <w:rsid w:val="75954D93"/>
    <w:rsid w:val="75B096E8"/>
    <w:rsid w:val="75F6056E"/>
    <w:rsid w:val="76123B8E"/>
    <w:rsid w:val="76129569"/>
    <w:rsid w:val="7624ABB1"/>
    <w:rsid w:val="7634611D"/>
    <w:rsid w:val="76750AFB"/>
    <w:rsid w:val="76B5919B"/>
    <w:rsid w:val="76BF9B55"/>
    <w:rsid w:val="76D56EDA"/>
    <w:rsid w:val="76F22861"/>
    <w:rsid w:val="76FD65B6"/>
    <w:rsid w:val="771F2522"/>
    <w:rsid w:val="772FDE72"/>
    <w:rsid w:val="77339C57"/>
    <w:rsid w:val="77367393"/>
    <w:rsid w:val="7743E339"/>
    <w:rsid w:val="7745B236"/>
    <w:rsid w:val="77481D33"/>
    <w:rsid w:val="7764D30E"/>
    <w:rsid w:val="776F5FE8"/>
    <w:rsid w:val="77887AC0"/>
    <w:rsid w:val="77C2D58C"/>
    <w:rsid w:val="77C7B003"/>
    <w:rsid w:val="7836374A"/>
    <w:rsid w:val="7842AC00"/>
    <w:rsid w:val="784C6874"/>
    <w:rsid w:val="787E50A5"/>
    <w:rsid w:val="788C6C44"/>
    <w:rsid w:val="78A1C2B7"/>
    <w:rsid w:val="78AF67B9"/>
    <w:rsid w:val="78F8ED09"/>
    <w:rsid w:val="791EC47B"/>
    <w:rsid w:val="793E6916"/>
    <w:rsid w:val="7971F061"/>
    <w:rsid w:val="7974621F"/>
    <w:rsid w:val="7982AF5C"/>
    <w:rsid w:val="799F062C"/>
    <w:rsid w:val="79E4CC1D"/>
    <w:rsid w:val="7A105572"/>
    <w:rsid w:val="7A1405C3"/>
    <w:rsid w:val="7A4833B9"/>
    <w:rsid w:val="7A4BA67C"/>
    <w:rsid w:val="7A4D62C0"/>
    <w:rsid w:val="7A625CA6"/>
    <w:rsid w:val="7A6304B5"/>
    <w:rsid w:val="7A8F5530"/>
    <w:rsid w:val="7AB66CC2"/>
    <w:rsid w:val="7AE18770"/>
    <w:rsid w:val="7AF3D88F"/>
    <w:rsid w:val="7B01211F"/>
    <w:rsid w:val="7B111261"/>
    <w:rsid w:val="7B43EABF"/>
    <w:rsid w:val="7B52581C"/>
    <w:rsid w:val="7B61C3DC"/>
    <w:rsid w:val="7B722192"/>
    <w:rsid w:val="7B875263"/>
    <w:rsid w:val="7B93ADAB"/>
    <w:rsid w:val="7B97452C"/>
    <w:rsid w:val="7B9AD90C"/>
    <w:rsid w:val="7BBDE7F3"/>
    <w:rsid w:val="7BC96D92"/>
    <w:rsid w:val="7BD80D22"/>
    <w:rsid w:val="7BD8DB43"/>
    <w:rsid w:val="7BED930D"/>
    <w:rsid w:val="7C50FF3E"/>
    <w:rsid w:val="7C70761B"/>
    <w:rsid w:val="7C93BDDF"/>
    <w:rsid w:val="7CC12008"/>
    <w:rsid w:val="7CCA49D1"/>
    <w:rsid w:val="7CD668AC"/>
    <w:rsid w:val="7CEA0422"/>
    <w:rsid w:val="7D065826"/>
    <w:rsid w:val="7D3509C5"/>
    <w:rsid w:val="7D3C17A7"/>
    <w:rsid w:val="7D441C9D"/>
    <w:rsid w:val="7D4E211A"/>
    <w:rsid w:val="7D5737AF"/>
    <w:rsid w:val="7D5977F8"/>
    <w:rsid w:val="7D5FAC52"/>
    <w:rsid w:val="7D739571"/>
    <w:rsid w:val="7D778224"/>
    <w:rsid w:val="7D7CCC08"/>
    <w:rsid w:val="7D89636E"/>
    <w:rsid w:val="7D9546A6"/>
    <w:rsid w:val="7DA1ED50"/>
    <w:rsid w:val="7DC3711A"/>
    <w:rsid w:val="7DEA9D58"/>
    <w:rsid w:val="7E04E1B9"/>
    <w:rsid w:val="7E2027E5"/>
    <w:rsid w:val="7E46338F"/>
    <w:rsid w:val="7E49FA0A"/>
    <w:rsid w:val="7E4B1CBC"/>
    <w:rsid w:val="7E8D720E"/>
    <w:rsid w:val="7EB37EAC"/>
    <w:rsid w:val="7F3A06BB"/>
    <w:rsid w:val="7F3A4307"/>
    <w:rsid w:val="7FB329D7"/>
    <w:rsid w:val="7FF32061"/>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00855"/>
  <w14:discardImageEditingData/>
  <w14:defaultImageDpi w14:val="96"/>
  <w15:docId w15:val="{FD4CDC68-7101-42D7-A420-369563DA1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DB9"/>
    <w:pPr>
      <w:spacing w:after="200" w:line="276" w:lineRule="auto"/>
    </w:pPr>
    <w:rPr>
      <w:lang w:val="en-AU"/>
    </w:rPr>
  </w:style>
  <w:style w:type="paragraph" w:styleId="Heading1">
    <w:name w:val="heading 1"/>
    <w:next w:val="Normal"/>
    <w:link w:val="Heading1Char"/>
    <w:uiPriority w:val="1"/>
    <w:qFormat/>
    <w:rsid w:val="006939E1"/>
    <w:pPr>
      <w:widowControl w:val="0"/>
      <w:spacing w:before="3000" w:after="0" w:line="240" w:lineRule="auto"/>
      <w:contextualSpacing/>
      <w:outlineLvl w:val="0"/>
    </w:pPr>
    <w:rPr>
      <w:rFonts w:ascii="Calibri" w:hAnsi="Calibri"/>
      <w:b/>
      <w:bCs/>
      <w:color w:val="2B343A"/>
      <w:spacing w:val="5"/>
      <w:kern w:val="28"/>
      <w:sz w:val="72"/>
      <w:szCs w:val="28"/>
      <w:lang w:val="en-AU"/>
    </w:rPr>
  </w:style>
  <w:style w:type="paragraph" w:styleId="Heading2">
    <w:name w:val="heading 2"/>
    <w:basedOn w:val="Normal"/>
    <w:next w:val="Normal"/>
    <w:link w:val="Heading2Char"/>
    <w:uiPriority w:val="3"/>
    <w:qFormat/>
    <w:rsid w:val="006939E1"/>
    <w:pPr>
      <w:pageBreakBefore/>
      <w:numPr>
        <w:numId w:val="4"/>
      </w:numPr>
      <w:spacing w:after="240" w:line="240" w:lineRule="auto"/>
      <w:outlineLvl w:val="1"/>
    </w:pPr>
    <w:rPr>
      <w:rFonts w:ascii="Calibri" w:eastAsiaTheme="minorEastAsia" w:hAnsi="Calibri"/>
      <w:bCs/>
      <w:color w:val="049885"/>
      <w:sz w:val="56"/>
      <w:szCs w:val="28"/>
      <w:lang w:eastAsia="ja-JP"/>
    </w:rPr>
  </w:style>
  <w:style w:type="paragraph" w:styleId="Heading3">
    <w:name w:val="heading 3"/>
    <w:next w:val="Normal"/>
    <w:link w:val="Heading3Char"/>
    <w:uiPriority w:val="4"/>
    <w:qFormat/>
    <w:rsid w:val="006939E1"/>
    <w:pPr>
      <w:keepNext/>
      <w:keepLines/>
      <w:spacing w:after="0" w:line="240" w:lineRule="auto"/>
      <w:outlineLvl w:val="2"/>
    </w:pPr>
    <w:rPr>
      <w:rFonts w:ascii="Calibri" w:eastAsia="Times New Roman" w:hAnsi="Calibri" w:cs="Times New Roman"/>
      <w:b/>
      <w:bCs/>
      <w:color w:val="586B78"/>
      <w:sz w:val="36"/>
      <w:szCs w:val="24"/>
      <w:lang w:val="en-AU"/>
    </w:rPr>
  </w:style>
  <w:style w:type="paragraph" w:styleId="Heading4">
    <w:name w:val="heading 4"/>
    <w:next w:val="Normal"/>
    <w:link w:val="Heading4Char"/>
    <w:uiPriority w:val="5"/>
    <w:qFormat/>
    <w:rsid w:val="006939E1"/>
    <w:pPr>
      <w:keepNext/>
      <w:spacing w:after="0" w:line="240" w:lineRule="auto"/>
      <w:outlineLvl w:val="3"/>
    </w:pPr>
    <w:rPr>
      <w:rFonts w:ascii="Calibri" w:eastAsia="Times New Roman" w:hAnsi="Calibri" w:cs="Times New Roman"/>
      <w:b/>
      <w:bCs/>
      <w:color w:val="444444"/>
      <w:sz w:val="28"/>
      <w:szCs w:val="24"/>
      <w:lang w:val="en-AU"/>
    </w:rPr>
  </w:style>
  <w:style w:type="paragraph" w:styleId="Heading5">
    <w:name w:val="heading 5"/>
    <w:basedOn w:val="Normal"/>
    <w:next w:val="Normal"/>
    <w:link w:val="Heading5Char"/>
    <w:uiPriority w:val="6"/>
    <w:rsid w:val="006939E1"/>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6939E1"/>
    <w:pPr>
      <w:keepNext/>
      <w:keepLines/>
      <w:spacing w:before="40" w:after="0"/>
      <w:outlineLvl w:val="5"/>
    </w:pPr>
    <w:rPr>
      <w:rFonts w:eastAsiaTheme="majorEastAsia" w:cstheme="majorBidi"/>
      <w:b/>
      <w:color w:val="1F3763" w:themeColor="accent1" w:themeShade="7F"/>
    </w:rPr>
  </w:style>
  <w:style w:type="paragraph" w:styleId="Heading7">
    <w:name w:val="heading 7"/>
    <w:basedOn w:val="Normal"/>
    <w:next w:val="Normal"/>
    <w:link w:val="Heading7Char"/>
    <w:uiPriority w:val="9"/>
    <w:unhideWhenUsed/>
    <w:qFormat/>
    <w:rsid w:val="006939E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39E1"/>
    <w:rPr>
      <w:rFonts w:ascii="Calibri" w:hAnsi="Calibri"/>
      <w:b/>
      <w:bCs/>
      <w:color w:val="2B343A"/>
      <w:spacing w:val="5"/>
      <w:kern w:val="28"/>
      <w:sz w:val="72"/>
      <w:szCs w:val="28"/>
      <w:lang w:val="en-AU"/>
    </w:rPr>
  </w:style>
  <w:style w:type="character" w:customStyle="1" w:styleId="Heading2Char">
    <w:name w:val="Heading 2 Char"/>
    <w:basedOn w:val="DefaultParagraphFont"/>
    <w:link w:val="Heading2"/>
    <w:uiPriority w:val="3"/>
    <w:rsid w:val="006939E1"/>
    <w:rPr>
      <w:rFonts w:ascii="Calibri" w:eastAsiaTheme="minorEastAsia" w:hAnsi="Calibri"/>
      <w:bCs/>
      <w:color w:val="049885"/>
      <w:sz w:val="56"/>
      <w:szCs w:val="28"/>
      <w:lang w:val="en-AU" w:eastAsia="ja-JP"/>
    </w:rPr>
  </w:style>
  <w:style w:type="character" w:customStyle="1" w:styleId="Heading3Char">
    <w:name w:val="Heading 3 Char"/>
    <w:basedOn w:val="DefaultParagraphFont"/>
    <w:link w:val="Heading3"/>
    <w:uiPriority w:val="4"/>
    <w:rsid w:val="006939E1"/>
    <w:rPr>
      <w:rFonts w:ascii="Calibri" w:eastAsia="Times New Roman" w:hAnsi="Calibri" w:cs="Times New Roman"/>
      <w:b/>
      <w:bCs/>
      <w:color w:val="586B78"/>
      <w:sz w:val="36"/>
      <w:szCs w:val="24"/>
      <w:lang w:val="en-AU"/>
    </w:rPr>
  </w:style>
  <w:style w:type="character" w:customStyle="1" w:styleId="Heading4Char">
    <w:name w:val="Heading 4 Char"/>
    <w:basedOn w:val="DefaultParagraphFont"/>
    <w:link w:val="Heading4"/>
    <w:uiPriority w:val="5"/>
    <w:rsid w:val="006939E1"/>
    <w:rPr>
      <w:rFonts w:ascii="Calibri" w:eastAsia="Times New Roman" w:hAnsi="Calibri" w:cs="Times New Roman"/>
      <w:b/>
      <w:bCs/>
      <w:color w:val="444444"/>
      <w:sz w:val="28"/>
      <w:szCs w:val="24"/>
      <w:lang w:val="en-AU"/>
    </w:rPr>
  </w:style>
  <w:style w:type="character" w:customStyle="1" w:styleId="Heading5Char">
    <w:name w:val="Heading 5 Char"/>
    <w:basedOn w:val="DefaultParagraphFont"/>
    <w:link w:val="Heading5"/>
    <w:uiPriority w:val="6"/>
    <w:rsid w:val="006939E1"/>
    <w:rPr>
      <w:rFonts w:ascii="Calibri" w:hAnsi="Calibri"/>
      <w:b/>
      <w:lang w:val="en-AU"/>
    </w:rPr>
  </w:style>
  <w:style w:type="character" w:customStyle="1" w:styleId="Heading6Char">
    <w:name w:val="Heading 6 Char"/>
    <w:basedOn w:val="DefaultParagraphFont"/>
    <w:link w:val="Heading6"/>
    <w:uiPriority w:val="9"/>
    <w:rsid w:val="006939E1"/>
    <w:rPr>
      <w:rFonts w:eastAsiaTheme="majorEastAsia" w:cstheme="majorBidi"/>
      <w:b/>
      <w:color w:val="1F3763" w:themeColor="accent1" w:themeShade="7F"/>
      <w:lang w:val="en-AU"/>
    </w:rPr>
  </w:style>
  <w:style w:type="character" w:customStyle="1" w:styleId="Heading7Char">
    <w:name w:val="Heading 7 Char"/>
    <w:basedOn w:val="DefaultParagraphFont"/>
    <w:link w:val="Heading7"/>
    <w:uiPriority w:val="9"/>
    <w:rsid w:val="006939E1"/>
    <w:rPr>
      <w:rFonts w:asciiTheme="majorHAnsi" w:eastAsiaTheme="majorEastAsia" w:hAnsiTheme="majorHAnsi" w:cstheme="majorBidi"/>
      <w:i/>
      <w:iCs/>
      <w:color w:val="1F3763" w:themeColor="accent1" w:themeShade="7F"/>
      <w:lang w:val="en-AU"/>
    </w:rPr>
  </w:style>
  <w:style w:type="character" w:styleId="CommentReference">
    <w:name w:val="annotation reference"/>
    <w:basedOn w:val="DefaultParagraphFont"/>
    <w:uiPriority w:val="99"/>
    <w:unhideWhenUsed/>
    <w:rsid w:val="006939E1"/>
    <w:rPr>
      <w:sz w:val="16"/>
      <w:szCs w:val="16"/>
    </w:rPr>
  </w:style>
  <w:style w:type="paragraph" w:styleId="CommentText">
    <w:name w:val="annotation text"/>
    <w:basedOn w:val="Normal"/>
    <w:link w:val="CommentTextChar"/>
    <w:uiPriority w:val="99"/>
    <w:unhideWhenUsed/>
    <w:rsid w:val="006939E1"/>
    <w:pPr>
      <w:spacing w:before="120"/>
    </w:pPr>
    <w:rPr>
      <w:sz w:val="20"/>
      <w:szCs w:val="20"/>
    </w:rPr>
  </w:style>
  <w:style w:type="character" w:customStyle="1" w:styleId="CommentTextChar">
    <w:name w:val="Comment Text Char"/>
    <w:basedOn w:val="DefaultParagraphFont"/>
    <w:link w:val="CommentText"/>
    <w:uiPriority w:val="99"/>
    <w:rsid w:val="006939E1"/>
    <w:rPr>
      <w:sz w:val="20"/>
      <w:szCs w:val="20"/>
      <w:lang w:val="en-AU"/>
    </w:rPr>
  </w:style>
  <w:style w:type="paragraph" w:styleId="CommentSubject">
    <w:name w:val="annotation subject"/>
    <w:basedOn w:val="CommentText"/>
    <w:next w:val="CommentText"/>
    <w:link w:val="CommentSubjectChar"/>
    <w:uiPriority w:val="99"/>
    <w:semiHidden/>
    <w:unhideWhenUsed/>
    <w:rsid w:val="006939E1"/>
    <w:rPr>
      <w:b/>
      <w:bCs/>
    </w:rPr>
  </w:style>
  <w:style w:type="character" w:customStyle="1" w:styleId="CommentSubjectChar">
    <w:name w:val="Comment Subject Char"/>
    <w:basedOn w:val="CommentTextChar"/>
    <w:link w:val="CommentSubject"/>
    <w:uiPriority w:val="99"/>
    <w:semiHidden/>
    <w:rsid w:val="006939E1"/>
    <w:rPr>
      <w:b/>
      <w:bCs/>
      <w:sz w:val="20"/>
      <w:szCs w:val="20"/>
      <w:lang w:val="en-AU"/>
    </w:rPr>
  </w:style>
  <w:style w:type="paragraph" w:styleId="BalloonText">
    <w:name w:val="Balloon Text"/>
    <w:basedOn w:val="Normal"/>
    <w:link w:val="BalloonTextChar"/>
    <w:uiPriority w:val="99"/>
    <w:semiHidden/>
    <w:unhideWhenUsed/>
    <w:rsid w:val="006939E1"/>
    <w:rPr>
      <w:rFonts w:ascii="Calibri" w:hAnsi="Calibri"/>
      <w:sz w:val="18"/>
      <w:szCs w:val="18"/>
    </w:rPr>
  </w:style>
  <w:style w:type="character" w:customStyle="1" w:styleId="BalloonTextChar">
    <w:name w:val="Balloon Text Char"/>
    <w:basedOn w:val="DefaultParagraphFont"/>
    <w:link w:val="BalloonText"/>
    <w:uiPriority w:val="99"/>
    <w:semiHidden/>
    <w:rsid w:val="006939E1"/>
    <w:rPr>
      <w:rFonts w:ascii="Calibri" w:hAnsi="Calibri"/>
      <w:sz w:val="18"/>
      <w:szCs w:val="18"/>
      <w:lang w:val="en-AU"/>
    </w:rPr>
  </w:style>
  <w:style w:type="table" w:styleId="PlainTable2">
    <w:name w:val="Plain Table 2"/>
    <w:basedOn w:val="TableNormal"/>
    <w:uiPriority w:val="42"/>
    <w:rsid w:val="006939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headings">
    <w:name w:val="headings"/>
    <w:uiPriority w:val="99"/>
    <w:rsid w:val="006939E1"/>
    <w:pPr>
      <w:numPr>
        <w:numId w:val="1"/>
      </w:numPr>
    </w:pPr>
  </w:style>
  <w:style w:type="character" w:styleId="Emphasis">
    <w:name w:val="Emphasis"/>
    <w:aliases w:val="Italics"/>
    <w:basedOn w:val="DefaultParagraphFont"/>
    <w:uiPriority w:val="20"/>
    <w:qFormat/>
    <w:rsid w:val="006939E1"/>
    <w:rPr>
      <w:rFonts w:asciiTheme="minorHAnsi" w:hAnsiTheme="minorHAnsi"/>
      <w:i/>
      <w:iCs/>
    </w:rPr>
  </w:style>
  <w:style w:type="table" w:styleId="TableGrid">
    <w:name w:val="Table Grid"/>
    <w:basedOn w:val="TableNormal"/>
    <w:uiPriority w:val="39"/>
    <w:rsid w:val="00D06DB9"/>
    <w:pPr>
      <w:spacing w:before="60" w:after="60" w:line="240" w:lineRule="auto"/>
    </w:pPr>
    <w:rPr>
      <w:rFonts w:eastAsia="Times New Roman" w:cs="Times New Roman"/>
      <w:sz w:val="18"/>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13"/>
    <w:qFormat/>
    <w:rsid w:val="00D06DB9"/>
    <w:pPr>
      <w:spacing w:before="60" w:after="60" w:line="240" w:lineRule="auto"/>
    </w:pPr>
    <w:rPr>
      <w:sz w:val="18"/>
    </w:rPr>
  </w:style>
  <w:style w:type="paragraph" w:customStyle="1" w:styleId="TableHeading">
    <w:name w:val="Table Heading"/>
    <w:basedOn w:val="TableText"/>
    <w:autoRedefine/>
    <w:uiPriority w:val="14"/>
    <w:qFormat/>
    <w:rsid w:val="00C0239D"/>
    <w:pPr>
      <w:keepNext/>
      <w:framePr w:hSpace="180" w:wrap="around" w:vAnchor="page" w:hAnchor="margin" w:xAlign="center" w:y="2206"/>
    </w:pPr>
    <w:rPr>
      <w:bCs/>
    </w:rPr>
  </w:style>
  <w:style w:type="paragraph" w:styleId="Caption">
    <w:name w:val="caption"/>
    <w:basedOn w:val="Normal"/>
    <w:next w:val="Normal"/>
    <w:link w:val="CaptionChar"/>
    <w:qFormat/>
    <w:rsid w:val="006939E1"/>
    <w:pPr>
      <w:keepNext/>
      <w:spacing w:after="120" w:line="240" w:lineRule="auto"/>
    </w:pPr>
    <w:rPr>
      <w:rFonts w:ascii="Calibri" w:hAnsi="Calibri"/>
      <w:b/>
      <w:bCs/>
      <w:sz w:val="24"/>
      <w:szCs w:val="18"/>
    </w:rPr>
  </w:style>
  <w:style w:type="character" w:customStyle="1" w:styleId="CaptionChar">
    <w:name w:val="Caption Char"/>
    <w:basedOn w:val="DefaultParagraphFont"/>
    <w:link w:val="Caption"/>
    <w:rsid w:val="006939E1"/>
    <w:rPr>
      <w:rFonts w:ascii="Calibri" w:hAnsi="Calibri"/>
      <w:b/>
      <w:bCs/>
      <w:sz w:val="24"/>
      <w:szCs w:val="18"/>
      <w:lang w:val="en-AU"/>
    </w:rPr>
  </w:style>
  <w:style w:type="paragraph" w:customStyle="1" w:styleId="BoxTextBullet">
    <w:name w:val="Box Text Bullet"/>
    <w:basedOn w:val="BoxText"/>
    <w:uiPriority w:val="21"/>
    <w:qFormat/>
    <w:rsid w:val="006939E1"/>
    <w:pPr>
      <w:numPr>
        <w:numId w:val="3"/>
      </w:numPr>
    </w:pPr>
  </w:style>
  <w:style w:type="paragraph" w:styleId="ListParagraph">
    <w:name w:val="List Paragraph"/>
    <w:basedOn w:val="Normal"/>
    <w:uiPriority w:val="34"/>
    <w:qFormat/>
    <w:rsid w:val="006939E1"/>
    <w:pPr>
      <w:ind w:left="720"/>
      <w:contextualSpacing/>
    </w:pPr>
  </w:style>
  <w:style w:type="paragraph" w:styleId="ListBullet">
    <w:name w:val="List Bullet"/>
    <w:basedOn w:val="Normal"/>
    <w:uiPriority w:val="99"/>
    <w:qFormat/>
    <w:rsid w:val="006939E1"/>
    <w:pPr>
      <w:numPr>
        <w:numId w:val="5"/>
      </w:numPr>
      <w:spacing w:before="120" w:after="120"/>
      <w:ind w:left="426" w:hanging="426"/>
    </w:pPr>
  </w:style>
  <w:style w:type="paragraph" w:styleId="ListBullet2">
    <w:name w:val="List Bullet 2"/>
    <w:basedOn w:val="Normal"/>
    <w:uiPriority w:val="8"/>
    <w:qFormat/>
    <w:rsid w:val="006939E1"/>
    <w:pPr>
      <w:numPr>
        <w:ilvl w:val="1"/>
        <w:numId w:val="5"/>
      </w:numPr>
      <w:spacing w:before="120" w:after="120"/>
      <w:contextualSpacing/>
    </w:pPr>
  </w:style>
  <w:style w:type="numbering" w:customStyle="1" w:styleId="List1">
    <w:name w:val="List1"/>
    <w:basedOn w:val="NoList"/>
    <w:uiPriority w:val="99"/>
    <w:rsid w:val="006939E1"/>
    <w:pPr>
      <w:numPr>
        <w:numId w:val="5"/>
      </w:numPr>
    </w:pPr>
  </w:style>
  <w:style w:type="paragraph" w:styleId="ListBullet3">
    <w:name w:val="List Bullet 3"/>
    <w:basedOn w:val="Normal"/>
    <w:uiPriority w:val="99"/>
    <w:rsid w:val="006939E1"/>
    <w:pPr>
      <w:numPr>
        <w:ilvl w:val="2"/>
        <w:numId w:val="5"/>
      </w:numPr>
      <w:contextualSpacing/>
    </w:pPr>
    <w:rPr>
      <w:rFonts w:ascii="Cambria" w:hAnsi="Cambria"/>
    </w:rPr>
  </w:style>
  <w:style w:type="character" w:styleId="Hyperlink">
    <w:name w:val="Hyperlink"/>
    <w:basedOn w:val="SmartHyperlink1"/>
    <w:uiPriority w:val="99"/>
    <w:unhideWhenUsed/>
    <w:qFormat/>
    <w:rsid w:val="006939E1"/>
    <w:rPr>
      <w:color w:val="0070C0"/>
      <w:sz w:val="22"/>
      <w:u w:val="single" w:color="0070C0"/>
    </w:rPr>
  </w:style>
  <w:style w:type="numbering" w:customStyle="1" w:styleId="Headinglist">
    <w:name w:val="Heading list"/>
    <w:uiPriority w:val="99"/>
    <w:rsid w:val="006939E1"/>
    <w:pPr>
      <w:numPr>
        <w:numId w:val="6"/>
      </w:numPr>
    </w:pPr>
  </w:style>
  <w:style w:type="paragraph" w:styleId="NormalWeb">
    <w:name w:val="Normal (Web)"/>
    <w:basedOn w:val="Normal"/>
    <w:uiPriority w:val="99"/>
    <w:semiHidden/>
    <w:unhideWhenUsed/>
    <w:rsid w:val="006939E1"/>
    <w:pPr>
      <w:spacing w:after="168" w:line="168" w:lineRule="atLeast"/>
      <w:jc w:val="both"/>
    </w:pPr>
    <w:rPr>
      <w:rFonts w:ascii="Times New Roman" w:hAnsi="Times New Roman"/>
      <w:sz w:val="13"/>
      <w:szCs w:val="13"/>
      <w:lang w:eastAsia="en-AU"/>
    </w:rPr>
  </w:style>
  <w:style w:type="paragraph" w:customStyle="1" w:styleId="EndNoteBibliographyTitle">
    <w:name w:val="EndNote Bibliography Title"/>
    <w:basedOn w:val="Normal"/>
    <w:link w:val="EndNoteBibliographyTitleChar"/>
    <w:rsid w:val="006939E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939E1"/>
    <w:rPr>
      <w:rFonts w:ascii="Calibri" w:hAnsi="Calibri" w:cs="Calibri"/>
      <w:noProof/>
      <w:lang w:val="en-US"/>
    </w:rPr>
  </w:style>
  <w:style w:type="paragraph" w:customStyle="1" w:styleId="EndNoteBibliography">
    <w:name w:val="EndNote Bibliography"/>
    <w:basedOn w:val="Normal"/>
    <w:link w:val="EndNoteBibliographyChar"/>
    <w:rsid w:val="006939E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939E1"/>
    <w:rPr>
      <w:rFonts w:ascii="Calibri" w:hAnsi="Calibri" w:cs="Calibri"/>
      <w:noProof/>
      <w:lang w:val="en-US"/>
    </w:rPr>
  </w:style>
  <w:style w:type="table" w:customStyle="1" w:styleId="ABARESTableleftrightalign">
    <w:name w:val="ABARES Table (left/right align)"/>
    <w:basedOn w:val="TableNormal"/>
    <w:uiPriority w:val="99"/>
    <w:rsid w:val="006939E1"/>
    <w:pPr>
      <w:spacing w:before="60" w:after="60" w:line="240" w:lineRule="auto"/>
      <w:jc w:val="right"/>
    </w:pPr>
    <w:rPr>
      <w:rFonts w:ascii="Cambria" w:eastAsia="Calibri" w:hAnsi="Cambria" w:cs="Times New Roman"/>
      <w:sz w:val="19"/>
      <w:szCs w:val="20"/>
      <w:lang w:val="en-AU"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Author">
    <w:name w:val="Author"/>
    <w:basedOn w:val="Normal"/>
    <w:next w:val="Normal"/>
    <w:uiPriority w:val="24"/>
    <w:qFormat/>
    <w:rsid w:val="006939E1"/>
    <w:pPr>
      <w:spacing w:after="60"/>
    </w:pPr>
    <w:rPr>
      <w:b/>
      <w:sz w:val="28"/>
      <w:szCs w:val="28"/>
    </w:rPr>
  </w:style>
  <w:style w:type="paragraph" w:customStyle="1" w:styleId="AuthorOrganisationAffiliation">
    <w:name w:val="Author Organisation/Affiliation"/>
    <w:basedOn w:val="Normal"/>
    <w:next w:val="Normal"/>
    <w:uiPriority w:val="25"/>
    <w:qFormat/>
    <w:rsid w:val="006939E1"/>
    <w:pPr>
      <w:spacing w:after="720"/>
    </w:pPr>
  </w:style>
  <w:style w:type="paragraph" w:customStyle="1" w:styleId="BoxText">
    <w:name w:val="Box Text"/>
    <w:basedOn w:val="Normal"/>
    <w:uiPriority w:val="19"/>
    <w:qFormat/>
    <w:rsid w:val="006939E1"/>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qFormat/>
    <w:rsid w:val="006939E1"/>
    <w:pPr>
      <w:spacing w:line="240" w:lineRule="auto"/>
    </w:pPr>
    <w:rPr>
      <w:b/>
    </w:rPr>
  </w:style>
  <w:style w:type="paragraph" w:customStyle="1" w:styleId="FigureTableNoteSource">
    <w:name w:val="Figure/Table Note/Source"/>
    <w:basedOn w:val="Normal"/>
    <w:next w:val="Normal"/>
    <w:uiPriority w:val="16"/>
    <w:qFormat/>
    <w:rsid w:val="006939E1"/>
    <w:pPr>
      <w:spacing w:before="120" w:line="264" w:lineRule="auto"/>
      <w:contextualSpacing/>
    </w:pPr>
    <w:rPr>
      <w:rFonts w:ascii="Calibri" w:hAnsi="Calibri"/>
      <w:sz w:val="18"/>
    </w:rPr>
  </w:style>
  <w:style w:type="paragraph" w:customStyle="1" w:styleId="BoxSource">
    <w:name w:val="Box Source"/>
    <w:basedOn w:val="FigureTableNoteSource"/>
    <w:uiPriority w:val="22"/>
    <w:qFormat/>
    <w:rsid w:val="006939E1"/>
    <w:pPr>
      <w:pBdr>
        <w:top w:val="single" w:sz="4" w:space="10" w:color="auto"/>
        <w:left w:val="single" w:sz="4" w:space="10" w:color="auto"/>
        <w:bottom w:val="single" w:sz="4" w:space="10" w:color="auto"/>
        <w:right w:val="single" w:sz="4" w:space="10" w:color="auto"/>
      </w:pBdr>
    </w:pPr>
  </w:style>
  <w:style w:type="paragraph" w:styleId="Date">
    <w:name w:val="Date"/>
    <w:basedOn w:val="Normal"/>
    <w:next w:val="Normal"/>
    <w:link w:val="DateChar"/>
    <w:uiPriority w:val="99"/>
    <w:unhideWhenUsed/>
    <w:rsid w:val="006939E1"/>
    <w:pPr>
      <w:spacing w:before="240"/>
    </w:pPr>
  </w:style>
  <w:style w:type="character" w:customStyle="1" w:styleId="DateChar">
    <w:name w:val="Date Char"/>
    <w:basedOn w:val="DefaultParagraphFont"/>
    <w:link w:val="Date"/>
    <w:uiPriority w:val="99"/>
    <w:rsid w:val="006939E1"/>
    <w:rPr>
      <w:lang w:val="en-AU"/>
    </w:rPr>
  </w:style>
  <w:style w:type="paragraph" w:styleId="Header">
    <w:name w:val="header"/>
    <w:basedOn w:val="Normal"/>
    <w:link w:val="HeaderChar"/>
    <w:uiPriority w:val="26"/>
    <w:rsid w:val="006939E1"/>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6939E1"/>
    <w:rPr>
      <w:rFonts w:ascii="Calibri" w:hAnsi="Calibri"/>
      <w:sz w:val="20"/>
      <w:lang w:val="en-AU"/>
    </w:rPr>
  </w:style>
  <w:style w:type="paragraph" w:customStyle="1" w:styleId="DisseminationLimitingMarker">
    <w:name w:val="Dissemination Limiting Marker"/>
    <w:basedOn w:val="Header"/>
    <w:next w:val="Header"/>
    <w:uiPriority w:val="27"/>
    <w:rsid w:val="006939E1"/>
    <w:pPr>
      <w:spacing w:after="0"/>
    </w:pPr>
    <w:rPr>
      <w:b/>
      <w:sz w:val="36"/>
      <w:szCs w:val="36"/>
    </w:rPr>
  </w:style>
  <w:style w:type="paragraph" w:styleId="DocumentMap">
    <w:name w:val="Document Map"/>
    <w:basedOn w:val="Normal"/>
    <w:link w:val="DocumentMapChar"/>
    <w:uiPriority w:val="99"/>
    <w:semiHidden/>
    <w:unhideWhenUsed/>
    <w:rsid w:val="006939E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39E1"/>
    <w:rPr>
      <w:rFonts w:ascii="Tahoma" w:hAnsi="Tahoma" w:cs="Tahoma"/>
      <w:sz w:val="16"/>
      <w:szCs w:val="16"/>
      <w:lang w:val="en-AU"/>
    </w:rPr>
  </w:style>
  <w:style w:type="character" w:styleId="EndnoteReference">
    <w:name w:val="endnote reference"/>
    <w:basedOn w:val="DefaultParagraphFont"/>
    <w:uiPriority w:val="99"/>
    <w:semiHidden/>
    <w:unhideWhenUsed/>
    <w:rsid w:val="006939E1"/>
    <w:rPr>
      <w:vertAlign w:val="superscript"/>
    </w:rPr>
  </w:style>
  <w:style w:type="paragraph" w:styleId="EndnoteText">
    <w:name w:val="endnote text"/>
    <w:basedOn w:val="Normal"/>
    <w:link w:val="EndnoteTextChar"/>
    <w:uiPriority w:val="99"/>
    <w:unhideWhenUsed/>
    <w:rsid w:val="006939E1"/>
    <w:pPr>
      <w:spacing w:after="60" w:line="264" w:lineRule="auto"/>
    </w:pPr>
    <w:rPr>
      <w:sz w:val="20"/>
      <w:szCs w:val="20"/>
    </w:rPr>
  </w:style>
  <w:style w:type="character" w:customStyle="1" w:styleId="EndnoteTextChar">
    <w:name w:val="Endnote Text Char"/>
    <w:basedOn w:val="DefaultParagraphFont"/>
    <w:link w:val="EndnoteText"/>
    <w:uiPriority w:val="99"/>
    <w:rsid w:val="006939E1"/>
    <w:rPr>
      <w:sz w:val="20"/>
      <w:szCs w:val="20"/>
      <w:lang w:val="en-AU"/>
    </w:rPr>
  </w:style>
  <w:style w:type="character" w:styleId="FollowedHyperlink">
    <w:name w:val="FollowedHyperlink"/>
    <w:basedOn w:val="DefaultParagraphFont"/>
    <w:uiPriority w:val="99"/>
    <w:semiHidden/>
    <w:unhideWhenUsed/>
    <w:rsid w:val="006939E1"/>
    <w:rPr>
      <w:color w:val="800080"/>
      <w:u w:val="single"/>
    </w:rPr>
  </w:style>
  <w:style w:type="paragraph" w:styleId="Footer">
    <w:name w:val="footer"/>
    <w:basedOn w:val="Normal"/>
    <w:link w:val="FooterChar"/>
    <w:uiPriority w:val="99"/>
    <w:rsid w:val="006939E1"/>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6939E1"/>
    <w:rPr>
      <w:rFonts w:ascii="Calibri" w:hAnsi="Calibri"/>
      <w:sz w:val="20"/>
      <w:lang w:val="en-AU"/>
    </w:rPr>
  </w:style>
  <w:style w:type="paragraph" w:customStyle="1" w:styleId="Footeraddress">
    <w:name w:val="Footer address"/>
    <w:basedOn w:val="Footer"/>
    <w:semiHidden/>
    <w:qFormat/>
    <w:rsid w:val="006939E1"/>
    <w:rPr>
      <w:sz w:val="16"/>
    </w:rPr>
  </w:style>
  <w:style w:type="character" w:styleId="FootnoteReference">
    <w:name w:val="footnote reference"/>
    <w:basedOn w:val="DefaultParagraphFont"/>
    <w:uiPriority w:val="99"/>
    <w:semiHidden/>
    <w:unhideWhenUsed/>
    <w:rsid w:val="006939E1"/>
    <w:rPr>
      <w:vertAlign w:val="superscript"/>
    </w:rPr>
  </w:style>
  <w:style w:type="paragraph" w:styleId="FootnoteText">
    <w:name w:val="footnote text"/>
    <w:basedOn w:val="Normal"/>
    <w:link w:val="FootnoteTextChar"/>
    <w:uiPriority w:val="99"/>
    <w:unhideWhenUsed/>
    <w:rsid w:val="006939E1"/>
    <w:pPr>
      <w:spacing w:after="60" w:line="264" w:lineRule="auto"/>
    </w:pPr>
    <w:rPr>
      <w:sz w:val="20"/>
      <w:szCs w:val="20"/>
    </w:rPr>
  </w:style>
  <w:style w:type="character" w:customStyle="1" w:styleId="FootnoteTextChar">
    <w:name w:val="Footnote Text Char"/>
    <w:basedOn w:val="DefaultParagraphFont"/>
    <w:link w:val="FootnoteText"/>
    <w:uiPriority w:val="99"/>
    <w:rsid w:val="006939E1"/>
    <w:rPr>
      <w:sz w:val="20"/>
      <w:szCs w:val="20"/>
      <w:lang w:val="en-AU"/>
    </w:rPr>
  </w:style>
  <w:style w:type="paragraph" w:customStyle="1" w:styleId="Glossary">
    <w:name w:val="Glossary"/>
    <w:basedOn w:val="Normal"/>
    <w:link w:val="GlossaryChar"/>
    <w:uiPriority w:val="28"/>
    <w:qFormat/>
    <w:rsid w:val="006939E1"/>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6939E1"/>
    <w:rPr>
      <w:rFonts w:eastAsia="Calibri"/>
      <w:color w:val="000000"/>
      <w:lang w:val="en-AU"/>
    </w:rPr>
  </w:style>
  <w:style w:type="table" w:styleId="TableGrid1">
    <w:name w:val="Table Grid 1"/>
    <w:basedOn w:val="TableNormal"/>
    <w:uiPriority w:val="99"/>
    <w:semiHidden/>
    <w:unhideWhenUsed/>
    <w:rsid w:val="006939E1"/>
    <w:pPr>
      <w:spacing w:after="200" w:line="280" w:lineRule="atLeast"/>
    </w:pPr>
    <w:rPr>
      <w:rFonts w:ascii="Cambria" w:eastAsia="Cambria" w:hAnsi="Cambria"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6939E1"/>
    <w:rPr>
      <w:color w:val="E36C0A"/>
      <w:lang w:val="en-NZ"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6939E1"/>
    <w:pPr>
      <w:spacing w:after="0" w:line="240" w:lineRule="auto"/>
    </w:pPr>
    <w:rPr>
      <w:rFonts w:ascii="Cambria" w:eastAsia="Cambria" w:hAnsi="Cambria"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Number">
    <w:name w:val="List Number"/>
    <w:basedOn w:val="Normal"/>
    <w:uiPriority w:val="9"/>
    <w:qFormat/>
    <w:rsid w:val="006939E1"/>
    <w:pPr>
      <w:tabs>
        <w:tab w:val="left" w:pos="142"/>
      </w:tabs>
      <w:spacing w:before="120" w:after="120"/>
    </w:pPr>
  </w:style>
  <w:style w:type="paragraph" w:styleId="ListNumber2">
    <w:name w:val="List Number 2"/>
    <w:uiPriority w:val="10"/>
    <w:qFormat/>
    <w:rsid w:val="006939E1"/>
    <w:pPr>
      <w:numPr>
        <w:ilvl w:val="1"/>
        <w:numId w:val="33"/>
      </w:numPr>
      <w:tabs>
        <w:tab w:val="left" w:pos="567"/>
      </w:tabs>
      <w:spacing w:before="120" w:after="120" w:line="264" w:lineRule="auto"/>
    </w:pPr>
    <w:rPr>
      <w:rFonts w:ascii="Cambria" w:eastAsia="Times New Roman" w:hAnsi="Cambria" w:cs="Times New Roman"/>
      <w:szCs w:val="24"/>
      <w:lang w:val="en-AU"/>
    </w:rPr>
  </w:style>
  <w:style w:type="paragraph" w:styleId="ListNumber3">
    <w:name w:val="List Number 3"/>
    <w:uiPriority w:val="11"/>
    <w:qFormat/>
    <w:rsid w:val="006939E1"/>
    <w:pPr>
      <w:spacing w:before="120" w:after="120" w:line="264" w:lineRule="auto"/>
    </w:pPr>
    <w:rPr>
      <w:rFonts w:ascii="Cambria" w:eastAsia="Times New Roman" w:hAnsi="Cambria" w:cs="Times New Roman"/>
      <w:szCs w:val="24"/>
      <w:lang w:val="en-AU"/>
    </w:rPr>
  </w:style>
  <w:style w:type="paragraph" w:customStyle="1" w:styleId="Normalsmall">
    <w:name w:val="Normal small"/>
    <w:qFormat/>
    <w:rsid w:val="006939E1"/>
    <w:pPr>
      <w:spacing w:after="120" w:line="276" w:lineRule="auto"/>
    </w:pPr>
    <w:rPr>
      <w:sz w:val="18"/>
      <w:szCs w:val="18"/>
      <w:lang w:val="en-AU"/>
    </w:rPr>
  </w:style>
  <w:style w:type="numbering" w:customStyle="1" w:styleId="Numberlist">
    <w:name w:val="Number list"/>
    <w:uiPriority w:val="99"/>
    <w:rsid w:val="006939E1"/>
    <w:pPr>
      <w:numPr>
        <w:numId w:val="7"/>
      </w:numPr>
    </w:pPr>
  </w:style>
  <w:style w:type="paragraph" w:customStyle="1" w:styleId="Picture">
    <w:name w:val="Picture"/>
    <w:basedOn w:val="Normal"/>
    <w:uiPriority w:val="17"/>
    <w:qFormat/>
    <w:rsid w:val="006939E1"/>
    <w:pPr>
      <w:spacing w:before="120" w:after="120" w:line="240" w:lineRule="auto"/>
    </w:pPr>
    <w:rPr>
      <w:noProof/>
      <w:lang w:eastAsia="en-AU"/>
    </w:rPr>
  </w:style>
  <w:style w:type="character" w:styleId="PlaceholderText">
    <w:name w:val="Placeholder Text"/>
    <w:basedOn w:val="DefaultParagraphFont"/>
    <w:uiPriority w:val="99"/>
    <w:semiHidden/>
    <w:rsid w:val="006939E1"/>
    <w:rPr>
      <w:color w:val="808080"/>
    </w:rPr>
  </w:style>
  <w:style w:type="paragraph" w:styleId="Quote">
    <w:name w:val="Quote"/>
    <w:basedOn w:val="Normal"/>
    <w:next w:val="Normal"/>
    <w:link w:val="QuoteChar"/>
    <w:uiPriority w:val="18"/>
    <w:qFormat/>
    <w:rsid w:val="006939E1"/>
    <w:pPr>
      <w:ind w:left="709" w:right="567"/>
    </w:pPr>
    <w:rPr>
      <w:iCs/>
      <w:color w:val="000000"/>
    </w:rPr>
  </w:style>
  <w:style w:type="character" w:customStyle="1" w:styleId="QuoteChar">
    <w:name w:val="Quote Char"/>
    <w:basedOn w:val="DefaultParagraphFont"/>
    <w:link w:val="Quote"/>
    <w:uiPriority w:val="18"/>
    <w:rsid w:val="006939E1"/>
    <w:rPr>
      <w:iCs/>
      <w:color w:val="000000"/>
      <w:lang w:val="en-AU"/>
    </w:rPr>
  </w:style>
  <w:style w:type="paragraph" w:customStyle="1" w:styleId="Securityclassification">
    <w:name w:val="Security classification"/>
    <w:basedOn w:val="Header"/>
    <w:next w:val="Header"/>
    <w:uiPriority w:val="26"/>
    <w:qFormat/>
    <w:rsid w:val="006939E1"/>
    <w:pPr>
      <w:spacing w:after="0"/>
    </w:pPr>
    <w:rPr>
      <w:b/>
      <w:caps/>
      <w:color w:val="FF0000"/>
      <w:sz w:val="36"/>
      <w:szCs w:val="36"/>
    </w:rPr>
  </w:style>
  <w:style w:type="character" w:styleId="Strong">
    <w:name w:val="Strong"/>
    <w:basedOn w:val="DefaultParagraphFont"/>
    <w:uiPriority w:val="99"/>
    <w:qFormat/>
    <w:rsid w:val="006939E1"/>
    <w:rPr>
      <w:rFonts w:asciiTheme="minorHAnsi" w:hAnsiTheme="minorHAnsi"/>
      <w:b/>
      <w:bCs/>
    </w:rPr>
  </w:style>
  <w:style w:type="paragraph" w:styleId="Subtitle">
    <w:name w:val="Subtitle"/>
    <w:basedOn w:val="Heading1"/>
    <w:next w:val="Normal"/>
    <w:link w:val="SubtitleChar"/>
    <w:uiPriority w:val="23"/>
    <w:qFormat/>
    <w:rsid w:val="006939E1"/>
    <w:pPr>
      <w:spacing w:before="120"/>
    </w:pPr>
    <w:rPr>
      <w:b w:val="0"/>
      <w:color w:val="049885"/>
      <w:sz w:val="56"/>
      <w:szCs w:val="56"/>
    </w:rPr>
  </w:style>
  <w:style w:type="character" w:customStyle="1" w:styleId="SubtitleChar">
    <w:name w:val="Subtitle Char"/>
    <w:basedOn w:val="DefaultParagraphFont"/>
    <w:link w:val="Subtitle"/>
    <w:uiPriority w:val="23"/>
    <w:rsid w:val="006939E1"/>
    <w:rPr>
      <w:rFonts w:ascii="Calibri" w:hAnsi="Calibri"/>
      <w:bCs/>
      <w:color w:val="049885"/>
      <w:spacing w:val="5"/>
      <w:kern w:val="28"/>
      <w:sz w:val="56"/>
      <w:szCs w:val="56"/>
      <w:lang w:val="en-AU"/>
    </w:rPr>
  </w:style>
  <w:style w:type="paragraph" w:customStyle="1" w:styleId="TableBullet">
    <w:name w:val="Table Bullet"/>
    <w:basedOn w:val="TableText"/>
    <w:uiPriority w:val="15"/>
    <w:qFormat/>
    <w:rsid w:val="006939E1"/>
    <w:pPr>
      <w:numPr>
        <w:numId w:val="8"/>
      </w:numPr>
      <w:ind w:hanging="720"/>
    </w:pPr>
  </w:style>
  <w:style w:type="paragraph" w:styleId="TableofFigures">
    <w:name w:val="table of figures"/>
    <w:basedOn w:val="Normal"/>
    <w:next w:val="Normal"/>
    <w:uiPriority w:val="99"/>
    <w:rsid w:val="006939E1"/>
    <w:pPr>
      <w:spacing w:before="120" w:after="120" w:line="240" w:lineRule="auto"/>
    </w:pPr>
  </w:style>
  <w:style w:type="paragraph" w:styleId="Title">
    <w:name w:val="Title"/>
    <w:basedOn w:val="Normal"/>
    <w:next w:val="Normal"/>
    <w:link w:val="TitleChar"/>
    <w:uiPriority w:val="10"/>
    <w:qFormat/>
    <w:rsid w:val="006939E1"/>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6939E1"/>
    <w:rPr>
      <w:rFonts w:eastAsiaTheme="majorEastAsia" w:cstheme="majorBidi"/>
      <w:b/>
      <w:spacing w:val="5"/>
      <w:kern w:val="28"/>
      <w:sz w:val="72"/>
      <w:szCs w:val="52"/>
      <w:lang w:val="en-AU"/>
    </w:rPr>
  </w:style>
  <w:style w:type="paragraph" w:styleId="TOAHeading">
    <w:name w:val="toa heading"/>
    <w:basedOn w:val="Heading1"/>
    <w:next w:val="Normal"/>
    <w:uiPriority w:val="99"/>
    <w:semiHidden/>
    <w:unhideWhenUsed/>
    <w:rsid w:val="006939E1"/>
    <w:pPr>
      <w:spacing w:before="120"/>
    </w:pPr>
    <w:rPr>
      <w:bCs w:val="0"/>
      <w:sz w:val="24"/>
    </w:rPr>
  </w:style>
  <w:style w:type="paragraph" w:styleId="TOC1">
    <w:name w:val="toc 1"/>
    <w:basedOn w:val="Normal"/>
    <w:next w:val="Normal"/>
    <w:uiPriority w:val="39"/>
    <w:unhideWhenUsed/>
    <w:qFormat/>
    <w:rsid w:val="006939E1"/>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6939E1"/>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6939E1"/>
    <w:pPr>
      <w:tabs>
        <w:tab w:val="right" w:leader="dot" w:pos="9072"/>
      </w:tabs>
      <w:spacing w:before="120" w:after="120" w:line="240" w:lineRule="auto"/>
      <w:ind w:firstLine="851"/>
    </w:pPr>
    <w:rPr>
      <w:noProof/>
    </w:rPr>
  </w:style>
  <w:style w:type="paragraph" w:styleId="TOCHeading">
    <w:name w:val="TOC Heading"/>
    <w:next w:val="Normal"/>
    <w:uiPriority w:val="39"/>
    <w:qFormat/>
    <w:rsid w:val="006939E1"/>
    <w:pPr>
      <w:spacing w:before="480" w:after="0" w:line="276" w:lineRule="auto"/>
    </w:pPr>
    <w:rPr>
      <w:rFonts w:ascii="Calibri" w:eastAsiaTheme="minorEastAsia" w:hAnsi="Calibri"/>
      <w:bCs/>
      <w:color w:val="2B343A"/>
      <w:sz w:val="56"/>
      <w:szCs w:val="28"/>
      <w:lang w:val="en-AU" w:eastAsia="ja-JP"/>
    </w:rPr>
  </w:style>
  <w:style w:type="paragraph" w:customStyle="1" w:styleId="TOCHeading2">
    <w:name w:val="TOC Heading 2"/>
    <w:next w:val="Normal"/>
    <w:qFormat/>
    <w:rsid w:val="006939E1"/>
    <w:pPr>
      <w:spacing w:after="0" w:line="240" w:lineRule="auto"/>
    </w:pPr>
    <w:rPr>
      <w:rFonts w:ascii="Calibri Light" w:hAnsi="Calibri Light"/>
      <w:color w:val="004661"/>
      <w:sz w:val="36"/>
      <w:lang w:val="en-AU"/>
    </w:rPr>
  </w:style>
  <w:style w:type="character" w:customStyle="1" w:styleId="UnresolvedMention1">
    <w:name w:val="Unresolved Mention1"/>
    <w:basedOn w:val="DefaultParagraphFont"/>
    <w:uiPriority w:val="99"/>
    <w:semiHidden/>
    <w:unhideWhenUsed/>
    <w:rsid w:val="006939E1"/>
    <w:rPr>
      <w:color w:val="605E5C"/>
      <w:shd w:val="clear" w:color="auto" w:fill="E1DFDD"/>
    </w:rPr>
  </w:style>
  <w:style w:type="paragraph" w:styleId="Revision">
    <w:name w:val="Revision"/>
    <w:hidden/>
    <w:uiPriority w:val="99"/>
    <w:semiHidden/>
    <w:rsid w:val="006939E1"/>
    <w:pPr>
      <w:spacing w:after="0" w:line="240" w:lineRule="auto"/>
    </w:pPr>
    <w:rPr>
      <w:lang w:val="en-AU"/>
    </w:rPr>
  </w:style>
  <w:style w:type="numbering" w:customStyle="1" w:styleId="listbullets">
    <w:name w:val="list bullets"/>
    <w:uiPriority w:val="99"/>
    <w:rsid w:val="006939E1"/>
    <w:pPr>
      <w:numPr>
        <w:numId w:val="9"/>
      </w:numPr>
    </w:pPr>
  </w:style>
  <w:style w:type="character" w:styleId="IntenseEmphasis">
    <w:name w:val="Intense Emphasis"/>
    <w:basedOn w:val="DefaultParagraphFont"/>
    <w:uiPriority w:val="21"/>
    <w:qFormat/>
    <w:rsid w:val="006939E1"/>
    <w:rPr>
      <w:i/>
      <w:iCs/>
      <w:color w:val="4472C4" w:themeColor="accent1"/>
    </w:rPr>
  </w:style>
  <w:style w:type="character" w:customStyle="1" w:styleId="SmartHyperlink1">
    <w:name w:val="Smart Hyperlink1"/>
    <w:basedOn w:val="DefaultParagraphFont"/>
    <w:uiPriority w:val="99"/>
    <w:semiHidden/>
    <w:unhideWhenUsed/>
    <w:rsid w:val="006939E1"/>
    <w:rPr>
      <w:u w:val="dotted"/>
    </w:rPr>
  </w:style>
  <w:style w:type="character" w:customStyle="1" w:styleId="ff4">
    <w:name w:val="ff4"/>
    <w:basedOn w:val="DefaultParagraphFont"/>
    <w:rsid w:val="006939E1"/>
  </w:style>
  <w:style w:type="character" w:customStyle="1" w:styleId="ls106">
    <w:name w:val="ls106"/>
    <w:basedOn w:val="DefaultParagraphFont"/>
    <w:rsid w:val="006939E1"/>
  </w:style>
  <w:style w:type="character" w:customStyle="1" w:styleId="ff1">
    <w:name w:val="ff1"/>
    <w:basedOn w:val="DefaultParagraphFont"/>
    <w:rsid w:val="006939E1"/>
  </w:style>
  <w:style w:type="character" w:customStyle="1" w:styleId="author0">
    <w:name w:val="author"/>
    <w:basedOn w:val="DefaultParagraphFont"/>
    <w:rsid w:val="006939E1"/>
  </w:style>
  <w:style w:type="character" w:customStyle="1" w:styleId="pubyear">
    <w:name w:val="pubyear"/>
    <w:basedOn w:val="DefaultParagraphFont"/>
    <w:rsid w:val="006939E1"/>
  </w:style>
  <w:style w:type="character" w:customStyle="1" w:styleId="articletitle">
    <w:name w:val="articletitle"/>
    <w:basedOn w:val="DefaultParagraphFont"/>
    <w:rsid w:val="006939E1"/>
  </w:style>
  <w:style w:type="character" w:customStyle="1" w:styleId="vol">
    <w:name w:val="vol"/>
    <w:basedOn w:val="DefaultParagraphFont"/>
    <w:rsid w:val="006939E1"/>
  </w:style>
  <w:style w:type="character" w:customStyle="1" w:styleId="pagefirst">
    <w:name w:val="pagefirst"/>
    <w:basedOn w:val="DefaultParagraphFont"/>
    <w:rsid w:val="006939E1"/>
  </w:style>
  <w:style w:type="character" w:customStyle="1" w:styleId="pagelast">
    <w:name w:val="pagelast"/>
    <w:basedOn w:val="DefaultParagraphFont"/>
    <w:rsid w:val="006939E1"/>
  </w:style>
  <w:style w:type="character" w:styleId="UnresolvedMention">
    <w:name w:val="Unresolved Mention"/>
    <w:basedOn w:val="DefaultParagraphFont"/>
    <w:uiPriority w:val="99"/>
    <w:rsid w:val="009257A3"/>
    <w:rPr>
      <w:color w:val="605E5C"/>
      <w:shd w:val="clear" w:color="auto" w:fill="E1DFDD"/>
    </w:rPr>
  </w:style>
  <w:style w:type="character" w:customStyle="1" w:styleId="cf01">
    <w:name w:val="cf01"/>
    <w:basedOn w:val="DefaultParagraphFont"/>
    <w:rsid w:val="00975AF7"/>
    <w:rPr>
      <w:rFonts w:ascii="Segoe UI" w:hAnsi="Segoe UI" w:cs="Segoe UI" w:hint="default"/>
      <w:sz w:val="18"/>
      <w:szCs w:val="18"/>
    </w:rPr>
  </w:style>
  <w:style w:type="character" w:customStyle="1" w:styleId="cf11">
    <w:name w:val="cf11"/>
    <w:basedOn w:val="DefaultParagraphFont"/>
    <w:rsid w:val="00492E58"/>
    <w:rPr>
      <w:rFonts w:ascii="Segoe UI" w:hAnsi="Segoe UI" w:cs="Segoe UI" w:hint="default"/>
      <w:i/>
      <w:iCs/>
      <w:color w:val="222222"/>
      <w:sz w:val="18"/>
      <w:szCs w:val="18"/>
      <w:shd w:val="clear" w:color="auto" w:fill="FFFFFF"/>
    </w:rPr>
  </w:style>
  <w:style w:type="character" w:customStyle="1" w:styleId="summary-bracket">
    <w:name w:val="summary-bracket"/>
    <w:basedOn w:val="DefaultParagraphFont"/>
    <w:rsid w:val="002A53E0"/>
  </w:style>
  <w:style w:type="character" w:customStyle="1" w:styleId="doc-icon">
    <w:name w:val="doc-icon"/>
    <w:basedOn w:val="DefaultParagraphFont"/>
    <w:rsid w:val="002A53E0"/>
  </w:style>
  <w:style w:type="character" w:customStyle="1" w:styleId="ui-provider">
    <w:name w:val="ui-provider"/>
    <w:basedOn w:val="DefaultParagraphFont"/>
    <w:rsid w:val="001C69F1"/>
  </w:style>
  <w:style w:type="character" w:styleId="Mention">
    <w:name w:val="Mention"/>
    <w:basedOn w:val="DefaultParagraphFont"/>
    <w:uiPriority w:val="99"/>
    <w:unhideWhenUsed/>
    <w:rsid w:val="001E2D60"/>
    <w:rPr>
      <w:color w:val="2B579A"/>
      <w:shd w:val="clear" w:color="auto" w:fill="E1DFDD"/>
    </w:rPr>
  </w:style>
  <w:style w:type="character" w:customStyle="1" w:styleId="nlmarticle-title">
    <w:name w:val="nlm_article-title"/>
    <w:basedOn w:val="DefaultParagraphFont"/>
    <w:rsid w:val="00C80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657">
      <w:bodyDiv w:val="1"/>
      <w:marLeft w:val="0"/>
      <w:marRight w:val="0"/>
      <w:marTop w:val="0"/>
      <w:marBottom w:val="0"/>
      <w:divBdr>
        <w:top w:val="none" w:sz="0" w:space="0" w:color="auto"/>
        <w:left w:val="none" w:sz="0" w:space="0" w:color="auto"/>
        <w:bottom w:val="none" w:sz="0" w:space="0" w:color="auto"/>
        <w:right w:val="none" w:sz="0" w:space="0" w:color="auto"/>
      </w:divBdr>
    </w:div>
    <w:div w:id="121190990">
      <w:bodyDiv w:val="1"/>
      <w:marLeft w:val="0"/>
      <w:marRight w:val="0"/>
      <w:marTop w:val="0"/>
      <w:marBottom w:val="0"/>
      <w:divBdr>
        <w:top w:val="none" w:sz="0" w:space="0" w:color="auto"/>
        <w:left w:val="none" w:sz="0" w:space="0" w:color="auto"/>
        <w:bottom w:val="none" w:sz="0" w:space="0" w:color="auto"/>
        <w:right w:val="none" w:sz="0" w:space="0" w:color="auto"/>
      </w:divBdr>
    </w:div>
    <w:div w:id="142746938">
      <w:bodyDiv w:val="1"/>
      <w:marLeft w:val="0"/>
      <w:marRight w:val="0"/>
      <w:marTop w:val="0"/>
      <w:marBottom w:val="0"/>
      <w:divBdr>
        <w:top w:val="none" w:sz="0" w:space="0" w:color="auto"/>
        <w:left w:val="none" w:sz="0" w:space="0" w:color="auto"/>
        <w:bottom w:val="none" w:sz="0" w:space="0" w:color="auto"/>
        <w:right w:val="none" w:sz="0" w:space="0" w:color="auto"/>
      </w:divBdr>
      <w:divsChild>
        <w:div w:id="1409620703">
          <w:marLeft w:val="0"/>
          <w:marRight w:val="0"/>
          <w:marTop w:val="0"/>
          <w:marBottom w:val="0"/>
          <w:divBdr>
            <w:top w:val="none" w:sz="0" w:space="0" w:color="auto"/>
            <w:left w:val="none" w:sz="0" w:space="0" w:color="auto"/>
            <w:bottom w:val="none" w:sz="0" w:space="0" w:color="auto"/>
            <w:right w:val="none" w:sz="0" w:space="0" w:color="auto"/>
          </w:divBdr>
        </w:div>
      </w:divsChild>
    </w:div>
    <w:div w:id="180239488">
      <w:bodyDiv w:val="1"/>
      <w:marLeft w:val="0"/>
      <w:marRight w:val="0"/>
      <w:marTop w:val="0"/>
      <w:marBottom w:val="0"/>
      <w:divBdr>
        <w:top w:val="none" w:sz="0" w:space="0" w:color="auto"/>
        <w:left w:val="none" w:sz="0" w:space="0" w:color="auto"/>
        <w:bottom w:val="none" w:sz="0" w:space="0" w:color="auto"/>
        <w:right w:val="none" w:sz="0" w:space="0" w:color="auto"/>
      </w:divBdr>
    </w:div>
    <w:div w:id="274213072">
      <w:bodyDiv w:val="1"/>
      <w:marLeft w:val="0"/>
      <w:marRight w:val="0"/>
      <w:marTop w:val="0"/>
      <w:marBottom w:val="0"/>
      <w:divBdr>
        <w:top w:val="none" w:sz="0" w:space="0" w:color="auto"/>
        <w:left w:val="none" w:sz="0" w:space="0" w:color="auto"/>
        <w:bottom w:val="none" w:sz="0" w:space="0" w:color="auto"/>
        <w:right w:val="none" w:sz="0" w:space="0" w:color="auto"/>
      </w:divBdr>
    </w:div>
    <w:div w:id="290289908">
      <w:bodyDiv w:val="1"/>
      <w:marLeft w:val="0"/>
      <w:marRight w:val="0"/>
      <w:marTop w:val="0"/>
      <w:marBottom w:val="0"/>
      <w:divBdr>
        <w:top w:val="none" w:sz="0" w:space="0" w:color="auto"/>
        <w:left w:val="none" w:sz="0" w:space="0" w:color="auto"/>
        <w:bottom w:val="none" w:sz="0" w:space="0" w:color="auto"/>
        <w:right w:val="none" w:sz="0" w:space="0" w:color="auto"/>
      </w:divBdr>
    </w:div>
    <w:div w:id="291402398">
      <w:bodyDiv w:val="1"/>
      <w:marLeft w:val="0"/>
      <w:marRight w:val="0"/>
      <w:marTop w:val="0"/>
      <w:marBottom w:val="0"/>
      <w:divBdr>
        <w:top w:val="none" w:sz="0" w:space="0" w:color="auto"/>
        <w:left w:val="none" w:sz="0" w:space="0" w:color="auto"/>
        <w:bottom w:val="none" w:sz="0" w:space="0" w:color="auto"/>
        <w:right w:val="none" w:sz="0" w:space="0" w:color="auto"/>
      </w:divBdr>
    </w:div>
    <w:div w:id="361056708">
      <w:bodyDiv w:val="1"/>
      <w:marLeft w:val="0"/>
      <w:marRight w:val="0"/>
      <w:marTop w:val="0"/>
      <w:marBottom w:val="0"/>
      <w:divBdr>
        <w:top w:val="none" w:sz="0" w:space="0" w:color="auto"/>
        <w:left w:val="none" w:sz="0" w:space="0" w:color="auto"/>
        <w:bottom w:val="none" w:sz="0" w:space="0" w:color="auto"/>
        <w:right w:val="none" w:sz="0" w:space="0" w:color="auto"/>
      </w:divBdr>
    </w:div>
    <w:div w:id="435371603">
      <w:bodyDiv w:val="1"/>
      <w:marLeft w:val="0"/>
      <w:marRight w:val="0"/>
      <w:marTop w:val="0"/>
      <w:marBottom w:val="0"/>
      <w:divBdr>
        <w:top w:val="none" w:sz="0" w:space="0" w:color="auto"/>
        <w:left w:val="none" w:sz="0" w:space="0" w:color="auto"/>
        <w:bottom w:val="none" w:sz="0" w:space="0" w:color="auto"/>
        <w:right w:val="none" w:sz="0" w:space="0" w:color="auto"/>
      </w:divBdr>
    </w:div>
    <w:div w:id="437063383">
      <w:bodyDiv w:val="1"/>
      <w:marLeft w:val="0"/>
      <w:marRight w:val="0"/>
      <w:marTop w:val="0"/>
      <w:marBottom w:val="0"/>
      <w:divBdr>
        <w:top w:val="none" w:sz="0" w:space="0" w:color="auto"/>
        <w:left w:val="none" w:sz="0" w:space="0" w:color="auto"/>
        <w:bottom w:val="none" w:sz="0" w:space="0" w:color="auto"/>
        <w:right w:val="none" w:sz="0" w:space="0" w:color="auto"/>
      </w:divBdr>
    </w:div>
    <w:div w:id="437873783">
      <w:bodyDiv w:val="1"/>
      <w:marLeft w:val="0"/>
      <w:marRight w:val="0"/>
      <w:marTop w:val="0"/>
      <w:marBottom w:val="0"/>
      <w:divBdr>
        <w:top w:val="none" w:sz="0" w:space="0" w:color="auto"/>
        <w:left w:val="none" w:sz="0" w:space="0" w:color="auto"/>
        <w:bottom w:val="none" w:sz="0" w:space="0" w:color="auto"/>
        <w:right w:val="none" w:sz="0" w:space="0" w:color="auto"/>
      </w:divBdr>
    </w:div>
    <w:div w:id="518589212">
      <w:bodyDiv w:val="1"/>
      <w:marLeft w:val="0"/>
      <w:marRight w:val="0"/>
      <w:marTop w:val="0"/>
      <w:marBottom w:val="0"/>
      <w:divBdr>
        <w:top w:val="none" w:sz="0" w:space="0" w:color="auto"/>
        <w:left w:val="none" w:sz="0" w:space="0" w:color="auto"/>
        <w:bottom w:val="none" w:sz="0" w:space="0" w:color="auto"/>
        <w:right w:val="none" w:sz="0" w:space="0" w:color="auto"/>
      </w:divBdr>
    </w:div>
    <w:div w:id="523061807">
      <w:bodyDiv w:val="1"/>
      <w:marLeft w:val="0"/>
      <w:marRight w:val="0"/>
      <w:marTop w:val="0"/>
      <w:marBottom w:val="0"/>
      <w:divBdr>
        <w:top w:val="none" w:sz="0" w:space="0" w:color="auto"/>
        <w:left w:val="none" w:sz="0" w:space="0" w:color="auto"/>
        <w:bottom w:val="none" w:sz="0" w:space="0" w:color="auto"/>
        <w:right w:val="none" w:sz="0" w:space="0" w:color="auto"/>
      </w:divBdr>
    </w:div>
    <w:div w:id="770589336">
      <w:bodyDiv w:val="1"/>
      <w:marLeft w:val="0"/>
      <w:marRight w:val="0"/>
      <w:marTop w:val="0"/>
      <w:marBottom w:val="0"/>
      <w:divBdr>
        <w:top w:val="none" w:sz="0" w:space="0" w:color="auto"/>
        <w:left w:val="none" w:sz="0" w:space="0" w:color="auto"/>
        <w:bottom w:val="none" w:sz="0" w:space="0" w:color="auto"/>
        <w:right w:val="none" w:sz="0" w:space="0" w:color="auto"/>
      </w:divBdr>
    </w:div>
    <w:div w:id="888687665">
      <w:bodyDiv w:val="1"/>
      <w:marLeft w:val="0"/>
      <w:marRight w:val="0"/>
      <w:marTop w:val="0"/>
      <w:marBottom w:val="0"/>
      <w:divBdr>
        <w:top w:val="none" w:sz="0" w:space="0" w:color="auto"/>
        <w:left w:val="none" w:sz="0" w:space="0" w:color="auto"/>
        <w:bottom w:val="none" w:sz="0" w:space="0" w:color="auto"/>
        <w:right w:val="none" w:sz="0" w:space="0" w:color="auto"/>
      </w:divBdr>
    </w:div>
    <w:div w:id="889801489">
      <w:bodyDiv w:val="1"/>
      <w:marLeft w:val="0"/>
      <w:marRight w:val="0"/>
      <w:marTop w:val="0"/>
      <w:marBottom w:val="0"/>
      <w:divBdr>
        <w:top w:val="none" w:sz="0" w:space="0" w:color="auto"/>
        <w:left w:val="none" w:sz="0" w:space="0" w:color="auto"/>
        <w:bottom w:val="none" w:sz="0" w:space="0" w:color="auto"/>
        <w:right w:val="none" w:sz="0" w:space="0" w:color="auto"/>
      </w:divBdr>
    </w:div>
    <w:div w:id="937297948">
      <w:bodyDiv w:val="1"/>
      <w:marLeft w:val="0"/>
      <w:marRight w:val="0"/>
      <w:marTop w:val="0"/>
      <w:marBottom w:val="0"/>
      <w:divBdr>
        <w:top w:val="none" w:sz="0" w:space="0" w:color="auto"/>
        <w:left w:val="none" w:sz="0" w:space="0" w:color="auto"/>
        <w:bottom w:val="none" w:sz="0" w:space="0" w:color="auto"/>
        <w:right w:val="none" w:sz="0" w:space="0" w:color="auto"/>
      </w:divBdr>
    </w:div>
    <w:div w:id="953557136">
      <w:bodyDiv w:val="1"/>
      <w:marLeft w:val="0"/>
      <w:marRight w:val="0"/>
      <w:marTop w:val="0"/>
      <w:marBottom w:val="0"/>
      <w:divBdr>
        <w:top w:val="none" w:sz="0" w:space="0" w:color="auto"/>
        <w:left w:val="none" w:sz="0" w:space="0" w:color="auto"/>
        <w:bottom w:val="none" w:sz="0" w:space="0" w:color="auto"/>
        <w:right w:val="none" w:sz="0" w:space="0" w:color="auto"/>
      </w:divBdr>
    </w:div>
    <w:div w:id="989679014">
      <w:bodyDiv w:val="1"/>
      <w:marLeft w:val="0"/>
      <w:marRight w:val="0"/>
      <w:marTop w:val="0"/>
      <w:marBottom w:val="0"/>
      <w:divBdr>
        <w:top w:val="none" w:sz="0" w:space="0" w:color="auto"/>
        <w:left w:val="none" w:sz="0" w:space="0" w:color="auto"/>
        <w:bottom w:val="none" w:sz="0" w:space="0" w:color="auto"/>
        <w:right w:val="none" w:sz="0" w:space="0" w:color="auto"/>
      </w:divBdr>
    </w:div>
    <w:div w:id="1006055054">
      <w:bodyDiv w:val="1"/>
      <w:marLeft w:val="0"/>
      <w:marRight w:val="0"/>
      <w:marTop w:val="0"/>
      <w:marBottom w:val="0"/>
      <w:divBdr>
        <w:top w:val="none" w:sz="0" w:space="0" w:color="auto"/>
        <w:left w:val="none" w:sz="0" w:space="0" w:color="auto"/>
        <w:bottom w:val="none" w:sz="0" w:space="0" w:color="auto"/>
        <w:right w:val="none" w:sz="0" w:space="0" w:color="auto"/>
      </w:divBdr>
    </w:div>
    <w:div w:id="1073552852">
      <w:bodyDiv w:val="1"/>
      <w:marLeft w:val="0"/>
      <w:marRight w:val="0"/>
      <w:marTop w:val="0"/>
      <w:marBottom w:val="0"/>
      <w:divBdr>
        <w:top w:val="none" w:sz="0" w:space="0" w:color="auto"/>
        <w:left w:val="none" w:sz="0" w:space="0" w:color="auto"/>
        <w:bottom w:val="none" w:sz="0" w:space="0" w:color="auto"/>
        <w:right w:val="none" w:sz="0" w:space="0" w:color="auto"/>
      </w:divBdr>
    </w:div>
    <w:div w:id="1103917502">
      <w:bodyDiv w:val="1"/>
      <w:marLeft w:val="0"/>
      <w:marRight w:val="0"/>
      <w:marTop w:val="0"/>
      <w:marBottom w:val="0"/>
      <w:divBdr>
        <w:top w:val="none" w:sz="0" w:space="0" w:color="auto"/>
        <w:left w:val="none" w:sz="0" w:space="0" w:color="auto"/>
        <w:bottom w:val="none" w:sz="0" w:space="0" w:color="auto"/>
        <w:right w:val="none" w:sz="0" w:space="0" w:color="auto"/>
      </w:divBdr>
    </w:div>
    <w:div w:id="1108738861">
      <w:bodyDiv w:val="1"/>
      <w:marLeft w:val="0"/>
      <w:marRight w:val="0"/>
      <w:marTop w:val="0"/>
      <w:marBottom w:val="0"/>
      <w:divBdr>
        <w:top w:val="none" w:sz="0" w:space="0" w:color="auto"/>
        <w:left w:val="none" w:sz="0" w:space="0" w:color="auto"/>
        <w:bottom w:val="none" w:sz="0" w:space="0" w:color="auto"/>
        <w:right w:val="none" w:sz="0" w:space="0" w:color="auto"/>
      </w:divBdr>
      <w:divsChild>
        <w:div w:id="441340460">
          <w:marLeft w:val="0"/>
          <w:marRight w:val="0"/>
          <w:marTop w:val="0"/>
          <w:marBottom w:val="0"/>
          <w:divBdr>
            <w:top w:val="none" w:sz="0" w:space="0" w:color="auto"/>
            <w:left w:val="none" w:sz="0" w:space="0" w:color="auto"/>
            <w:bottom w:val="none" w:sz="0" w:space="0" w:color="auto"/>
            <w:right w:val="none" w:sz="0" w:space="0" w:color="auto"/>
          </w:divBdr>
          <w:divsChild>
            <w:div w:id="1306348997">
              <w:marLeft w:val="0"/>
              <w:marRight w:val="0"/>
              <w:marTop w:val="225"/>
              <w:marBottom w:val="0"/>
              <w:divBdr>
                <w:top w:val="none" w:sz="0" w:space="0" w:color="auto"/>
                <w:left w:val="none" w:sz="0" w:space="0" w:color="auto"/>
                <w:bottom w:val="none" w:sz="0" w:space="0" w:color="auto"/>
                <w:right w:val="none" w:sz="0" w:space="0" w:color="auto"/>
              </w:divBdr>
              <w:divsChild>
                <w:div w:id="116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4844">
          <w:marLeft w:val="0"/>
          <w:marRight w:val="0"/>
          <w:marTop w:val="0"/>
          <w:marBottom w:val="0"/>
          <w:divBdr>
            <w:top w:val="none" w:sz="0" w:space="0" w:color="auto"/>
            <w:left w:val="none" w:sz="0" w:space="0" w:color="auto"/>
            <w:bottom w:val="none" w:sz="0" w:space="0" w:color="auto"/>
            <w:right w:val="none" w:sz="0" w:space="0" w:color="auto"/>
          </w:divBdr>
        </w:div>
        <w:div w:id="720204918">
          <w:marLeft w:val="0"/>
          <w:marRight w:val="0"/>
          <w:marTop w:val="0"/>
          <w:marBottom w:val="0"/>
          <w:divBdr>
            <w:top w:val="none" w:sz="0" w:space="0" w:color="auto"/>
            <w:left w:val="none" w:sz="0" w:space="0" w:color="auto"/>
            <w:bottom w:val="none" w:sz="0" w:space="0" w:color="auto"/>
            <w:right w:val="none" w:sz="0" w:space="0" w:color="auto"/>
          </w:divBdr>
          <w:divsChild>
            <w:div w:id="206646897">
              <w:marLeft w:val="0"/>
              <w:marRight w:val="0"/>
              <w:marTop w:val="0"/>
              <w:marBottom w:val="450"/>
              <w:divBdr>
                <w:top w:val="none" w:sz="0" w:space="0" w:color="auto"/>
                <w:left w:val="none" w:sz="0" w:space="0" w:color="auto"/>
                <w:bottom w:val="none" w:sz="0" w:space="0" w:color="auto"/>
                <w:right w:val="none" w:sz="0" w:space="0" w:color="auto"/>
              </w:divBdr>
              <w:divsChild>
                <w:div w:id="661784710">
                  <w:marLeft w:val="0"/>
                  <w:marRight w:val="0"/>
                  <w:marTop w:val="0"/>
                  <w:marBottom w:val="0"/>
                  <w:divBdr>
                    <w:top w:val="none" w:sz="0" w:space="0" w:color="auto"/>
                    <w:left w:val="none" w:sz="0" w:space="0" w:color="auto"/>
                    <w:bottom w:val="none" w:sz="0" w:space="0" w:color="auto"/>
                    <w:right w:val="none" w:sz="0" w:space="0" w:color="auto"/>
                  </w:divBdr>
                  <w:divsChild>
                    <w:div w:id="179247057">
                      <w:marLeft w:val="0"/>
                      <w:marRight w:val="0"/>
                      <w:marTop w:val="0"/>
                      <w:marBottom w:val="0"/>
                      <w:divBdr>
                        <w:top w:val="none" w:sz="0" w:space="0" w:color="auto"/>
                        <w:left w:val="none" w:sz="0" w:space="0" w:color="auto"/>
                        <w:bottom w:val="none" w:sz="0" w:space="0" w:color="auto"/>
                        <w:right w:val="none" w:sz="0" w:space="0" w:color="auto"/>
                      </w:divBdr>
                      <w:divsChild>
                        <w:div w:id="1237520946">
                          <w:marLeft w:val="0"/>
                          <w:marRight w:val="0"/>
                          <w:marTop w:val="0"/>
                          <w:marBottom w:val="0"/>
                          <w:divBdr>
                            <w:top w:val="none" w:sz="0" w:space="0" w:color="auto"/>
                            <w:left w:val="none" w:sz="0" w:space="0" w:color="auto"/>
                            <w:bottom w:val="none" w:sz="0" w:space="0" w:color="auto"/>
                            <w:right w:val="none" w:sz="0" w:space="0" w:color="auto"/>
                          </w:divBdr>
                          <w:divsChild>
                            <w:div w:id="865212213">
                              <w:marLeft w:val="0"/>
                              <w:marRight w:val="0"/>
                              <w:marTop w:val="0"/>
                              <w:marBottom w:val="0"/>
                              <w:divBdr>
                                <w:top w:val="none" w:sz="0" w:space="0" w:color="auto"/>
                                <w:left w:val="none" w:sz="0" w:space="0" w:color="auto"/>
                                <w:bottom w:val="none" w:sz="0" w:space="0" w:color="auto"/>
                                <w:right w:val="none" w:sz="0" w:space="0" w:color="auto"/>
                              </w:divBdr>
                              <w:divsChild>
                                <w:div w:id="1123307123">
                                  <w:marLeft w:val="0"/>
                                  <w:marRight w:val="0"/>
                                  <w:marTop w:val="0"/>
                                  <w:marBottom w:val="0"/>
                                  <w:divBdr>
                                    <w:top w:val="none" w:sz="0" w:space="0" w:color="auto"/>
                                    <w:left w:val="none" w:sz="0" w:space="0" w:color="auto"/>
                                    <w:bottom w:val="none" w:sz="0" w:space="0" w:color="auto"/>
                                    <w:right w:val="none" w:sz="0" w:space="0" w:color="auto"/>
                                  </w:divBdr>
                                  <w:divsChild>
                                    <w:div w:id="4018043">
                                      <w:marLeft w:val="0"/>
                                      <w:marRight w:val="0"/>
                                      <w:marTop w:val="0"/>
                                      <w:marBottom w:val="0"/>
                                      <w:divBdr>
                                        <w:top w:val="none" w:sz="0" w:space="0" w:color="auto"/>
                                        <w:left w:val="none" w:sz="0" w:space="0" w:color="auto"/>
                                        <w:bottom w:val="none" w:sz="0" w:space="0" w:color="auto"/>
                                        <w:right w:val="none" w:sz="0" w:space="0" w:color="auto"/>
                                      </w:divBdr>
                                      <w:divsChild>
                                        <w:div w:id="132217619">
                                          <w:marLeft w:val="0"/>
                                          <w:marRight w:val="0"/>
                                          <w:marTop w:val="0"/>
                                          <w:marBottom w:val="0"/>
                                          <w:divBdr>
                                            <w:top w:val="none" w:sz="0" w:space="0" w:color="auto"/>
                                            <w:left w:val="none" w:sz="0" w:space="0" w:color="auto"/>
                                            <w:bottom w:val="none" w:sz="0" w:space="0" w:color="auto"/>
                                            <w:right w:val="none" w:sz="0" w:space="0" w:color="auto"/>
                                          </w:divBdr>
                                        </w:div>
                                        <w:div w:id="659040057">
                                          <w:marLeft w:val="0"/>
                                          <w:marRight w:val="0"/>
                                          <w:marTop w:val="0"/>
                                          <w:marBottom w:val="0"/>
                                          <w:divBdr>
                                            <w:top w:val="none" w:sz="0" w:space="0" w:color="auto"/>
                                            <w:left w:val="none" w:sz="0" w:space="0" w:color="auto"/>
                                            <w:bottom w:val="none" w:sz="0" w:space="0" w:color="auto"/>
                                            <w:right w:val="none" w:sz="0" w:space="0" w:color="auto"/>
                                          </w:divBdr>
                                        </w:div>
                                        <w:div w:id="1245604554">
                                          <w:marLeft w:val="0"/>
                                          <w:marRight w:val="0"/>
                                          <w:marTop w:val="0"/>
                                          <w:marBottom w:val="0"/>
                                          <w:divBdr>
                                            <w:top w:val="none" w:sz="0" w:space="0" w:color="auto"/>
                                            <w:left w:val="none" w:sz="0" w:space="0" w:color="auto"/>
                                            <w:bottom w:val="none" w:sz="0" w:space="0" w:color="auto"/>
                                            <w:right w:val="none" w:sz="0" w:space="0" w:color="auto"/>
                                          </w:divBdr>
                                        </w:div>
                                        <w:div w:id="1675645917">
                                          <w:marLeft w:val="0"/>
                                          <w:marRight w:val="0"/>
                                          <w:marTop w:val="0"/>
                                          <w:marBottom w:val="0"/>
                                          <w:divBdr>
                                            <w:top w:val="none" w:sz="0" w:space="0" w:color="auto"/>
                                            <w:left w:val="none" w:sz="0" w:space="0" w:color="auto"/>
                                            <w:bottom w:val="none" w:sz="0" w:space="0" w:color="auto"/>
                                            <w:right w:val="none" w:sz="0" w:space="0" w:color="auto"/>
                                          </w:divBdr>
                                          <w:divsChild>
                                            <w:div w:id="832599788">
                                              <w:marLeft w:val="15"/>
                                              <w:marRight w:val="15"/>
                                              <w:marTop w:val="15"/>
                                              <w:marBottom w:val="15"/>
                                              <w:divBdr>
                                                <w:top w:val="none" w:sz="0" w:space="0" w:color="auto"/>
                                                <w:left w:val="single" w:sz="6" w:space="0" w:color="EEEEEE"/>
                                                <w:bottom w:val="single" w:sz="6" w:space="0" w:color="EEEEEE"/>
                                                <w:right w:val="single" w:sz="6" w:space="0" w:color="EEEEEE"/>
                                              </w:divBdr>
                                            </w:div>
                                          </w:divsChild>
                                        </w:div>
                                        <w:div w:id="17763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4769">
                              <w:marLeft w:val="0"/>
                              <w:marRight w:val="0"/>
                              <w:marTop w:val="0"/>
                              <w:marBottom w:val="0"/>
                              <w:divBdr>
                                <w:top w:val="single" w:sz="6" w:space="0" w:color="DDDDDD"/>
                                <w:left w:val="single" w:sz="6" w:space="0" w:color="DDDDDD"/>
                                <w:bottom w:val="none" w:sz="0" w:space="0" w:color="auto"/>
                                <w:right w:val="single" w:sz="6" w:space="0" w:color="DDDDDD"/>
                              </w:divBdr>
                              <w:divsChild>
                                <w:div w:id="137887806">
                                  <w:marLeft w:val="0"/>
                                  <w:marRight w:val="0"/>
                                  <w:marTop w:val="0"/>
                                  <w:marBottom w:val="0"/>
                                  <w:divBdr>
                                    <w:top w:val="none" w:sz="0" w:space="0" w:color="auto"/>
                                    <w:left w:val="none" w:sz="0" w:space="0" w:color="auto"/>
                                    <w:bottom w:val="none" w:sz="0" w:space="0" w:color="auto"/>
                                    <w:right w:val="none" w:sz="0" w:space="0" w:color="auto"/>
                                  </w:divBdr>
                                  <w:divsChild>
                                    <w:div w:id="1762754075">
                                      <w:marLeft w:val="0"/>
                                      <w:marRight w:val="0"/>
                                      <w:marTop w:val="0"/>
                                      <w:marBottom w:val="0"/>
                                      <w:divBdr>
                                        <w:top w:val="none" w:sz="0" w:space="0" w:color="auto"/>
                                        <w:left w:val="none" w:sz="0" w:space="0" w:color="auto"/>
                                        <w:bottom w:val="single" w:sz="6" w:space="0" w:color="DDDDDD"/>
                                        <w:right w:val="none" w:sz="0" w:space="0" w:color="auto"/>
                                      </w:divBdr>
                                      <w:divsChild>
                                        <w:div w:id="198054182">
                                          <w:marLeft w:val="0"/>
                                          <w:marRight w:val="0"/>
                                          <w:marTop w:val="0"/>
                                          <w:marBottom w:val="0"/>
                                          <w:divBdr>
                                            <w:top w:val="none" w:sz="0" w:space="0" w:color="auto"/>
                                            <w:left w:val="none" w:sz="0" w:space="0" w:color="auto"/>
                                            <w:bottom w:val="single" w:sz="6" w:space="0" w:color="DDDDDD"/>
                                            <w:right w:val="none" w:sz="0" w:space="0" w:color="auto"/>
                                          </w:divBdr>
                                          <w:divsChild>
                                            <w:div w:id="1040859698">
                                              <w:marLeft w:val="0"/>
                                              <w:marRight w:val="0"/>
                                              <w:marTop w:val="0"/>
                                              <w:marBottom w:val="0"/>
                                              <w:divBdr>
                                                <w:top w:val="none" w:sz="0" w:space="0" w:color="auto"/>
                                                <w:left w:val="none" w:sz="0" w:space="0" w:color="auto"/>
                                                <w:bottom w:val="none" w:sz="0" w:space="0" w:color="auto"/>
                                                <w:right w:val="none" w:sz="0" w:space="0" w:color="auto"/>
                                              </w:divBdr>
                                            </w:div>
                                          </w:divsChild>
                                        </w:div>
                                        <w:div w:id="782462679">
                                          <w:marLeft w:val="0"/>
                                          <w:marRight w:val="0"/>
                                          <w:marTop w:val="0"/>
                                          <w:marBottom w:val="0"/>
                                          <w:divBdr>
                                            <w:top w:val="none" w:sz="0" w:space="0" w:color="auto"/>
                                            <w:left w:val="none" w:sz="0" w:space="0" w:color="auto"/>
                                            <w:bottom w:val="none" w:sz="0" w:space="0" w:color="auto"/>
                                            <w:right w:val="none" w:sz="0" w:space="0" w:color="auto"/>
                                          </w:divBdr>
                                          <w:divsChild>
                                            <w:div w:id="238564438">
                                              <w:marLeft w:val="0"/>
                                              <w:marRight w:val="0"/>
                                              <w:marTop w:val="0"/>
                                              <w:marBottom w:val="0"/>
                                              <w:divBdr>
                                                <w:top w:val="none" w:sz="0" w:space="0" w:color="auto"/>
                                                <w:left w:val="none" w:sz="0" w:space="0" w:color="auto"/>
                                                <w:bottom w:val="none" w:sz="0" w:space="0" w:color="auto"/>
                                                <w:right w:val="none" w:sz="0" w:space="0" w:color="auto"/>
                                              </w:divBdr>
                                              <w:divsChild>
                                                <w:div w:id="1094937468">
                                                  <w:marLeft w:val="0"/>
                                                  <w:marRight w:val="0"/>
                                                  <w:marTop w:val="0"/>
                                                  <w:marBottom w:val="0"/>
                                                  <w:divBdr>
                                                    <w:top w:val="none" w:sz="0" w:space="0" w:color="auto"/>
                                                    <w:left w:val="none" w:sz="0" w:space="0" w:color="auto"/>
                                                    <w:bottom w:val="none" w:sz="0" w:space="0" w:color="auto"/>
                                                    <w:right w:val="none" w:sz="0" w:space="0" w:color="auto"/>
                                                  </w:divBdr>
                                                </w:div>
                                              </w:divsChild>
                                            </w:div>
                                            <w:div w:id="450246218">
                                              <w:marLeft w:val="0"/>
                                              <w:marRight w:val="0"/>
                                              <w:marTop w:val="0"/>
                                              <w:marBottom w:val="0"/>
                                              <w:divBdr>
                                                <w:top w:val="none" w:sz="0" w:space="0" w:color="auto"/>
                                                <w:left w:val="none" w:sz="0" w:space="0" w:color="auto"/>
                                                <w:bottom w:val="none" w:sz="0" w:space="0" w:color="auto"/>
                                                <w:right w:val="none" w:sz="0" w:space="0" w:color="auto"/>
                                              </w:divBdr>
                                              <w:divsChild>
                                                <w:div w:id="1728142066">
                                                  <w:marLeft w:val="0"/>
                                                  <w:marRight w:val="0"/>
                                                  <w:marTop w:val="0"/>
                                                  <w:marBottom w:val="0"/>
                                                  <w:divBdr>
                                                    <w:top w:val="none" w:sz="0" w:space="0" w:color="auto"/>
                                                    <w:left w:val="none" w:sz="0" w:space="0" w:color="auto"/>
                                                    <w:bottom w:val="none" w:sz="0" w:space="0" w:color="auto"/>
                                                    <w:right w:val="none" w:sz="0" w:space="0" w:color="auto"/>
                                                  </w:divBdr>
                                                </w:div>
                                              </w:divsChild>
                                            </w:div>
                                            <w:div w:id="470706657">
                                              <w:marLeft w:val="0"/>
                                              <w:marRight w:val="0"/>
                                              <w:marTop w:val="0"/>
                                              <w:marBottom w:val="0"/>
                                              <w:divBdr>
                                                <w:top w:val="none" w:sz="0" w:space="0" w:color="auto"/>
                                                <w:left w:val="none" w:sz="0" w:space="0" w:color="auto"/>
                                                <w:bottom w:val="none" w:sz="0" w:space="0" w:color="auto"/>
                                                <w:right w:val="none" w:sz="0" w:space="0" w:color="auto"/>
                                              </w:divBdr>
                                              <w:divsChild>
                                                <w:div w:id="1155611022">
                                                  <w:marLeft w:val="0"/>
                                                  <w:marRight w:val="0"/>
                                                  <w:marTop w:val="0"/>
                                                  <w:marBottom w:val="0"/>
                                                  <w:divBdr>
                                                    <w:top w:val="none" w:sz="0" w:space="0" w:color="auto"/>
                                                    <w:left w:val="none" w:sz="0" w:space="0" w:color="auto"/>
                                                    <w:bottom w:val="none" w:sz="0" w:space="0" w:color="auto"/>
                                                    <w:right w:val="none" w:sz="0" w:space="0" w:color="auto"/>
                                                  </w:divBdr>
                                                </w:div>
                                              </w:divsChild>
                                            </w:div>
                                            <w:div w:id="562838910">
                                              <w:marLeft w:val="0"/>
                                              <w:marRight w:val="0"/>
                                              <w:marTop w:val="0"/>
                                              <w:marBottom w:val="0"/>
                                              <w:divBdr>
                                                <w:top w:val="none" w:sz="0" w:space="0" w:color="auto"/>
                                                <w:left w:val="none" w:sz="0" w:space="0" w:color="auto"/>
                                                <w:bottom w:val="none" w:sz="0" w:space="0" w:color="auto"/>
                                                <w:right w:val="none" w:sz="0" w:space="0" w:color="auto"/>
                                              </w:divBdr>
                                              <w:divsChild>
                                                <w:div w:id="2057196327">
                                                  <w:marLeft w:val="0"/>
                                                  <w:marRight w:val="0"/>
                                                  <w:marTop w:val="0"/>
                                                  <w:marBottom w:val="0"/>
                                                  <w:divBdr>
                                                    <w:top w:val="none" w:sz="0" w:space="0" w:color="auto"/>
                                                    <w:left w:val="none" w:sz="0" w:space="0" w:color="auto"/>
                                                    <w:bottom w:val="none" w:sz="0" w:space="0" w:color="auto"/>
                                                    <w:right w:val="none" w:sz="0" w:space="0" w:color="auto"/>
                                                  </w:divBdr>
                                                </w:div>
                                              </w:divsChild>
                                            </w:div>
                                            <w:div w:id="619412440">
                                              <w:marLeft w:val="0"/>
                                              <w:marRight w:val="0"/>
                                              <w:marTop w:val="0"/>
                                              <w:marBottom w:val="0"/>
                                              <w:divBdr>
                                                <w:top w:val="none" w:sz="0" w:space="0" w:color="auto"/>
                                                <w:left w:val="none" w:sz="0" w:space="0" w:color="auto"/>
                                                <w:bottom w:val="none" w:sz="0" w:space="0" w:color="auto"/>
                                                <w:right w:val="none" w:sz="0" w:space="0" w:color="auto"/>
                                              </w:divBdr>
                                              <w:divsChild>
                                                <w:div w:id="1902793011">
                                                  <w:marLeft w:val="0"/>
                                                  <w:marRight w:val="0"/>
                                                  <w:marTop w:val="0"/>
                                                  <w:marBottom w:val="0"/>
                                                  <w:divBdr>
                                                    <w:top w:val="none" w:sz="0" w:space="0" w:color="auto"/>
                                                    <w:left w:val="none" w:sz="0" w:space="0" w:color="auto"/>
                                                    <w:bottom w:val="none" w:sz="0" w:space="0" w:color="auto"/>
                                                    <w:right w:val="none" w:sz="0" w:space="0" w:color="auto"/>
                                                  </w:divBdr>
                                                </w:div>
                                              </w:divsChild>
                                            </w:div>
                                            <w:div w:id="669217012">
                                              <w:marLeft w:val="0"/>
                                              <w:marRight w:val="0"/>
                                              <w:marTop w:val="0"/>
                                              <w:marBottom w:val="0"/>
                                              <w:divBdr>
                                                <w:top w:val="none" w:sz="0" w:space="0" w:color="auto"/>
                                                <w:left w:val="none" w:sz="0" w:space="0" w:color="auto"/>
                                                <w:bottom w:val="none" w:sz="0" w:space="0" w:color="auto"/>
                                                <w:right w:val="none" w:sz="0" w:space="0" w:color="auto"/>
                                              </w:divBdr>
                                              <w:divsChild>
                                                <w:div w:id="800804737">
                                                  <w:marLeft w:val="0"/>
                                                  <w:marRight w:val="0"/>
                                                  <w:marTop w:val="0"/>
                                                  <w:marBottom w:val="0"/>
                                                  <w:divBdr>
                                                    <w:top w:val="none" w:sz="0" w:space="0" w:color="auto"/>
                                                    <w:left w:val="none" w:sz="0" w:space="0" w:color="auto"/>
                                                    <w:bottom w:val="none" w:sz="0" w:space="0" w:color="auto"/>
                                                    <w:right w:val="none" w:sz="0" w:space="0" w:color="auto"/>
                                                  </w:divBdr>
                                                </w:div>
                                              </w:divsChild>
                                            </w:div>
                                            <w:div w:id="1104300838">
                                              <w:marLeft w:val="0"/>
                                              <w:marRight w:val="0"/>
                                              <w:marTop w:val="0"/>
                                              <w:marBottom w:val="0"/>
                                              <w:divBdr>
                                                <w:top w:val="none" w:sz="0" w:space="0" w:color="auto"/>
                                                <w:left w:val="none" w:sz="0" w:space="0" w:color="auto"/>
                                                <w:bottom w:val="none" w:sz="0" w:space="0" w:color="auto"/>
                                                <w:right w:val="none" w:sz="0" w:space="0" w:color="auto"/>
                                              </w:divBdr>
                                              <w:divsChild>
                                                <w:div w:id="1831407839">
                                                  <w:marLeft w:val="0"/>
                                                  <w:marRight w:val="0"/>
                                                  <w:marTop w:val="0"/>
                                                  <w:marBottom w:val="0"/>
                                                  <w:divBdr>
                                                    <w:top w:val="none" w:sz="0" w:space="0" w:color="auto"/>
                                                    <w:left w:val="none" w:sz="0" w:space="0" w:color="auto"/>
                                                    <w:bottom w:val="none" w:sz="0" w:space="0" w:color="auto"/>
                                                    <w:right w:val="none" w:sz="0" w:space="0" w:color="auto"/>
                                                  </w:divBdr>
                                                </w:div>
                                              </w:divsChild>
                                            </w:div>
                                            <w:div w:id="1218592780">
                                              <w:marLeft w:val="0"/>
                                              <w:marRight w:val="0"/>
                                              <w:marTop w:val="0"/>
                                              <w:marBottom w:val="0"/>
                                              <w:divBdr>
                                                <w:top w:val="none" w:sz="0" w:space="0" w:color="auto"/>
                                                <w:left w:val="none" w:sz="0" w:space="0" w:color="auto"/>
                                                <w:bottom w:val="none" w:sz="0" w:space="0" w:color="auto"/>
                                                <w:right w:val="none" w:sz="0" w:space="0" w:color="auto"/>
                                              </w:divBdr>
                                              <w:divsChild>
                                                <w:div w:id="1399355452">
                                                  <w:marLeft w:val="0"/>
                                                  <w:marRight w:val="0"/>
                                                  <w:marTop w:val="0"/>
                                                  <w:marBottom w:val="0"/>
                                                  <w:divBdr>
                                                    <w:top w:val="none" w:sz="0" w:space="0" w:color="auto"/>
                                                    <w:left w:val="none" w:sz="0" w:space="0" w:color="auto"/>
                                                    <w:bottom w:val="none" w:sz="0" w:space="0" w:color="auto"/>
                                                    <w:right w:val="none" w:sz="0" w:space="0" w:color="auto"/>
                                                  </w:divBdr>
                                                </w:div>
                                              </w:divsChild>
                                            </w:div>
                                            <w:div w:id="1496995304">
                                              <w:marLeft w:val="0"/>
                                              <w:marRight w:val="0"/>
                                              <w:marTop w:val="0"/>
                                              <w:marBottom w:val="0"/>
                                              <w:divBdr>
                                                <w:top w:val="none" w:sz="0" w:space="0" w:color="auto"/>
                                                <w:left w:val="none" w:sz="0" w:space="0" w:color="auto"/>
                                                <w:bottom w:val="none" w:sz="0" w:space="0" w:color="auto"/>
                                                <w:right w:val="none" w:sz="0" w:space="0" w:color="auto"/>
                                              </w:divBdr>
                                              <w:divsChild>
                                                <w:div w:id="369039881">
                                                  <w:marLeft w:val="0"/>
                                                  <w:marRight w:val="0"/>
                                                  <w:marTop w:val="0"/>
                                                  <w:marBottom w:val="0"/>
                                                  <w:divBdr>
                                                    <w:top w:val="none" w:sz="0" w:space="0" w:color="auto"/>
                                                    <w:left w:val="none" w:sz="0" w:space="0" w:color="auto"/>
                                                    <w:bottom w:val="none" w:sz="0" w:space="0" w:color="auto"/>
                                                    <w:right w:val="none" w:sz="0" w:space="0" w:color="auto"/>
                                                  </w:divBdr>
                                                </w:div>
                                              </w:divsChild>
                                            </w:div>
                                            <w:div w:id="1556701010">
                                              <w:marLeft w:val="0"/>
                                              <w:marRight w:val="0"/>
                                              <w:marTop w:val="0"/>
                                              <w:marBottom w:val="0"/>
                                              <w:divBdr>
                                                <w:top w:val="none" w:sz="0" w:space="0" w:color="auto"/>
                                                <w:left w:val="none" w:sz="0" w:space="0" w:color="auto"/>
                                                <w:bottom w:val="none" w:sz="0" w:space="0" w:color="auto"/>
                                                <w:right w:val="none" w:sz="0" w:space="0" w:color="auto"/>
                                              </w:divBdr>
                                              <w:divsChild>
                                                <w:div w:id="1560287486">
                                                  <w:marLeft w:val="0"/>
                                                  <w:marRight w:val="0"/>
                                                  <w:marTop w:val="0"/>
                                                  <w:marBottom w:val="0"/>
                                                  <w:divBdr>
                                                    <w:top w:val="none" w:sz="0" w:space="0" w:color="auto"/>
                                                    <w:left w:val="none" w:sz="0" w:space="0" w:color="auto"/>
                                                    <w:bottom w:val="none" w:sz="0" w:space="0" w:color="auto"/>
                                                    <w:right w:val="none" w:sz="0" w:space="0" w:color="auto"/>
                                                  </w:divBdr>
                                                </w:div>
                                              </w:divsChild>
                                            </w:div>
                                            <w:div w:id="1702972057">
                                              <w:marLeft w:val="0"/>
                                              <w:marRight w:val="0"/>
                                              <w:marTop w:val="0"/>
                                              <w:marBottom w:val="0"/>
                                              <w:divBdr>
                                                <w:top w:val="none" w:sz="0" w:space="0" w:color="auto"/>
                                                <w:left w:val="none" w:sz="0" w:space="0" w:color="auto"/>
                                                <w:bottom w:val="none" w:sz="0" w:space="0" w:color="auto"/>
                                                <w:right w:val="none" w:sz="0" w:space="0" w:color="auto"/>
                                              </w:divBdr>
                                              <w:divsChild>
                                                <w:div w:id="1632130180">
                                                  <w:marLeft w:val="0"/>
                                                  <w:marRight w:val="0"/>
                                                  <w:marTop w:val="0"/>
                                                  <w:marBottom w:val="0"/>
                                                  <w:divBdr>
                                                    <w:top w:val="none" w:sz="0" w:space="0" w:color="auto"/>
                                                    <w:left w:val="none" w:sz="0" w:space="0" w:color="auto"/>
                                                    <w:bottom w:val="none" w:sz="0" w:space="0" w:color="auto"/>
                                                    <w:right w:val="none" w:sz="0" w:space="0" w:color="auto"/>
                                                  </w:divBdr>
                                                </w:div>
                                              </w:divsChild>
                                            </w:div>
                                            <w:div w:id="1724021028">
                                              <w:marLeft w:val="0"/>
                                              <w:marRight w:val="0"/>
                                              <w:marTop w:val="0"/>
                                              <w:marBottom w:val="0"/>
                                              <w:divBdr>
                                                <w:top w:val="none" w:sz="0" w:space="0" w:color="auto"/>
                                                <w:left w:val="none" w:sz="0" w:space="0" w:color="auto"/>
                                                <w:bottom w:val="none" w:sz="0" w:space="0" w:color="auto"/>
                                                <w:right w:val="none" w:sz="0" w:space="0" w:color="auto"/>
                                              </w:divBdr>
                                              <w:divsChild>
                                                <w:div w:id="1221020053">
                                                  <w:marLeft w:val="0"/>
                                                  <w:marRight w:val="0"/>
                                                  <w:marTop w:val="0"/>
                                                  <w:marBottom w:val="0"/>
                                                  <w:divBdr>
                                                    <w:top w:val="none" w:sz="0" w:space="0" w:color="auto"/>
                                                    <w:left w:val="none" w:sz="0" w:space="0" w:color="auto"/>
                                                    <w:bottom w:val="none" w:sz="0" w:space="0" w:color="auto"/>
                                                    <w:right w:val="none" w:sz="0" w:space="0" w:color="auto"/>
                                                  </w:divBdr>
                                                </w:div>
                                              </w:divsChild>
                                            </w:div>
                                            <w:div w:id="1789159343">
                                              <w:marLeft w:val="0"/>
                                              <w:marRight w:val="0"/>
                                              <w:marTop w:val="0"/>
                                              <w:marBottom w:val="0"/>
                                              <w:divBdr>
                                                <w:top w:val="none" w:sz="0" w:space="0" w:color="auto"/>
                                                <w:left w:val="none" w:sz="0" w:space="0" w:color="auto"/>
                                                <w:bottom w:val="none" w:sz="0" w:space="0" w:color="auto"/>
                                                <w:right w:val="none" w:sz="0" w:space="0" w:color="auto"/>
                                              </w:divBdr>
                                              <w:divsChild>
                                                <w:div w:id="1854957221">
                                                  <w:marLeft w:val="0"/>
                                                  <w:marRight w:val="0"/>
                                                  <w:marTop w:val="0"/>
                                                  <w:marBottom w:val="0"/>
                                                  <w:divBdr>
                                                    <w:top w:val="none" w:sz="0" w:space="0" w:color="auto"/>
                                                    <w:left w:val="none" w:sz="0" w:space="0" w:color="auto"/>
                                                    <w:bottom w:val="none" w:sz="0" w:space="0" w:color="auto"/>
                                                    <w:right w:val="none" w:sz="0" w:space="0" w:color="auto"/>
                                                  </w:divBdr>
                                                </w:div>
                                              </w:divsChild>
                                            </w:div>
                                            <w:div w:id="1848053896">
                                              <w:marLeft w:val="0"/>
                                              <w:marRight w:val="0"/>
                                              <w:marTop w:val="0"/>
                                              <w:marBottom w:val="0"/>
                                              <w:divBdr>
                                                <w:top w:val="none" w:sz="0" w:space="0" w:color="auto"/>
                                                <w:left w:val="none" w:sz="0" w:space="0" w:color="auto"/>
                                                <w:bottom w:val="none" w:sz="0" w:space="0" w:color="auto"/>
                                                <w:right w:val="none" w:sz="0" w:space="0" w:color="auto"/>
                                              </w:divBdr>
                                              <w:divsChild>
                                                <w:div w:id="889464841">
                                                  <w:marLeft w:val="0"/>
                                                  <w:marRight w:val="0"/>
                                                  <w:marTop w:val="0"/>
                                                  <w:marBottom w:val="0"/>
                                                  <w:divBdr>
                                                    <w:top w:val="none" w:sz="0" w:space="0" w:color="auto"/>
                                                    <w:left w:val="none" w:sz="0" w:space="0" w:color="auto"/>
                                                    <w:bottom w:val="none" w:sz="0" w:space="0" w:color="auto"/>
                                                    <w:right w:val="none" w:sz="0" w:space="0" w:color="auto"/>
                                                  </w:divBdr>
                                                </w:div>
                                              </w:divsChild>
                                            </w:div>
                                            <w:div w:id="1984458519">
                                              <w:marLeft w:val="0"/>
                                              <w:marRight w:val="0"/>
                                              <w:marTop w:val="0"/>
                                              <w:marBottom w:val="0"/>
                                              <w:divBdr>
                                                <w:top w:val="none" w:sz="0" w:space="0" w:color="auto"/>
                                                <w:left w:val="none" w:sz="0" w:space="0" w:color="auto"/>
                                                <w:bottom w:val="none" w:sz="0" w:space="0" w:color="auto"/>
                                                <w:right w:val="none" w:sz="0" w:space="0" w:color="auto"/>
                                              </w:divBdr>
                                              <w:divsChild>
                                                <w:div w:id="2106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2043">
                                      <w:marLeft w:val="0"/>
                                      <w:marRight w:val="0"/>
                                      <w:marTop w:val="0"/>
                                      <w:marBottom w:val="0"/>
                                      <w:divBdr>
                                        <w:top w:val="none" w:sz="0" w:space="0" w:color="auto"/>
                                        <w:left w:val="none" w:sz="0" w:space="0" w:color="auto"/>
                                        <w:bottom w:val="single" w:sz="6" w:space="0" w:color="DDDDDD"/>
                                        <w:right w:val="none" w:sz="0" w:space="0" w:color="auto"/>
                                      </w:divBdr>
                                      <w:divsChild>
                                        <w:div w:id="1498571845">
                                          <w:marLeft w:val="0"/>
                                          <w:marRight w:val="0"/>
                                          <w:marTop w:val="0"/>
                                          <w:marBottom w:val="0"/>
                                          <w:divBdr>
                                            <w:top w:val="none" w:sz="0" w:space="0" w:color="auto"/>
                                            <w:left w:val="none" w:sz="0" w:space="0" w:color="auto"/>
                                            <w:bottom w:val="single" w:sz="6" w:space="0" w:color="DDDDDD"/>
                                            <w:right w:val="none" w:sz="0" w:space="0" w:color="auto"/>
                                          </w:divBdr>
                                          <w:divsChild>
                                            <w:div w:id="1288463046">
                                              <w:marLeft w:val="0"/>
                                              <w:marRight w:val="0"/>
                                              <w:marTop w:val="0"/>
                                              <w:marBottom w:val="0"/>
                                              <w:divBdr>
                                                <w:top w:val="none" w:sz="0" w:space="0" w:color="auto"/>
                                                <w:left w:val="none" w:sz="0" w:space="0" w:color="auto"/>
                                                <w:bottom w:val="none" w:sz="0" w:space="0" w:color="auto"/>
                                                <w:right w:val="none" w:sz="0" w:space="0" w:color="auto"/>
                                              </w:divBdr>
                                            </w:div>
                                          </w:divsChild>
                                        </w:div>
                                        <w:div w:id="1955401819">
                                          <w:marLeft w:val="0"/>
                                          <w:marRight w:val="0"/>
                                          <w:marTop w:val="0"/>
                                          <w:marBottom w:val="0"/>
                                          <w:divBdr>
                                            <w:top w:val="none" w:sz="0" w:space="0" w:color="auto"/>
                                            <w:left w:val="none" w:sz="0" w:space="0" w:color="auto"/>
                                            <w:bottom w:val="none" w:sz="0" w:space="0" w:color="auto"/>
                                            <w:right w:val="none" w:sz="0" w:space="0" w:color="auto"/>
                                          </w:divBdr>
                                          <w:divsChild>
                                            <w:div w:id="643587879">
                                              <w:marLeft w:val="0"/>
                                              <w:marRight w:val="0"/>
                                              <w:marTop w:val="0"/>
                                              <w:marBottom w:val="0"/>
                                              <w:divBdr>
                                                <w:top w:val="none" w:sz="0" w:space="0" w:color="auto"/>
                                                <w:left w:val="none" w:sz="0" w:space="0" w:color="auto"/>
                                                <w:bottom w:val="none" w:sz="0" w:space="0" w:color="auto"/>
                                                <w:right w:val="none" w:sz="0" w:space="0" w:color="auto"/>
                                              </w:divBdr>
                                              <w:divsChild>
                                                <w:div w:id="20400708">
                                                  <w:marLeft w:val="0"/>
                                                  <w:marRight w:val="0"/>
                                                  <w:marTop w:val="0"/>
                                                  <w:marBottom w:val="0"/>
                                                  <w:divBdr>
                                                    <w:top w:val="none" w:sz="0" w:space="0" w:color="auto"/>
                                                    <w:left w:val="none" w:sz="0" w:space="0" w:color="auto"/>
                                                    <w:bottom w:val="none" w:sz="0" w:space="0" w:color="auto"/>
                                                    <w:right w:val="none" w:sz="0" w:space="0" w:color="auto"/>
                                                  </w:divBdr>
                                                  <w:divsChild>
                                                    <w:div w:id="540241908">
                                                      <w:marLeft w:val="0"/>
                                                      <w:marRight w:val="0"/>
                                                      <w:marTop w:val="0"/>
                                                      <w:marBottom w:val="0"/>
                                                      <w:divBdr>
                                                        <w:top w:val="none" w:sz="0" w:space="0" w:color="auto"/>
                                                        <w:left w:val="none" w:sz="0" w:space="0" w:color="auto"/>
                                                        <w:bottom w:val="none" w:sz="0" w:space="0" w:color="auto"/>
                                                        <w:right w:val="none" w:sz="0" w:space="0" w:color="auto"/>
                                                      </w:divBdr>
                                                      <w:divsChild>
                                                        <w:div w:id="415395071">
                                                          <w:marLeft w:val="0"/>
                                                          <w:marRight w:val="0"/>
                                                          <w:marTop w:val="0"/>
                                                          <w:marBottom w:val="0"/>
                                                          <w:divBdr>
                                                            <w:top w:val="none" w:sz="0" w:space="0" w:color="auto"/>
                                                            <w:left w:val="none" w:sz="0" w:space="0" w:color="auto"/>
                                                            <w:bottom w:val="none" w:sz="0" w:space="0" w:color="auto"/>
                                                            <w:right w:val="none" w:sz="0" w:space="0" w:color="auto"/>
                                                          </w:divBdr>
                                                        </w:div>
                                                      </w:divsChild>
                                                    </w:div>
                                                    <w:div w:id="2120828299">
                                                      <w:marLeft w:val="0"/>
                                                      <w:marRight w:val="0"/>
                                                      <w:marTop w:val="0"/>
                                                      <w:marBottom w:val="0"/>
                                                      <w:divBdr>
                                                        <w:top w:val="none" w:sz="0" w:space="0" w:color="auto"/>
                                                        <w:left w:val="none" w:sz="0" w:space="0" w:color="auto"/>
                                                        <w:bottom w:val="none" w:sz="0" w:space="0" w:color="auto"/>
                                                        <w:right w:val="none" w:sz="0" w:space="0" w:color="auto"/>
                                                      </w:divBdr>
                                                      <w:divsChild>
                                                        <w:div w:id="4667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67217">
                      <w:marLeft w:val="0"/>
                      <w:marRight w:val="0"/>
                      <w:marTop w:val="450"/>
                      <w:marBottom w:val="0"/>
                      <w:divBdr>
                        <w:top w:val="none" w:sz="0" w:space="0" w:color="auto"/>
                        <w:left w:val="none" w:sz="0" w:space="0" w:color="auto"/>
                        <w:bottom w:val="none" w:sz="0" w:space="0" w:color="auto"/>
                        <w:right w:val="none" w:sz="0" w:space="0" w:color="auto"/>
                      </w:divBdr>
                      <w:divsChild>
                        <w:div w:id="1208099">
                          <w:marLeft w:val="0"/>
                          <w:marRight w:val="0"/>
                          <w:marTop w:val="0"/>
                          <w:marBottom w:val="45"/>
                          <w:divBdr>
                            <w:top w:val="none" w:sz="0" w:space="0" w:color="auto"/>
                            <w:left w:val="none" w:sz="0" w:space="0" w:color="auto"/>
                            <w:bottom w:val="none" w:sz="0" w:space="0" w:color="auto"/>
                            <w:right w:val="none" w:sz="0" w:space="0" w:color="auto"/>
                          </w:divBdr>
                        </w:div>
                        <w:div w:id="379939293">
                          <w:marLeft w:val="0"/>
                          <w:marRight w:val="0"/>
                          <w:marTop w:val="0"/>
                          <w:marBottom w:val="45"/>
                          <w:divBdr>
                            <w:top w:val="none" w:sz="0" w:space="0" w:color="auto"/>
                            <w:left w:val="none" w:sz="0" w:space="0" w:color="auto"/>
                            <w:bottom w:val="none" w:sz="0" w:space="0" w:color="auto"/>
                            <w:right w:val="none" w:sz="0" w:space="0" w:color="auto"/>
                          </w:divBdr>
                        </w:div>
                        <w:div w:id="847986714">
                          <w:marLeft w:val="0"/>
                          <w:marRight w:val="0"/>
                          <w:marTop w:val="0"/>
                          <w:marBottom w:val="45"/>
                          <w:divBdr>
                            <w:top w:val="none" w:sz="0" w:space="0" w:color="auto"/>
                            <w:left w:val="none" w:sz="0" w:space="0" w:color="auto"/>
                            <w:bottom w:val="none" w:sz="0" w:space="0" w:color="auto"/>
                            <w:right w:val="none" w:sz="0" w:space="0" w:color="auto"/>
                          </w:divBdr>
                        </w:div>
                        <w:div w:id="1015422437">
                          <w:marLeft w:val="0"/>
                          <w:marRight w:val="0"/>
                          <w:marTop w:val="0"/>
                          <w:marBottom w:val="45"/>
                          <w:divBdr>
                            <w:top w:val="none" w:sz="0" w:space="0" w:color="auto"/>
                            <w:left w:val="none" w:sz="0" w:space="0" w:color="auto"/>
                            <w:bottom w:val="none" w:sz="0" w:space="0" w:color="auto"/>
                            <w:right w:val="none" w:sz="0" w:space="0" w:color="auto"/>
                          </w:divBdr>
                        </w:div>
                        <w:div w:id="1159662469">
                          <w:marLeft w:val="0"/>
                          <w:marRight w:val="0"/>
                          <w:marTop w:val="0"/>
                          <w:marBottom w:val="45"/>
                          <w:divBdr>
                            <w:top w:val="none" w:sz="0" w:space="0" w:color="auto"/>
                            <w:left w:val="none" w:sz="0" w:space="0" w:color="auto"/>
                            <w:bottom w:val="none" w:sz="0" w:space="0" w:color="auto"/>
                            <w:right w:val="none" w:sz="0" w:space="0" w:color="auto"/>
                          </w:divBdr>
                        </w:div>
                        <w:div w:id="1180048922">
                          <w:marLeft w:val="0"/>
                          <w:marRight w:val="0"/>
                          <w:marTop w:val="0"/>
                          <w:marBottom w:val="45"/>
                          <w:divBdr>
                            <w:top w:val="none" w:sz="0" w:space="0" w:color="auto"/>
                            <w:left w:val="none" w:sz="0" w:space="0" w:color="auto"/>
                            <w:bottom w:val="none" w:sz="0" w:space="0" w:color="auto"/>
                            <w:right w:val="none" w:sz="0" w:space="0" w:color="auto"/>
                          </w:divBdr>
                        </w:div>
                        <w:div w:id="1301962690">
                          <w:marLeft w:val="0"/>
                          <w:marRight w:val="0"/>
                          <w:marTop w:val="0"/>
                          <w:marBottom w:val="45"/>
                          <w:divBdr>
                            <w:top w:val="none" w:sz="0" w:space="0" w:color="auto"/>
                            <w:left w:val="none" w:sz="0" w:space="0" w:color="auto"/>
                            <w:bottom w:val="none" w:sz="0" w:space="0" w:color="auto"/>
                            <w:right w:val="none" w:sz="0" w:space="0" w:color="auto"/>
                          </w:divBdr>
                        </w:div>
                        <w:div w:id="1504935114">
                          <w:marLeft w:val="0"/>
                          <w:marRight w:val="0"/>
                          <w:marTop w:val="0"/>
                          <w:marBottom w:val="45"/>
                          <w:divBdr>
                            <w:top w:val="none" w:sz="0" w:space="0" w:color="auto"/>
                            <w:left w:val="none" w:sz="0" w:space="0" w:color="auto"/>
                            <w:bottom w:val="none" w:sz="0" w:space="0" w:color="auto"/>
                            <w:right w:val="none" w:sz="0" w:space="0" w:color="auto"/>
                          </w:divBdr>
                        </w:div>
                        <w:div w:id="1542980797">
                          <w:marLeft w:val="0"/>
                          <w:marRight w:val="0"/>
                          <w:marTop w:val="0"/>
                          <w:marBottom w:val="45"/>
                          <w:divBdr>
                            <w:top w:val="none" w:sz="0" w:space="0" w:color="auto"/>
                            <w:left w:val="none" w:sz="0" w:space="0" w:color="auto"/>
                            <w:bottom w:val="none" w:sz="0" w:space="0" w:color="auto"/>
                            <w:right w:val="none" w:sz="0" w:space="0" w:color="auto"/>
                          </w:divBdr>
                        </w:div>
                        <w:div w:id="1609004593">
                          <w:marLeft w:val="0"/>
                          <w:marRight w:val="0"/>
                          <w:marTop w:val="0"/>
                          <w:marBottom w:val="45"/>
                          <w:divBdr>
                            <w:top w:val="none" w:sz="0" w:space="0" w:color="auto"/>
                            <w:left w:val="none" w:sz="0" w:space="0" w:color="auto"/>
                            <w:bottom w:val="none" w:sz="0" w:space="0" w:color="auto"/>
                            <w:right w:val="none" w:sz="0" w:space="0" w:color="auto"/>
                          </w:divBdr>
                        </w:div>
                        <w:div w:id="1729261334">
                          <w:marLeft w:val="0"/>
                          <w:marRight w:val="0"/>
                          <w:marTop w:val="0"/>
                          <w:marBottom w:val="45"/>
                          <w:divBdr>
                            <w:top w:val="none" w:sz="0" w:space="0" w:color="auto"/>
                            <w:left w:val="none" w:sz="0" w:space="0" w:color="auto"/>
                            <w:bottom w:val="none" w:sz="0" w:space="0" w:color="auto"/>
                            <w:right w:val="none" w:sz="0" w:space="0" w:color="auto"/>
                          </w:divBdr>
                        </w:div>
                        <w:div w:id="175933119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64326546">
                  <w:marLeft w:val="0"/>
                  <w:marRight w:val="0"/>
                  <w:marTop w:val="0"/>
                  <w:marBottom w:val="0"/>
                  <w:divBdr>
                    <w:top w:val="none" w:sz="0" w:space="0" w:color="auto"/>
                    <w:left w:val="none" w:sz="0" w:space="0" w:color="auto"/>
                    <w:bottom w:val="none" w:sz="0" w:space="0" w:color="auto"/>
                    <w:right w:val="none" w:sz="0" w:space="0" w:color="auto"/>
                  </w:divBdr>
                  <w:divsChild>
                    <w:div w:id="1496602396">
                      <w:marLeft w:val="0"/>
                      <w:marRight w:val="0"/>
                      <w:marTop w:val="450"/>
                      <w:marBottom w:val="150"/>
                      <w:divBdr>
                        <w:top w:val="none" w:sz="0" w:space="0" w:color="auto"/>
                        <w:left w:val="none" w:sz="0" w:space="0" w:color="auto"/>
                        <w:bottom w:val="none" w:sz="0" w:space="0" w:color="auto"/>
                        <w:right w:val="none" w:sz="0" w:space="0" w:color="auto"/>
                      </w:divBdr>
                      <w:divsChild>
                        <w:div w:id="1348867456">
                          <w:marLeft w:val="0"/>
                          <w:marRight w:val="0"/>
                          <w:marTop w:val="0"/>
                          <w:marBottom w:val="300"/>
                          <w:divBdr>
                            <w:top w:val="none" w:sz="0" w:space="0" w:color="auto"/>
                            <w:left w:val="none" w:sz="0" w:space="0" w:color="auto"/>
                            <w:bottom w:val="none" w:sz="0" w:space="0" w:color="auto"/>
                            <w:right w:val="none" w:sz="0" w:space="0" w:color="auto"/>
                          </w:divBdr>
                          <w:divsChild>
                            <w:div w:id="935989555">
                              <w:marLeft w:val="0"/>
                              <w:marRight w:val="0"/>
                              <w:marTop w:val="0"/>
                              <w:marBottom w:val="0"/>
                              <w:divBdr>
                                <w:top w:val="none" w:sz="0" w:space="0" w:color="auto"/>
                                <w:left w:val="none" w:sz="0" w:space="0" w:color="auto"/>
                                <w:bottom w:val="none" w:sz="0" w:space="0" w:color="auto"/>
                                <w:right w:val="none" w:sz="0" w:space="0" w:color="auto"/>
                              </w:divBdr>
                              <w:divsChild>
                                <w:div w:id="285433711">
                                  <w:marLeft w:val="0"/>
                                  <w:marRight w:val="0"/>
                                  <w:marTop w:val="0"/>
                                  <w:marBottom w:val="0"/>
                                  <w:divBdr>
                                    <w:top w:val="none" w:sz="0" w:space="0" w:color="auto"/>
                                    <w:left w:val="none" w:sz="0" w:space="0" w:color="auto"/>
                                    <w:bottom w:val="none" w:sz="0" w:space="0" w:color="auto"/>
                                    <w:right w:val="none" w:sz="0" w:space="0" w:color="auto"/>
                                  </w:divBdr>
                                </w:div>
                              </w:divsChild>
                            </w:div>
                            <w:div w:id="16167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341010">
          <w:marLeft w:val="0"/>
          <w:marRight w:val="0"/>
          <w:marTop w:val="0"/>
          <w:marBottom w:val="0"/>
          <w:divBdr>
            <w:top w:val="none" w:sz="0" w:space="0" w:color="auto"/>
            <w:left w:val="none" w:sz="0" w:space="0" w:color="auto"/>
            <w:bottom w:val="none" w:sz="0" w:space="0" w:color="auto"/>
            <w:right w:val="none" w:sz="0" w:space="0" w:color="auto"/>
          </w:divBdr>
          <w:divsChild>
            <w:div w:id="1012150651">
              <w:marLeft w:val="0"/>
              <w:marRight w:val="0"/>
              <w:marTop w:val="0"/>
              <w:marBottom w:val="0"/>
              <w:divBdr>
                <w:top w:val="none" w:sz="0" w:space="0" w:color="auto"/>
                <w:left w:val="none" w:sz="0" w:space="0" w:color="auto"/>
                <w:bottom w:val="none" w:sz="0" w:space="0" w:color="auto"/>
                <w:right w:val="none" w:sz="0" w:space="0" w:color="auto"/>
              </w:divBdr>
            </w:div>
            <w:div w:id="18740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9371">
      <w:bodyDiv w:val="1"/>
      <w:marLeft w:val="0"/>
      <w:marRight w:val="0"/>
      <w:marTop w:val="0"/>
      <w:marBottom w:val="0"/>
      <w:divBdr>
        <w:top w:val="none" w:sz="0" w:space="0" w:color="auto"/>
        <w:left w:val="none" w:sz="0" w:space="0" w:color="auto"/>
        <w:bottom w:val="none" w:sz="0" w:space="0" w:color="auto"/>
        <w:right w:val="none" w:sz="0" w:space="0" w:color="auto"/>
      </w:divBdr>
      <w:divsChild>
        <w:div w:id="2099328976">
          <w:marLeft w:val="0"/>
          <w:marRight w:val="0"/>
          <w:marTop w:val="0"/>
          <w:marBottom w:val="45"/>
          <w:divBdr>
            <w:top w:val="none" w:sz="0" w:space="0" w:color="auto"/>
            <w:left w:val="none" w:sz="0" w:space="0" w:color="auto"/>
            <w:bottom w:val="none" w:sz="0" w:space="0" w:color="auto"/>
            <w:right w:val="none" w:sz="0" w:space="0" w:color="auto"/>
          </w:divBdr>
        </w:div>
      </w:divsChild>
    </w:div>
    <w:div w:id="1149591533">
      <w:bodyDiv w:val="1"/>
      <w:marLeft w:val="0"/>
      <w:marRight w:val="0"/>
      <w:marTop w:val="0"/>
      <w:marBottom w:val="0"/>
      <w:divBdr>
        <w:top w:val="none" w:sz="0" w:space="0" w:color="auto"/>
        <w:left w:val="none" w:sz="0" w:space="0" w:color="auto"/>
        <w:bottom w:val="none" w:sz="0" w:space="0" w:color="auto"/>
        <w:right w:val="none" w:sz="0" w:space="0" w:color="auto"/>
      </w:divBdr>
      <w:divsChild>
        <w:div w:id="1398046314">
          <w:marLeft w:val="0"/>
          <w:marRight w:val="0"/>
          <w:marTop w:val="0"/>
          <w:marBottom w:val="45"/>
          <w:divBdr>
            <w:top w:val="none" w:sz="0" w:space="0" w:color="auto"/>
            <w:left w:val="none" w:sz="0" w:space="0" w:color="auto"/>
            <w:bottom w:val="none" w:sz="0" w:space="0" w:color="auto"/>
            <w:right w:val="none" w:sz="0" w:space="0" w:color="auto"/>
          </w:divBdr>
        </w:div>
      </w:divsChild>
    </w:div>
    <w:div w:id="1179586829">
      <w:bodyDiv w:val="1"/>
      <w:marLeft w:val="0"/>
      <w:marRight w:val="0"/>
      <w:marTop w:val="0"/>
      <w:marBottom w:val="0"/>
      <w:divBdr>
        <w:top w:val="none" w:sz="0" w:space="0" w:color="auto"/>
        <w:left w:val="none" w:sz="0" w:space="0" w:color="auto"/>
        <w:bottom w:val="none" w:sz="0" w:space="0" w:color="auto"/>
        <w:right w:val="none" w:sz="0" w:space="0" w:color="auto"/>
      </w:divBdr>
    </w:div>
    <w:div w:id="1221360590">
      <w:bodyDiv w:val="1"/>
      <w:marLeft w:val="0"/>
      <w:marRight w:val="0"/>
      <w:marTop w:val="0"/>
      <w:marBottom w:val="0"/>
      <w:divBdr>
        <w:top w:val="none" w:sz="0" w:space="0" w:color="auto"/>
        <w:left w:val="none" w:sz="0" w:space="0" w:color="auto"/>
        <w:bottom w:val="none" w:sz="0" w:space="0" w:color="auto"/>
        <w:right w:val="none" w:sz="0" w:space="0" w:color="auto"/>
      </w:divBdr>
    </w:div>
    <w:div w:id="1233152980">
      <w:bodyDiv w:val="1"/>
      <w:marLeft w:val="0"/>
      <w:marRight w:val="0"/>
      <w:marTop w:val="0"/>
      <w:marBottom w:val="0"/>
      <w:divBdr>
        <w:top w:val="none" w:sz="0" w:space="0" w:color="auto"/>
        <w:left w:val="none" w:sz="0" w:space="0" w:color="auto"/>
        <w:bottom w:val="none" w:sz="0" w:space="0" w:color="auto"/>
        <w:right w:val="none" w:sz="0" w:space="0" w:color="auto"/>
      </w:divBdr>
    </w:div>
    <w:div w:id="1247034045">
      <w:bodyDiv w:val="1"/>
      <w:marLeft w:val="0"/>
      <w:marRight w:val="0"/>
      <w:marTop w:val="0"/>
      <w:marBottom w:val="0"/>
      <w:divBdr>
        <w:top w:val="none" w:sz="0" w:space="0" w:color="auto"/>
        <w:left w:val="none" w:sz="0" w:space="0" w:color="auto"/>
        <w:bottom w:val="none" w:sz="0" w:space="0" w:color="auto"/>
        <w:right w:val="none" w:sz="0" w:space="0" w:color="auto"/>
      </w:divBdr>
    </w:div>
    <w:div w:id="1273170646">
      <w:bodyDiv w:val="1"/>
      <w:marLeft w:val="0"/>
      <w:marRight w:val="0"/>
      <w:marTop w:val="0"/>
      <w:marBottom w:val="0"/>
      <w:divBdr>
        <w:top w:val="none" w:sz="0" w:space="0" w:color="auto"/>
        <w:left w:val="none" w:sz="0" w:space="0" w:color="auto"/>
        <w:bottom w:val="none" w:sz="0" w:space="0" w:color="auto"/>
        <w:right w:val="none" w:sz="0" w:space="0" w:color="auto"/>
      </w:divBdr>
    </w:div>
    <w:div w:id="1283610647">
      <w:bodyDiv w:val="1"/>
      <w:marLeft w:val="0"/>
      <w:marRight w:val="0"/>
      <w:marTop w:val="0"/>
      <w:marBottom w:val="0"/>
      <w:divBdr>
        <w:top w:val="none" w:sz="0" w:space="0" w:color="auto"/>
        <w:left w:val="none" w:sz="0" w:space="0" w:color="auto"/>
        <w:bottom w:val="none" w:sz="0" w:space="0" w:color="auto"/>
        <w:right w:val="none" w:sz="0" w:space="0" w:color="auto"/>
      </w:divBdr>
    </w:div>
    <w:div w:id="1316033404">
      <w:bodyDiv w:val="1"/>
      <w:marLeft w:val="0"/>
      <w:marRight w:val="0"/>
      <w:marTop w:val="0"/>
      <w:marBottom w:val="0"/>
      <w:divBdr>
        <w:top w:val="none" w:sz="0" w:space="0" w:color="auto"/>
        <w:left w:val="none" w:sz="0" w:space="0" w:color="auto"/>
        <w:bottom w:val="none" w:sz="0" w:space="0" w:color="auto"/>
        <w:right w:val="none" w:sz="0" w:space="0" w:color="auto"/>
      </w:divBdr>
    </w:div>
    <w:div w:id="1370253477">
      <w:bodyDiv w:val="1"/>
      <w:marLeft w:val="0"/>
      <w:marRight w:val="0"/>
      <w:marTop w:val="0"/>
      <w:marBottom w:val="0"/>
      <w:divBdr>
        <w:top w:val="none" w:sz="0" w:space="0" w:color="auto"/>
        <w:left w:val="none" w:sz="0" w:space="0" w:color="auto"/>
        <w:bottom w:val="none" w:sz="0" w:space="0" w:color="auto"/>
        <w:right w:val="none" w:sz="0" w:space="0" w:color="auto"/>
      </w:divBdr>
    </w:div>
    <w:div w:id="1432045460">
      <w:bodyDiv w:val="1"/>
      <w:marLeft w:val="0"/>
      <w:marRight w:val="0"/>
      <w:marTop w:val="0"/>
      <w:marBottom w:val="0"/>
      <w:divBdr>
        <w:top w:val="none" w:sz="0" w:space="0" w:color="auto"/>
        <w:left w:val="none" w:sz="0" w:space="0" w:color="auto"/>
        <w:bottom w:val="none" w:sz="0" w:space="0" w:color="auto"/>
        <w:right w:val="none" w:sz="0" w:space="0" w:color="auto"/>
      </w:divBdr>
    </w:div>
    <w:div w:id="1458719800">
      <w:bodyDiv w:val="1"/>
      <w:marLeft w:val="0"/>
      <w:marRight w:val="0"/>
      <w:marTop w:val="0"/>
      <w:marBottom w:val="0"/>
      <w:divBdr>
        <w:top w:val="none" w:sz="0" w:space="0" w:color="auto"/>
        <w:left w:val="none" w:sz="0" w:space="0" w:color="auto"/>
        <w:bottom w:val="none" w:sz="0" w:space="0" w:color="auto"/>
        <w:right w:val="none" w:sz="0" w:space="0" w:color="auto"/>
      </w:divBdr>
    </w:div>
    <w:div w:id="1520856523">
      <w:bodyDiv w:val="1"/>
      <w:marLeft w:val="0"/>
      <w:marRight w:val="0"/>
      <w:marTop w:val="0"/>
      <w:marBottom w:val="0"/>
      <w:divBdr>
        <w:top w:val="none" w:sz="0" w:space="0" w:color="auto"/>
        <w:left w:val="none" w:sz="0" w:space="0" w:color="auto"/>
        <w:bottom w:val="none" w:sz="0" w:space="0" w:color="auto"/>
        <w:right w:val="none" w:sz="0" w:space="0" w:color="auto"/>
      </w:divBdr>
    </w:div>
    <w:div w:id="1523323672">
      <w:bodyDiv w:val="1"/>
      <w:marLeft w:val="0"/>
      <w:marRight w:val="0"/>
      <w:marTop w:val="0"/>
      <w:marBottom w:val="0"/>
      <w:divBdr>
        <w:top w:val="none" w:sz="0" w:space="0" w:color="auto"/>
        <w:left w:val="none" w:sz="0" w:space="0" w:color="auto"/>
        <w:bottom w:val="none" w:sz="0" w:space="0" w:color="auto"/>
        <w:right w:val="none" w:sz="0" w:space="0" w:color="auto"/>
      </w:divBdr>
    </w:div>
    <w:div w:id="1694988761">
      <w:bodyDiv w:val="1"/>
      <w:marLeft w:val="0"/>
      <w:marRight w:val="0"/>
      <w:marTop w:val="0"/>
      <w:marBottom w:val="0"/>
      <w:divBdr>
        <w:top w:val="none" w:sz="0" w:space="0" w:color="auto"/>
        <w:left w:val="none" w:sz="0" w:space="0" w:color="auto"/>
        <w:bottom w:val="none" w:sz="0" w:space="0" w:color="auto"/>
        <w:right w:val="none" w:sz="0" w:space="0" w:color="auto"/>
      </w:divBdr>
    </w:div>
    <w:div w:id="1713651167">
      <w:bodyDiv w:val="1"/>
      <w:marLeft w:val="0"/>
      <w:marRight w:val="0"/>
      <w:marTop w:val="0"/>
      <w:marBottom w:val="0"/>
      <w:divBdr>
        <w:top w:val="none" w:sz="0" w:space="0" w:color="auto"/>
        <w:left w:val="none" w:sz="0" w:space="0" w:color="auto"/>
        <w:bottom w:val="none" w:sz="0" w:space="0" w:color="auto"/>
        <w:right w:val="none" w:sz="0" w:space="0" w:color="auto"/>
      </w:divBdr>
    </w:div>
    <w:div w:id="1750224901">
      <w:bodyDiv w:val="1"/>
      <w:marLeft w:val="0"/>
      <w:marRight w:val="0"/>
      <w:marTop w:val="0"/>
      <w:marBottom w:val="0"/>
      <w:divBdr>
        <w:top w:val="none" w:sz="0" w:space="0" w:color="auto"/>
        <w:left w:val="none" w:sz="0" w:space="0" w:color="auto"/>
        <w:bottom w:val="none" w:sz="0" w:space="0" w:color="auto"/>
        <w:right w:val="none" w:sz="0" w:space="0" w:color="auto"/>
      </w:divBdr>
    </w:div>
    <w:div w:id="1860118873">
      <w:bodyDiv w:val="1"/>
      <w:marLeft w:val="0"/>
      <w:marRight w:val="0"/>
      <w:marTop w:val="0"/>
      <w:marBottom w:val="0"/>
      <w:divBdr>
        <w:top w:val="none" w:sz="0" w:space="0" w:color="auto"/>
        <w:left w:val="none" w:sz="0" w:space="0" w:color="auto"/>
        <w:bottom w:val="none" w:sz="0" w:space="0" w:color="auto"/>
        <w:right w:val="none" w:sz="0" w:space="0" w:color="auto"/>
      </w:divBdr>
    </w:div>
    <w:div w:id="1902211095">
      <w:bodyDiv w:val="1"/>
      <w:marLeft w:val="0"/>
      <w:marRight w:val="0"/>
      <w:marTop w:val="0"/>
      <w:marBottom w:val="0"/>
      <w:divBdr>
        <w:top w:val="none" w:sz="0" w:space="0" w:color="auto"/>
        <w:left w:val="none" w:sz="0" w:space="0" w:color="auto"/>
        <w:bottom w:val="none" w:sz="0" w:space="0" w:color="auto"/>
        <w:right w:val="none" w:sz="0" w:space="0" w:color="auto"/>
      </w:divBdr>
    </w:div>
    <w:div w:id="1912815116">
      <w:bodyDiv w:val="1"/>
      <w:marLeft w:val="0"/>
      <w:marRight w:val="0"/>
      <w:marTop w:val="0"/>
      <w:marBottom w:val="0"/>
      <w:divBdr>
        <w:top w:val="none" w:sz="0" w:space="0" w:color="auto"/>
        <w:left w:val="none" w:sz="0" w:space="0" w:color="auto"/>
        <w:bottom w:val="none" w:sz="0" w:space="0" w:color="auto"/>
        <w:right w:val="none" w:sz="0" w:space="0" w:color="auto"/>
      </w:divBdr>
    </w:div>
    <w:div w:id="2087994878">
      <w:bodyDiv w:val="1"/>
      <w:marLeft w:val="0"/>
      <w:marRight w:val="0"/>
      <w:marTop w:val="0"/>
      <w:marBottom w:val="0"/>
      <w:divBdr>
        <w:top w:val="none" w:sz="0" w:space="0" w:color="auto"/>
        <w:left w:val="none" w:sz="0" w:space="0" w:color="auto"/>
        <w:bottom w:val="none" w:sz="0" w:space="0" w:color="auto"/>
        <w:right w:val="none" w:sz="0" w:space="0" w:color="auto"/>
      </w:divBdr>
    </w:div>
    <w:div w:id="2119982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marinepests.gov.au/what-we-do/emergency/biosecurity-incident-management-system" TargetMode="External"/><Relationship Id="rId21" Type="http://schemas.openxmlformats.org/officeDocument/2006/relationships/footer" Target="footer1.xml"/><Relationship Id="rId324" Type="http://schemas.openxmlformats.org/officeDocument/2006/relationships/hyperlink" Target="https://www.semanticscholar.org/paper/Man-made-marinas-as-sheltered-islands-for-alien-and-Bax-Hayes/8581c88b5415d31c0154962e5d3a216daf29d4ab" TargetMode="External"/><Relationship Id="rId531" Type="http://schemas.openxmlformats.org/officeDocument/2006/relationships/hyperlink" Target="https://eprints.cmfri.org.in/446/" TargetMode="External"/><Relationship Id="rId629" Type="http://schemas.openxmlformats.org/officeDocument/2006/relationships/hyperlink" Target="https://pir.sa.gov.au/__data/assets/pdf_file/0009/345573/Validation_of_molecular_surveillance_parallel_traditional_and_molecular_surveys_for_priority_marine_pests.pdf" TargetMode="External"/><Relationship Id="rId170" Type="http://schemas.openxmlformats.org/officeDocument/2006/relationships/hyperlink" Target="https://boldsystems.org/" TargetMode="External"/><Relationship Id="rId268" Type="http://schemas.openxmlformats.org/officeDocument/2006/relationships/image" Target="media/image50.png"/><Relationship Id="rId475" Type="http://schemas.openxmlformats.org/officeDocument/2006/relationships/hyperlink" Target="https://www.hydroecologie.org/articles/hydro/abs/1998/01/hydro98101F/hydro98101F.html" TargetMode="External"/><Relationship Id="rId32" Type="http://schemas.openxmlformats.org/officeDocument/2006/relationships/hyperlink" Target="https://www.marinepests.gov.au/what-we-do/apmpl" TargetMode="External"/><Relationship Id="rId128" Type="http://schemas.openxmlformats.org/officeDocument/2006/relationships/hyperlink" Target="http://www.agriculture.gov.au/biosecurity/avm/vessels/biofouling/anti-fouling-and-inwater-cleaning-guidelines" TargetMode="External"/><Relationship Id="rId335" Type="http://schemas.openxmlformats.org/officeDocument/2006/relationships/hyperlink" Target="https://www.sciencedirect.com/science/article/abs/pii/S0141118719309526" TargetMode="External"/><Relationship Id="rId542" Type="http://schemas.openxmlformats.org/officeDocument/2006/relationships/hyperlink" Target="https://link.springer.com/article/10.1007/s10126-004-0034-z" TargetMode="External"/><Relationship Id="rId181" Type="http://schemas.openxmlformats.org/officeDocument/2006/relationships/hyperlink" Target="https://www.agriculture.gov.au/sites/default/files/sitecollectiondocuments/biosecurity/framework-pests-diseases.pdf" TargetMode="External"/><Relationship Id="rId402" Type="http://schemas.openxmlformats.org/officeDocument/2006/relationships/hyperlink" Target="https://www.pir.sa.gov.au/__data/assets/pdf_file/0007/395206/marine-pest-testing-research-report.pdf" TargetMode="External"/><Relationship Id="rId279" Type="http://schemas.openxmlformats.org/officeDocument/2006/relationships/hyperlink" Target="https://doi.org/10.15468/dl.n9j3f4" TargetMode="External"/><Relationship Id="rId486" Type="http://schemas.openxmlformats.org/officeDocument/2006/relationships/hyperlink" Target="https://www.academia.edu/25570686/A_Preliminary_Assessment_of_the_Occurrence_of_the_Invasive_Asian_Green_Mussel_Perna_viridis_in_South_Carolina" TargetMode="External"/><Relationship Id="rId43" Type="http://schemas.openxmlformats.org/officeDocument/2006/relationships/hyperlink" Target="https://nimpis.marinepests.gov.au/species/species/10" TargetMode="External"/><Relationship Id="rId139" Type="http://schemas.openxmlformats.org/officeDocument/2006/relationships/hyperlink" Target="https://www.agriculture.gov.au/biosecurity-trade/aircraft-vessels-military/vessels/mars" TargetMode="External"/><Relationship Id="rId346" Type="http://schemas.openxmlformats.org/officeDocument/2006/relationships/hyperlink" Target="https://journals.plos.org/plosone/article?id=10.1371/journal.pone.0180619" TargetMode="External"/><Relationship Id="rId553" Type="http://schemas.openxmlformats.org/officeDocument/2006/relationships/hyperlink" Target="https://pubmed.ncbi.nlm.nih.gov/12712297/" TargetMode="External"/><Relationship Id="rId192" Type="http://schemas.openxmlformats.org/officeDocument/2006/relationships/hyperlink" Target="https://www.agriculture.gov.au/agriculture-land/animal/aquatic/aquavetplan/disposal" TargetMode="External"/><Relationship Id="rId206" Type="http://schemas.openxmlformats.org/officeDocument/2006/relationships/hyperlink" Target="https://www.marinepests.gov.au/what-we-do/research/compendium-marine-pest-studies" TargetMode="External"/><Relationship Id="rId413" Type="http://schemas.openxmlformats.org/officeDocument/2006/relationships/hyperlink" Target="https://www.cambridge.org/core/journals/netherlands-journal-of-geosciences/article/are-medieval-mya-arenaria-mollusca-bivalvia-in-the-netherlands-also-clams-before-columbus/CDA488AB17BE4A793E631BFDE3CBEFA7" TargetMode="External"/><Relationship Id="rId497" Type="http://schemas.openxmlformats.org/officeDocument/2006/relationships/hyperlink" Target="https://link.springer.com/book/10.1007/978-94-015-9956-6" TargetMode="External"/><Relationship Id="rId620" Type="http://schemas.openxmlformats.org/officeDocument/2006/relationships/hyperlink" Target="https://pubmed.ncbi.nlm.nih.gov/25102915/" TargetMode="External"/><Relationship Id="rId357" Type="http://schemas.openxmlformats.org/officeDocument/2006/relationships/hyperlink" Target="https://link.springer.com/article/10.1007/s10530-015-1000-6" TargetMode="External"/><Relationship Id="rId54" Type="http://schemas.openxmlformats.org/officeDocument/2006/relationships/hyperlink" Target="https://www.agriculture.gov.au/agriculture-land/animal/aquatic/reporting/reportable-diseases" TargetMode="External"/><Relationship Id="rId217" Type="http://schemas.openxmlformats.org/officeDocument/2006/relationships/hyperlink" Target="https://www.marinepests.gov.au/what-we-do/research/compendium-marine-pest-studies" TargetMode="External"/><Relationship Id="rId564" Type="http://schemas.openxmlformats.org/officeDocument/2006/relationships/hyperlink" Target="https://www.int-res.com/articles/meps_oa/m458p039.pdf" TargetMode="External"/><Relationship Id="rId424" Type="http://schemas.openxmlformats.org/officeDocument/2006/relationships/hyperlink" Target="https://www.tandfonline.com/doi/abs/10.1080/08927014.2021.1985474" TargetMode="External"/><Relationship Id="rId631" Type="http://schemas.openxmlformats.org/officeDocument/2006/relationships/hyperlink" Target="https://pir.sa.gov.au/__data/assets/pdf_file/0011/355916/Molecular_surveys_for_priority_marine_pests_in_2018-2019_for_the_ports_of_Gove,_Weipa,_Hay_Point,_Newcastle,_Botany_Bay,_Port_Kembla_and_Devonport.pdf" TargetMode="External"/><Relationship Id="rId270" Type="http://schemas.openxmlformats.org/officeDocument/2006/relationships/image" Target="media/image52.jpeg"/><Relationship Id="rId65" Type="http://schemas.openxmlformats.org/officeDocument/2006/relationships/hyperlink" Target="https://nimpis.marinepests.gov.au/" TargetMode="External"/><Relationship Id="rId130" Type="http://schemas.openxmlformats.org/officeDocument/2006/relationships/hyperlink" Target="https://www.agriculture.gov.au/biosecurity-trade/aircraft-vessels-military/vessels/marine-pest-biosecurity/biofouling/anti-fouling-and-inwater-cleaning-guidelines" TargetMode="External"/><Relationship Id="rId368" Type="http://schemas.openxmlformats.org/officeDocument/2006/relationships/hyperlink" Target="https://www.reabic.net/journals/mbi/2019/Issue3.aspx" TargetMode="External"/><Relationship Id="rId575" Type="http://schemas.openxmlformats.org/officeDocument/2006/relationships/hyperlink" Target="https://www.agriculture.gov.au/sites/default/files/documents/assessment-of-reproductive-propagule-size-for-biofouling-risk-groups.pdf" TargetMode="External"/><Relationship Id="rId228" Type="http://schemas.openxmlformats.org/officeDocument/2006/relationships/image" Target="media/image30.png"/><Relationship Id="rId435" Type="http://schemas.openxmlformats.org/officeDocument/2006/relationships/hyperlink" Target="https://www.sciencedirect.com/science/article/pii/S0006320704004124?via%3Dihub" TargetMode="External"/><Relationship Id="rId642" Type="http://schemas.openxmlformats.org/officeDocument/2006/relationships/hyperlink" Target="https://www.tandfonline.com/doi/abs/10.1080/00288330.2004.9517260" TargetMode="External"/><Relationship Id="rId281" Type="http://schemas.openxmlformats.org/officeDocument/2006/relationships/image" Target="media/image59.jpeg"/><Relationship Id="rId502" Type="http://schemas.openxmlformats.org/officeDocument/2006/relationships/hyperlink" Target="https://www.tandfonline.com/doi/full/10.1080/13235818.2018.1423858" TargetMode="External"/><Relationship Id="rId76" Type="http://schemas.openxmlformats.org/officeDocument/2006/relationships/hyperlink" Target="https://www.marinepests.gov.au/sites/default/files/Documents/biosecurity-emergency-management-bimg_0.pdf" TargetMode="External"/><Relationship Id="rId141" Type="http://schemas.openxmlformats.org/officeDocument/2006/relationships/hyperlink" Target="https://www.imo.org/en/About/Conventions/Pages/International-Convention-for-the-Control-and-Management-of-Ships%27-Ballast-Water-and-Sediments-(BWM).aspx" TargetMode="External"/><Relationship Id="rId379" Type="http://schemas.openxmlformats.org/officeDocument/2006/relationships/hyperlink" Target="https://www.int-res.com/articles/meps/162/m162p137.pdf" TargetMode="External"/><Relationship Id="rId586" Type="http://schemas.openxmlformats.org/officeDocument/2006/relationships/hyperlink" Target="https://pubmed.ncbi.nlm.nih.gov/19967719/" TargetMode="External"/><Relationship Id="rId7" Type="http://schemas.openxmlformats.org/officeDocument/2006/relationships/settings" Target="settings.xml"/><Relationship Id="rId239" Type="http://schemas.openxmlformats.org/officeDocument/2006/relationships/hyperlink" Target="https://www.marinepests.gov.au/what-we-do/apmpl" TargetMode="External"/><Relationship Id="rId446" Type="http://schemas.openxmlformats.org/officeDocument/2006/relationships/hyperlink" Target="https://molluscsoftasmania.org.au/project/arcuatula-senhousia/" TargetMode="External"/><Relationship Id="rId653" Type="http://schemas.openxmlformats.org/officeDocument/2006/relationships/theme" Target="theme/theme1.xml"/><Relationship Id="rId292" Type="http://schemas.openxmlformats.org/officeDocument/2006/relationships/hyperlink" Target="http://www.daff.qld.gov.au/fisheries/" TargetMode="External"/><Relationship Id="rId306" Type="http://schemas.openxmlformats.org/officeDocument/2006/relationships/hyperlink" Target="https://www.marinepests.gov.au/sites/default/files/Documents/australian-marine-pest-monitoring-manual.pdf" TargetMode="External"/><Relationship Id="rId87" Type="http://schemas.openxmlformats.org/officeDocument/2006/relationships/hyperlink" Target="https://www.agriculture.gov.au/biosecurity-trade/import/goods/food/type/bivalve-molluscs" TargetMode="External"/><Relationship Id="rId513" Type="http://schemas.openxmlformats.org/officeDocument/2006/relationships/hyperlink" Target="https://publications.csiro.au/rpr/pub?list=SEA&amp;pid=procite:4a7989f1-c79a-4f94-bfb6-0ca818913569&amp;sb=RECENT&amp;expert=false&amp;n=1&amp;rpp=25&amp;page=1&amp;tr=1&amp;q=A%20review%20of%20rapid%20response%20options%20for%20the%20control%20of%20ABWMAC%20listed%20introduced%20marine%20pest%20species%20and%20related%20taxa%20in%20Australian%20waters&amp;dr=all" TargetMode="External"/><Relationship Id="rId597" Type="http://schemas.openxmlformats.org/officeDocument/2006/relationships/hyperlink" Target="https://www.tandfonline.com/doi/full/10.1080/07924259.2018.1505671" TargetMode="External"/><Relationship Id="rId152" Type="http://schemas.openxmlformats.org/officeDocument/2006/relationships/hyperlink" Target="https://www.bitre.gov.au/" TargetMode="External"/><Relationship Id="rId457" Type="http://schemas.openxmlformats.org/officeDocument/2006/relationships/hyperlink" Target="https://link.springer.com/article/10.1007/s10531-016-1209-4" TargetMode="External"/><Relationship Id="rId14" Type="http://schemas.openxmlformats.org/officeDocument/2006/relationships/hyperlink" Target="http://www.marinepests.gov.au" TargetMode="External"/><Relationship Id="rId317" Type="http://schemas.openxmlformats.org/officeDocument/2006/relationships/hyperlink" Target="https://www.sciencedirect.com/science/article/pii/S161713811730153X" TargetMode="External"/><Relationship Id="rId524" Type="http://schemas.openxmlformats.org/officeDocument/2006/relationships/hyperlink" Target="https://academic.oup.com/mollus/article/47/1/25/992207" TargetMode="External"/><Relationship Id="rId98" Type="http://schemas.openxmlformats.org/officeDocument/2006/relationships/hyperlink" Target="https://www.marinepests.gov.au/commercial/vessels/biofouling-non-trading" TargetMode="External"/><Relationship Id="rId163" Type="http://schemas.openxmlformats.org/officeDocument/2006/relationships/hyperlink" Target="https://www.marinepests.gov.au/sites/default/files/Documents/australian-marine-pest-monitoring-guidelines.pdf" TargetMode="External"/><Relationship Id="rId370" Type="http://schemas.openxmlformats.org/officeDocument/2006/relationships/hyperlink" Target="https://www.sciencedirect.com/science/article/pii/S0025326X03002923?via%3Dihub" TargetMode="External"/><Relationship Id="rId230" Type="http://schemas.openxmlformats.org/officeDocument/2006/relationships/hyperlink" Target="https://www.marinepests.gov.au/sites/default/files/Documents/national-control-plan-asian-bag-date-mussel-musculista-senhousia.pdf" TargetMode="External"/><Relationship Id="rId468" Type="http://schemas.openxmlformats.org/officeDocument/2006/relationships/hyperlink" Target="https://pubmed.ncbi.nlm.nih.gov/31385534/" TargetMode="External"/><Relationship Id="rId25" Type="http://schemas.openxmlformats.org/officeDocument/2006/relationships/hyperlink" Target="https://www.marinepests.gov.au/what-we-do/emergency/response-manuals" TargetMode="External"/><Relationship Id="rId328" Type="http://schemas.openxmlformats.org/officeDocument/2006/relationships/hyperlink" Target="https://pubmed.ncbi.nlm.nih.gov/24182900/" TargetMode="External"/><Relationship Id="rId535" Type="http://schemas.openxmlformats.org/officeDocument/2006/relationships/hyperlink" Target="https://www.sciencedirect.com/science/article/pii/S0362028X23067327" TargetMode="External"/><Relationship Id="rId174" Type="http://schemas.openxmlformats.org/officeDocument/2006/relationships/hyperlink" Target="https://www.marinepests.gov.au/what-we-do/research/compendium-marine-pest-studies" TargetMode="External"/><Relationship Id="rId381" Type="http://schemas.openxmlformats.org/officeDocument/2006/relationships/hyperlink" Target="https://www.agriculture.gov.au/sites/default/files/sitecollectiondocuments/animal-plant/aquatic/aquavetplan/destruct-manual.pdf" TargetMode="External"/><Relationship Id="rId602" Type="http://schemas.openxmlformats.org/officeDocument/2006/relationships/hyperlink" Target="https://www.waterboards.ca.gov/waterrights/water_issues/programs/bay_delta/california_waterfix/exhibits/docs/RestoretheDelta/part2/RTD_190.pdf" TargetMode="External"/><Relationship Id="rId241" Type="http://schemas.openxmlformats.org/officeDocument/2006/relationships/image" Target="media/image35.png"/><Relationship Id="rId479" Type="http://schemas.openxmlformats.org/officeDocument/2006/relationships/hyperlink" Target="https://www.sciencedirect.com/science/article/pii/0044848684901893" TargetMode="External"/><Relationship Id="rId36" Type="http://schemas.openxmlformats.org/officeDocument/2006/relationships/hyperlink" Target="https://www.agriculture.gov.au/biosecurity-trade/policy/environmental/priority-list" TargetMode="External"/><Relationship Id="rId339" Type="http://schemas.openxmlformats.org/officeDocument/2006/relationships/hyperlink" Target="https://onlinelibrary.wiley.com/doi/10.1111/1755-0998.13367" TargetMode="External"/><Relationship Id="rId546" Type="http://schemas.openxmlformats.org/officeDocument/2006/relationships/hyperlink" Target="https://www.sciencedirect.com/science/article/pii/S0025326X2100223X" TargetMode="External"/><Relationship Id="rId101" Type="http://schemas.openxmlformats.org/officeDocument/2006/relationships/hyperlink" Target="https://www.dpi.nsw.gov.au/dpi/bfs/aquatic-biosecurity/aquatic-pests-and-diseases/marine-pests/bivalve-molluscs/pacific-oyster" TargetMode="External"/><Relationship Id="rId185" Type="http://schemas.openxmlformats.org/officeDocument/2006/relationships/hyperlink" Target="https://fabdock.com/" TargetMode="External"/><Relationship Id="rId406" Type="http://schemas.openxmlformats.org/officeDocument/2006/relationships/hyperlink" Target="https://www.tandfonline.com/doi/abs/10.1080/00288330.2003.9517200" TargetMode="External"/><Relationship Id="rId392" Type="http://schemas.openxmlformats.org/officeDocument/2006/relationships/hyperlink" Target="https://www.sciencedirect.com/science/article/pii/S0308597X17303421" TargetMode="External"/><Relationship Id="rId613" Type="http://schemas.openxmlformats.org/officeDocument/2006/relationships/hyperlink" Target="https://bioone.org/journals/journal-of-shellfish-research/volume-27/issue-3/0730-8000(2008)27%5b481%3aIOCAAR%5d2.0.CO%3b2/Identification-of-Crassostrea-ariakensis-and-Related-Oysters-by-Multiplex-Species/10.2983/0730-8000(2008)27%5b481:IOCAAR%5d2.0.CO;2.short" TargetMode="External"/><Relationship Id="rId252" Type="http://schemas.openxmlformats.org/officeDocument/2006/relationships/image" Target="media/image41.jpeg"/><Relationship Id="rId47" Type="http://schemas.openxmlformats.org/officeDocument/2006/relationships/hyperlink" Target="https://nimpis.marinepests.gov.au/species/species/61" TargetMode="External"/><Relationship Id="rId112" Type="http://schemas.openxmlformats.org/officeDocument/2006/relationships/hyperlink" Target="https://www.agriculture.gov.au/biosecurity-trade/policy/emergency/nebra" TargetMode="External"/><Relationship Id="rId557" Type="http://schemas.openxmlformats.org/officeDocument/2006/relationships/hyperlink" Target="https://www.sciencedirect.com/science/article/pii/S0043135405004744?via%3Dihub" TargetMode="External"/><Relationship Id="rId196" Type="http://schemas.openxmlformats.org/officeDocument/2006/relationships/hyperlink" Target="http://www.iucngisd.org/gisd/100_worst.php" TargetMode="External"/><Relationship Id="rId417" Type="http://schemas.openxmlformats.org/officeDocument/2006/relationships/hyperlink" Target="https://link.springer.com/article/10.1007/s10530-017-1489-y" TargetMode="External"/><Relationship Id="rId624" Type="http://schemas.openxmlformats.org/officeDocument/2006/relationships/hyperlink" Target="https://www.tandfonline.com/doi/full/10.1080/13235818.2020.1865514" TargetMode="External"/><Relationship Id="rId263" Type="http://schemas.openxmlformats.org/officeDocument/2006/relationships/hyperlink" Target="https://doi.org/10.15468/dl.uajk3x" TargetMode="External"/><Relationship Id="rId470" Type="http://schemas.openxmlformats.org/officeDocument/2006/relationships/hyperlink" Target="https://www.mpi.govt.nz/dmsdocument/4029-scenarios-of-vessel-biofouling-risk-and-their-management" TargetMode="External"/><Relationship Id="rId58" Type="http://schemas.openxmlformats.org/officeDocument/2006/relationships/hyperlink" Target="https://www.agriculture.gov.au/sites/default/files/sitecollectiondocuments/animal-plant-health/aquatic/aquavetplan/aquavetplan-dsm-ostreid-herpes.pdf" TargetMode="External"/><Relationship Id="rId123" Type="http://schemas.openxmlformats.org/officeDocument/2006/relationships/image" Target="media/image8.jpeg"/><Relationship Id="rId330" Type="http://schemas.openxmlformats.org/officeDocument/2006/relationships/hyperlink" Target="https://pir.sa.gov.au/__data/assets/pdf_file/0004/232087/Molecular_tools_for_detection_of_marine_pests_Musculista_senhousia,_Corbula_gibba_and_Perna_canaliculus_quantitative_PCR_assays._.pdf" TargetMode="External"/><Relationship Id="rId568" Type="http://schemas.openxmlformats.org/officeDocument/2006/relationships/hyperlink" Target="https://academic.oup.com/zoolinnean/article/179/2/263/2957804" TargetMode="External"/><Relationship Id="rId165" Type="http://schemas.openxmlformats.org/officeDocument/2006/relationships/hyperlink" Target="https://www.marinepests.gov.au/sites/default/files/Documents/australian-marine-pest-monitoring-manual.pdf" TargetMode="External"/><Relationship Id="rId372" Type="http://schemas.openxmlformats.org/officeDocument/2006/relationships/hyperlink" Target="https://www.frdc.com.au/sites/default/files/products/2010-734-DLD.pdf" TargetMode="External"/><Relationship Id="rId428" Type="http://schemas.openxmlformats.org/officeDocument/2006/relationships/hyperlink" Target="https://link.springer.com/chapter/10.1007/978-3-319-93284-2_8" TargetMode="External"/><Relationship Id="rId635" Type="http://schemas.openxmlformats.org/officeDocument/2006/relationships/hyperlink" Target="https://www.pir.sa.gov.au/__data/assets/pdf_file/0006/437658/statistical-modelling-approaches-interpretation-molecular-surveillance-data.pdf" TargetMode="External"/><Relationship Id="rId232" Type="http://schemas.openxmlformats.org/officeDocument/2006/relationships/image" Target="media/image32.jpeg"/><Relationship Id="rId274" Type="http://schemas.openxmlformats.org/officeDocument/2006/relationships/image" Target="media/image54.png"/><Relationship Id="rId481" Type="http://schemas.openxmlformats.org/officeDocument/2006/relationships/hyperlink" Target="https://www.reabic.net/aquaticinvasions/2020/AI_2020_Keanly_Robinson.pdf" TargetMode="External"/><Relationship Id="rId27" Type="http://schemas.openxmlformats.org/officeDocument/2006/relationships/hyperlink" Target="https://www.marinepests.gov.au/sites/default/files/Documents/Marine%20pest%20response%20manual%20%E2%80%93%20EMPPlan.pdf" TargetMode="External"/><Relationship Id="rId69" Type="http://schemas.openxmlformats.org/officeDocument/2006/relationships/hyperlink" Target="https://www.iucngisd.org/gisd/" TargetMode="External"/><Relationship Id="rId134" Type="http://schemas.openxmlformats.org/officeDocument/2006/relationships/hyperlink" Target="https://mikomarine.com/underwater-blanking-tools/magnetic-miko-plaster/" TargetMode="External"/><Relationship Id="rId537" Type="http://schemas.openxmlformats.org/officeDocument/2006/relationships/hyperlink" Target="https://pubmed.ncbi.nlm.nih.gov/21558200/" TargetMode="External"/><Relationship Id="rId579" Type="http://schemas.openxmlformats.org/officeDocument/2006/relationships/hyperlink" Target="https://museum.wa.gov.au/sites/default/files/MUSCULISTA%20SENHOUSIA%20(BENSON,%201842)%3B%20A%20MUSSEL%20RECENTLY%20INTRODUCED%20INTO%20THE%20SWAN%20RIVER%20ESTUARY,%20WESTERN%20AUSTRALIA.%20(MOLLUSCA.pdf" TargetMode="External"/><Relationship Id="rId80" Type="http://schemas.openxmlformats.org/officeDocument/2006/relationships/hyperlink" Target="https://www.marinepests.gov.au/what-we-do/apmpl" TargetMode="External"/><Relationship Id="rId176" Type="http://schemas.openxmlformats.org/officeDocument/2006/relationships/image" Target="media/image10.jpeg"/><Relationship Id="rId341" Type="http://schemas.openxmlformats.org/officeDocument/2006/relationships/hyperlink" Target="https://pubmed.ncbi.nlm.nih.gov/31755142/" TargetMode="External"/><Relationship Id="rId383" Type="http://schemas.openxmlformats.org/officeDocument/2006/relationships/hyperlink" Target="https://www.dcceew.gov.au/sites/default/files/documents/national_policy_guidelines_for_the_translocation_of_live_aquatic_animals.pdf" TargetMode="External"/><Relationship Id="rId439" Type="http://schemas.openxmlformats.org/officeDocument/2006/relationships/hyperlink" Target="https://besjournals.onlinelibrary.wiley.com/doi/10.1111/2041-210X.12595" TargetMode="External"/><Relationship Id="rId590" Type="http://schemas.openxmlformats.org/officeDocument/2006/relationships/hyperlink" Target="https://cebra.unimelb.edu.au/__data/assets/pdf_file/0011/2826155/CEBRA-1608E-Final-Report-for-webpage.pdf" TargetMode="External"/><Relationship Id="rId604" Type="http://schemas.openxmlformats.org/officeDocument/2006/relationships/hyperlink" Target="https://www.sciencedirect.com/science/article/pii/S0301479717307223" TargetMode="External"/><Relationship Id="rId646" Type="http://schemas.openxmlformats.org/officeDocument/2006/relationships/hyperlink" Target="https://www.frontiersin.org/journals/marine-science/articles/10.3389/fmars.2018.00322/full" TargetMode="External"/><Relationship Id="rId201" Type="http://schemas.openxmlformats.org/officeDocument/2006/relationships/image" Target="media/image16.png"/><Relationship Id="rId243" Type="http://schemas.openxmlformats.org/officeDocument/2006/relationships/image" Target="media/image37.png"/><Relationship Id="rId285" Type="http://schemas.openxmlformats.org/officeDocument/2006/relationships/hyperlink" Target="https://www.agriculture.gov.au/sites/default/files/sitecollectiondocuments/animal-plant-health/aquatic/aquavetplan/aquavetplan-dsm-ostreid-herpes.pdf" TargetMode="External"/><Relationship Id="rId450" Type="http://schemas.openxmlformats.org/officeDocument/2006/relationships/hyperlink" Target="https://repository.library.noaa.gov/view/noaa/9639" TargetMode="External"/><Relationship Id="rId506" Type="http://schemas.openxmlformats.org/officeDocument/2006/relationships/hyperlink" Target="https://www.biodiversitylibrary.org/page/42517063" TargetMode="External"/><Relationship Id="rId38" Type="http://schemas.openxmlformats.org/officeDocument/2006/relationships/hyperlink" Target="https://nimpis.marinepests.gov.au/species/species/7" TargetMode="External"/><Relationship Id="rId103" Type="http://schemas.openxmlformats.org/officeDocument/2006/relationships/hyperlink" Target="https://bicon.agriculture.gov.au/BiconWeb4.0" TargetMode="External"/><Relationship Id="rId310" Type="http://schemas.openxmlformats.org/officeDocument/2006/relationships/hyperlink" Target="https://www.sciencedirect.com/science/article/pii/S0044848604004417" TargetMode="External"/><Relationship Id="rId492" Type="http://schemas.openxmlformats.org/officeDocument/2006/relationships/hyperlink" Target="https://www.sciencedirect.com/science/article/pii/0044848696013026" TargetMode="External"/><Relationship Id="rId548" Type="http://schemas.openxmlformats.org/officeDocument/2006/relationships/hyperlink" Target="https://www.business.qld.gov.au/industries/farms-fishing-forestry/agriculture/biosecurity/animals/invasive/other/suminoe-oyster" TargetMode="External"/><Relationship Id="rId91" Type="http://schemas.openxmlformats.org/officeDocument/2006/relationships/hyperlink" Target="https://www.agriculture.gov.au/biosecurity-trade/aircraft-vessels-military/vessels/marine-pest-biosecurity/biofouling/australian-biofouling-requirements" TargetMode="External"/><Relationship Id="rId145" Type="http://schemas.openxmlformats.org/officeDocument/2006/relationships/hyperlink" Target="https://seamapaustralia.org/" TargetMode="External"/><Relationship Id="rId187" Type="http://schemas.openxmlformats.org/officeDocument/2006/relationships/hyperlink" Target="https://portal.apvma.gov.au/pubcris" TargetMode="External"/><Relationship Id="rId352" Type="http://schemas.openxmlformats.org/officeDocument/2006/relationships/hyperlink" Target="https://www.sciencedirect.com/science/article/pii/S0022201113001626" TargetMode="External"/><Relationship Id="rId394" Type="http://schemas.openxmlformats.org/officeDocument/2006/relationships/hyperlink" Target="https://onlinelibrary.wiley.com/doi/full/10.1111/j.1472-4642.2008.00465.x" TargetMode="External"/><Relationship Id="rId408" Type="http://schemas.openxmlformats.org/officeDocument/2006/relationships/hyperlink" Target="https://www.int-res.com/abstracts/dao/v50/n1/p67-78/" TargetMode="External"/><Relationship Id="rId615" Type="http://schemas.openxmlformats.org/officeDocument/2006/relationships/hyperlink" Target="https://www.researchgate.net/publication/349609029_NEW_ZEALAND_SHELLFISH_HEALTH_MONITORING_2007_TO_2017_INSIGHTS_AND_PROJECTIONS" TargetMode="External"/><Relationship Id="rId212" Type="http://schemas.openxmlformats.org/officeDocument/2006/relationships/hyperlink" Target="https://www.agriculture.gov.au/biosecurity-trade/policy/environmental/priority-list" TargetMode="External"/><Relationship Id="rId254" Type="http://schemas.openxmlformats.org/officeDocument/2006/relationships/hyperlink" Target="https://www.marinepests.gov.au/pests/identify/nz-green-mussel" TargetMode="External"/><Relationship Id="rId49" Type="http://schemas.openxmlformats.org/officeDocument/2006/relationships/hyperlink" Target="https://nimpis.marinepests.gov.au/species/species/51" TargetMode="External"/><Relationship Id="rId114" Type="http://schemas.openxmlformats.org/officeDocument/2006/relationships/hyperlink" Target="https://www.marinepests.gov.au/sites/default/files/Documents/biosecurity-emergency-management-bimg_0.pdf" TargetMode="External"/><Relationship Id="rId296" Type="http://schemas.openxmlformats.org/officeDocument/2006/relationships/hyperlink" Target="https://nre.tas.gov.au/biosecurity-tasmania/aquatic-pests-and-diseases" TargetMode="External"/><Relationship Id="rId461" Type="http://schemas.openxmlformats.org/officeDocument/2006/relationships/hyperlink" Target="https://www.ingentaconnect.com/content/umrsmas/bullmar/2003/00000072/00000001/art00009" TargetMode="External"/><Relationship Id="rId517" Type="http://schemas.openxmlformats.org/officeDocument/2006/relationships/hyperlink" Target="https://www.sciencedirect.com/science/article/pii/S1874778716300320" TargetMode="External"/><Relationship Id="rId559" Type="http://schemas.openxmlformats.org/officeDocument/2006/relationships/hyperlink" Target="https://link.springer.com/article/10.1007/BF03050998" TargetMode="External"/><Relationship Id="rId60" Type="http://schemas.openxmlformats.org/officeDocument/2006/relationships/hyperlink" Target="https://www.agriculture.gov.au/agriculture-land/animal/aquatic/reporting/reportable-diseases" TargetMode="External"/><Relationship Id="rId156" Type="http://schemas.openxmlformats.org/officeDocument/2006/relationships/hyperlink" Target="https://www.myroms.org/" TargetMode="External"/><Relationship Id="rId198" Type="http://schemas.openxmlformats.org/officeDocument/2006/relationships/image" Target="media/image15.png"/><Relationship Id="rId321" Type="http://schemas.openxmlformats.org/officeDocument/2006/relationships/hyperlink" Target="https://www.int-res.com/abstracts/dao/v61/n1-2/p103-111/" TargetMode="External"/><Relationship Id="rId363" Type="http://schemas.openxmlformats.org/officeDocument/2006/relationships/hyperlink" Target="https://www.academia.edu/17485087/Bivalve_Seashells_of_Tropical_West_America_Marine_Bivalve_Mollusks_from_Baja_California_to_Northern_Per%C3%BA" TargetMode="External"/><Relationship Id="rId419" Type="http://schemas.openxmlformats.org/officeDocument/2006/relationships/hyperlink" Target="https://www.nrc.govt.nz/media/ud2pwmzs/leveloffoulingprotocol2004.pdf" TargetMode="External"/><Relationship Id="rId570" Type="http://schemas.openxmlformats.org/officeDocument/2006/relationships/hyperlink" Target="https://revistas.ucr.ac.cr/index.php/rbt/article/view/29372" TargetMode="External"/><Relationship Id="rId626" Type="http://schemas.openxmlformats.org/officeDocument/2006/relationships/hyperlink" Target="https://pir.sa.gov.au/__data/assets/pdf_file/0003/232068/No_468_Introduced_marine_species_in_South_Australia_a_review_of_records_and_distribution_mapping.pdf" TargetMode="External"/><Relationship Id="rId223" Type="http://schemas.openxmlformats.org/officeDocument/2006/relationships/image" Target="media/image27.jpeg"/><Relationship Id="rId430" Type="http://schemas.openxmlformats.org/officeDocument/2006/relationships/hyperlink" Target="https://pir.sa.gov.au/__data/assets/pdf_file/0020/232292/Plankton_Sampling_Protocol_-_FINAL_24_09_2013.pdf" TargetMode="External"/><Relationship Id="rId18" Type="http://schemas.openxmlformats.org/officeDocument/2006/relationships/hyperlink" Target="mailto:mpsc@aff.gov.au" TargetMode="External"/><Relationship Id="rId265" Type="http://schemas.openxmlformats.org/officeDocument/2006/relationships/image" Target="media/image48.png"/><Relationship Id="rId472" Type="http://schemas.openxmlformats.org/officeDocument/2006/relationships/hyperlink" Target="https://pdfs.semanticscholar.org/2105/1e359144f8054ed24d1f94dd7f3eb392ee5c.pdf" TargetMode="External"/><Relationship Id="rId528" Type="http://schemas.openxmlformats.org/officeDocument/2006/relationships/hyperlink" Target="https://www.marinepests.gov.au/commercial/port-marina/biofouling-guidelines" TargetMode="External"/><Relationship Id="rId125" Type="http://schemas.openxmlformats.org/officeDocument/2006/relationships/hyperlink" Target="http://www.agriculture.gov.au/biosecurity/avm/vessels/biofouling/anti-fouling-and-inwater-cleaning-guidelines" TargetMode="External"/><Relationship Id="rId167" Type="http://schemas.openxmlformats.org/officeDocument/2006/relationships/hyperlink" Target="https://www.marinepests.gov.au/what-we-do/surveillance/monitoring-manual" TargetMode="External"/><Relationship Id="rId332" Type="http://schemas.openxmlformats.org/officeDocument/2006/relationships/hyperlink" Target="https://link.springer.com/article/10.1007/s11356-021-13978-4" TargetMode="External"/><Relationship Id="rId374" Type="http://schemas.openxmlformats.org/officeDocument/2006/relationships/hyperlink" Target="https://www.tandfonline.com/doi/abs/10.1080/00288330.1997.9516760" TargetMode="External"/><Relationship Id="rId581" Type="http://schemas.openxmlformats.org/officeDocument/2006/relationships/hyperlink" Target="https://www.sciencedirect.com/science/article/pii/S0022098111004667" TargetMode="External"/><Relationship Id="rId71" Type="http://schemas.openxmlformats.org/officeDocument/2006/relationships/hyperlink" Target="https://www.cabidigitallibrary.org/product/qi" TargetMode="External"/><Relationship Id="rId234" Type="http://schemas.openxmlformats.org/officeDocument/2006/relationships/hyperlink" Target="https://www.marinepests.gov.au/what-we-do/research/compendium-marine-pest-studies" TargetMode="External"/><Relationship Id="rId637" Type="http://schemas.openxmlformats.org/officeDocument/2006/relationships/hyperlink" Target="https://link.springer.com/article/10.1007/s00267-012-9850-5" TargetMode="External"/><Relationship Id="rId2" Type="http://schemas.openxmlformats.org/officeDocument/2006/relationships/customXml" Target="../customXml/item2.xml"/><Relationship Id="rId29" Type="http://schemas.openxmlformats.org/officeDocument/2006/relationships/hyperlink" Target="https://nimpis.marinepests.gov.au/" TargetMode="External"/><Relationship Id="rId276" Type="http://schemas.openxmlformats.org/officeDocument/2006/relationships/image" Target="media/image56.jpeg"/><Relationship Id="rId441" Type="http://schemas.openxmlformats.org/officeDocument/2006/relationships/hyperlink" Target="https://link.springer.com/book/10.1007/978-94-015-9956-6" TargetMode="External"/><Relationship Id="rId483" Type="http://schemas.openxmlformats.org/officeDocument/2006/relationships/hyperlink" Target="https://www.int-res.com/articles/meps/113/m113p081.pdf" TargetMode="External"/><Relationship Id="rId539" Type="http://schemas.openxmlformats.org/officeDocument/2006/relationships/hyperlink" Target="https://muse.jhu.edu/article/28537/pdf" TargetMode="External"/><Relationship Id="rId40" Type="http://schemas.openxmlformats.org/officeDocument/2006/relationships/hyperlink" Target="https://nimpis.marinepests.gov.au/species/species/133" TargetMode="External"/><Relationship Id="rId136" Type="http://schemas.openxmlformats.org/officeDocument/2006/relationships/hyperlink" Target="https://www.imo.org/en/MediaCentre/HotTopics/Pages/Implementing-the-BWM-Convention.aspx" TargetMode="External"/><Relationship Id="rId178" Type="http://schemas.openxmlformats.org/officeDocument/2006/relationships/hyperlink" Target="https://research.csiro.au/environomics/wp-content/uploads/sites/187/2022/08/Environmental-DNA-protocol-development-guide-for-biomonitoring.pdf" TargetMode="External"/><Relationship Id="rId301" Type="http://schemas.openxmlformats.org/officeDocument/2006/relationships/image" Target="media/image63.png"/><Relationship Id="rId343" Type="http://schemas.openxmlformats.org/officeDocument/2006/relationships/hyperlink" Target="https://linkinghub.elsevier.com/retrieve/pii/S0025326X1830883X" TargetMode="External"/><Relationship Id="rId550" Type="http://schemas.openxmlformats.org/officeDocument/2006/relationships/hyperlink" Target="https://www.int-res.com/articles/meps/111/m111p063.pdf" TargetMode="External"/><Relationship Id="rId82" Type="http://schemas.openxmlformats.org/officeDocument/2006/relationships/hyperlink" Target="https://www.agriculture.gov.au/biosecurity-trade/policy/emergency/nebra" TargetMode="External"/><Relationship Id="rId203" Type="http://schemas.openxmlformats.org/officeDocument/2006/relationships/image" Target="media/image17.png"/><Relationship Id="rId385" Type="http://schemas.openxmlformats.org/officeDocument/2006/relationships/hyperlink" Target="https://www.agriculture.gov.au/biosecurity-trade/aircraft-vessels-military/vessels/marine-pest-biosecurity/ballast/australian-ballast-water-management-requirements" TargetMode="External"/><Relationship Id="rId592" Type="http://schemas.openxmlformats.org/officeDocument/2006/relationships/hyperlink" Target="https://www.jstage.jst.go.jp/article/pbr/13/1/13_B130103/_article" TargetMode="External"/><Relationship Id="rId606" Type="http://schemas.openxmlformats.org/officeDocument/2006/relationships/hyperlink" Target="https://link.springer.com/article/10.1007/BF03179566" TargetMode="External"/><Relationship Id="rId648" Type="http://schemas.openxmlformats.org/officeDocument/2006/relationships/hyperlink" Target="https://www.cabidigitallibrary.org/doi/10.1079/cabicompendium.107753" TargetMode="External"/><Relationship Id="rId245" Type="http://schemas.openxmlformats.org/officeDocument/2006/relationships/hyperlink" Target="https://www.marinepests.gov.au/what-we-do/research/compendium-marine-pest-studies" TargetMode="External"/><Relationship Id="rId287" Type="http://schemas.openxmlformats.org/officeDocument/2006/relationships/hyperlink" Target="https://www.agriculture.gov.au/biosecurity-trade/policy/emergency/nebra" TargetMode="External"/><Relationship Id="rId410" Type="http://schemas.openxmlformats.org/officeDocument/2006/relationships/hyperlink" Target="https://nla.gov.au/nla.obj-2928315052/view" TargetMode="External"/><Relationship Id="rId452" Type="http://schemas.openxmlformats.org/officeDocument/2006/relationships/hyperlink" Target="https://link.springer.com/article/10.1007/s002270000402" TargetMode="External"/><Relationship Id="rId494" Type="http://schemas.openxmlformats.org/officeDocument/2006/relationships/hyperlink" Target="https://ro.uow.edu.au/cgi/viewcontent.cgi?article=1021&amp;context=thsci" TargetMode="External"/><Relationship Id="rId508" Type="http://schemas.openxmlformats.org/officeDocument/2006/relationships/hyperlink" Target="https://onlinelibrary.wiley.com/doi/10.1111/raq.12615" TargetMode="External"/><Relationship Id="rId105" Type="http://schemas.openxmlformats.org/officeDocument/2006/relationships/hyperlink" Target="https://animalhealthaustralia.com.au/bipim/" TargetMode="External"/><Relationship Id="rId147" Type="http://schemas.openxmlformats.org/officeDocument/2006/relationships/hyperlink" Target="https://www.agriculture.gov.au/sites/default/files/documents/nebra.pdf" TargetMode="External"/><Relationship Id="rId312" Type="http://schemas.openxmlformats.org/officeDocument/2006/relationships/hyperlink" Target="https://researchspace.auckland.ac.nz/bitstream/handle/2292/46499/Review-of-In-Water-Hull-Encapsulation-and-Enclosure-Treatments.pdf?sequence=2&amp;isAllowed=y" TargetMode="External"/><Relationship Id="rId354" Type="http://schemas.openxmlformats.org/officeDocument/2006/relationships/hyperlink" Target="https://www.sciencedirect.com/science/article/pii/S0044848615300016?via%3Dihub" TargetMode="External"/><Relationship Id="rId51" Type="http://schemas.openxmlformats.org/officeDocument/2006/relationships/hyperlink" Target="https://www.agriculture.gov.au/biosecurity-trade/policy/environmental/priority-list" TargetMode="External"/><Relationship Id="rId93" Type="http://schemas.openxmlformats.org/officeDocument/2006/relationships/hyperlink" Target="https://www.marinepests.gov.au/commercial/offshore-infrastructure" TargetMode="External"/><Relationship Id="rId189" Type="http://schemas.openxmlformats.org/officeDocument/2006/relationships/hyperlink" Target="https://www.agriculture.gov.au/animal/aquatic/aquavetplan" TargetMode="External"/><Relationship Id="rId396" Type="http://schemas.openxmlformats.org/officeDocument/2006/relationships/hyperlink" Target="https://publications.gc.ca/site/eng/467495/publication.html" TargetMode="External"/><Relationship Id="rId561" Type="http://schemas.openxmlformats.org/officeDocument/2006/relationships/hyperlink" Target="https://link.springer.com/article/10.1007/s00227-007-0846-2" TargetMode="External"/><Relationship Id="rId617" Type="http://schemas.openxmlformats.org/officeDocument/2006/relationships/hyperlink" Target="https://bioone.org/journals/malacologia/volume-62/issue-2/040.062.0205/Environmental-Emergency--Why-Did-the-False-Mussel-Mytilopsis-sallei/10.4002/040.062.0205.short" TargetMode="External"/><Relationship Id="rId214" Type="http://schemas.openxmlformats.org/officeDocument/2006/relationships/image" Target="media/image22.jpeg"/><Relationship Id="rId256" Type="http://schemas.openxmlformats.org/officeDocument/2006/relationships/hyperlink" Target="https://www.marinepests.gov.au/pests/identify/asian-green-mussel" TargetMode="External"/><Relationship Id="rId298" Type="http://schemas.openxmlformats.org/officeDocument/2006/relationships/hyperlink" Target="https://www.marinepests.gov.au/sites/default/files/Documents/australian-marine-pest-monitoring-manual.pdf" TargetMode="External"/><Relationship Id="rId421" Type="http://schemas.openxmlformats.org/officeDocument/2006/relationships/hyperlink" Target="https://www.sciencedirect.com/science/article/pii/S0044848606002183" TargetMode="External"/><Relationship Id="rId463" Type="http://schemas.openxmlformats.org/officeDocument/2006/relationships/hyperlink" Target="https://www.int-res.com/articles/meps2006/315/m315p129.pdf" TargetMode="External"/><Relationship Id="rId519" Type="http://schemas.openxmlformats.org/officeDocument/2006/relationships/hyperlink" Target="https://www.tandfonline.com/doi/abs/10.1080/00288330809509944" TargetMode="External"/><Relationship Id="rId116" Type="http://schemas.openxmlformats.org/officeDocument/2006/relationships/hyperlink" Target="https://www.marinepests.gov.au/what-we-do/emergency/biosecurity-incident-management-system" TargetMode="External"/><Relationship Id="rId158" Type="http://schemas.openxmlformats.org/officeDocument/2006/relationships/hyperlink" Target="https://icoads.noaa.gov/" TargetMode="External"/><Relationship Id="rId323" Type="http://schemas.openxmlformats.org/officeDocument/2006/relationships/hyperlink" Target="https://escholarship.org/uc/item/6fd377s4" TargetMode="External"/><Relationship Id="rId530" Type="http://schemas.openxmlformats.org/officeDocument/2006/relationships/hyperlink" Target="https://www.fish.wa.gov.au/Documents/research_reports/frr252.pdf" TargetMode="External"/><Relationship Id="rId20" Type="http://schemas.openxmlformats.org/officeDocument/2006/relationships/header" Target="header2.xml"/><Relationship Id="rId62" Type="http://schemas.openxmlformats.org/officeDocument/2006/relationships/hyperlink" Target="https://www.agriculture.gov.au/agriculture-land/animal/aquatic/reporting/reportable-diseases" TargetMode="External"/><Relationship Id="rId365" Type="http://schemas.openxmlformats.org/officeDocument/2006/relationships/hyperlink" Target="https://www.exoticsguide.org/" TargetMode="External"/><Relationship Id="rId572" Type="http://schemas.openxmlformats.org/officeDocument/2006/relationships/hyperlink" Target="https://scholarworks.calstate.edu/concern/publications/2b88qc890?locale=es" TargetMode="External"/><Relationship Id="rId628" Type="http://schemas.openxmlformats.org/officeDocument/2006/relationships/hyperlink" Target="https://pir.sa.gov.au/__data/assets/pdf_file/0005/295925/Applying_molecular_techniques_to_surveys_for_introduced_marine_pests_at_ports_in_Spencer_Gulf,_South_Australia._Report_for_PIRSA_Biosecurity_SA.pdf" TargetMode="External"/><Relationship Id="rId225" Type="http://schemas.openxmlformats.org/officeDocument/2006/relationships/hyperlink" Target="https://www.marinepests.gov.au/pests/identify/soft-shell-long-necked-clam" TargetMode="External"/><Relationship Id="rId267" Type="http://schemas.openxmlformats.org/officeDocument/2006/relationships/image" Target="media/image49.png"/><Relationship Id="rId432" Type="http://schemas.openxmlformats.org/officeDocument/2006/relationships/hyperlink" Target="https://www.sciencedirect.com/science/article/pii/S0048969719328554" TargetMode="External"/><Relationship Id="rId474" Type="http://schemas.openxmlformats.org/officeDocument/2006/relationships/hyperlink" Target="https://pubmed.ncbi.nlm.nih.gov/23872855/" TargetMode="External"/><Relationship Id="rId127" Type="http://schemas.openxmlformats.org/officeDocument/2006/relationships/hyperlink" Target="https://www.legislation.gov.au/Series/C2004A00485" TargetMode="External"/><Relationship Id="rId31" Type="http://schemas.openxmlformats.org/officeDocument/2006/relationships/hyperlink" Target="https://nimpis.marinepests.gov.au/" TargetMode="External"/><Relationship Id="rId73" Type="http://schemas.openxmlformats.org/officeDocument/2006/relationships/hyperlink" Target="https://www.taxonomyaustralia.org.au/tcd-search" TargetMode="External"/><Relationship Id="rId169" Type="http://schemas.openxmlformats.org/officeDocument/2006/relationships/hyperlink" Target="https://www.ncbi.nlm.nih.gov/genbank/" TargetMode="External"/><Relationship Id="rId334" Type="http://schemas.openxmlformats.org/officeDocument/2006/relationships/hyperlink" Target="https://www.reabic.net/journals/mbi/2016/3/MBI_2016_Bracken_etal.pdf" TargetMode="External"/><Relationship Id="rId376" Type="http://schemas.openxmlformats.org/officeDocument/2006/relationships/hyperlink" Target="https://www.vliz.be/imisdocs/publications/310031.pdf" TargetMode="External"/><Relationship Id="rId541" Type="http://schemas.openxmlformats.org/officeDocument/2006/relationships/hyperlink" Target="https://www.reabic.net/journals/mbi/2014/3/MBI_2014_Pasko_Goldberg.pdf" TargetMode="External"/><Relationship Id="rId583" Type="http://schemas.openxmlformats.org/officeDocument/2006/relationships/hyperlink" Target="https://www.cambridge.org/core/journals/marine-biodiversity-records/article/abs/tracking-the-distribution-of-nonnative-marine-invertebrates-mytella-charruana-perna-viridis-and-megabalanus-coccopoma-along-the-southeastern-usa/94089E8847E17D73FCEFD86DA7DEB359" TargetMode="External"/><Relationship Id="rId639" Type="http://schemas.openxmlformats.org/officeDocument/2006/relationships/hyperlink" Target="https://repository.naturalis.nl/pub/210096" TargetMode="External"/><Relationship Id="rId4" Type="http://schemas.openxmlformats.org/officeDocument/2006/relationships/customXml" Target="../customXml/item4.xml"/><Relationship Id="rId180" Type="http://schemas.openxmlformats.org/officeDocument/2006/relationships/image" Target="media/image11.jpeg"/><Relationship Id="rId236" Type="http://schemas.openxmlformats.org/officeDocument/2006/relationships/image" Target="media/image33.png"/><Relationship Id="rId278" Type="http://schemas.openxmlformats.org/officeDocument/2006/relationships/image" Target="media/image57.png"/><Relationship Id="rId401" Type="http://schemas.openxmlformats.org/officeDocument/2006/relationships/hyperlink" Target="https://www.derwentestuary.org.au/assets/Derwent_Estuary_Introduced_Marine_and_Intertidal_Species_2008.pdf" TargetMode="External"/><Relationship Id="rId443" Type="http://schemas.openxmlformats.org/officeDocument/2006/relationships/hyperlink" Target="https://bioone.org/journals/journal-of-shellfish-research/volume-26/issue-2/0730-8000(2007)26%5b529%3aTBFOCT%5d2.0.CO%3b2/THE-BIOECONOMIC-FEASIBILITY-OF-CULTURING-TRIPLOID-CRASSOSTREA-ARIAKENSIS-IN-NORTH/10.2983/0730-8000(2007)26%5b529:TBFOCT%5d2.0.CO;2.short" TargetMode="External"/><Relationship Id="rId650" Type="http://schemas.openxmlformats.org/officeDocument/2006/relationships/hyperlink" Target="https://scholarworks.wm.edu/cgi/viewcontent.cgi?article=1467&amp;context=vimsarticles" TargetMode="External"/><Relationship Id="rId303" Type="http://schemas.openxmlformats.org/officeDocument/2006/relationships/image" Target="media/image65.png"/><Relationship Id="rId485" Type="http://schemas.openxmlformats.org/officeDocument/2006/relationships/hyperlink" Target="https://spccfpstore1.blob.core.windows.net/digitallibrary-docs/files/53/53db1a3a73ee09b3f65acfdff2004cc0.pdf?sv=2015-12-11&amp;sr=b&amp;sig=3NsPKuB2yKXzsKvn6Hfp%2B%2FrbdJYRPjSxsNS06STb5E4%3D&amp;se=2025-01-19T14%3A07%3A03Z&amp;sp=r&amp;rscc=public%2C%20max-age%3D864000%2C%20max-stale%3D86400&amp;rsct=application%2Fpdf&amp;rscd=inline%3B%20filename%3D%22FishNews159_45_Kinch.pdf%22" TargetMode="External"/><Relationship Id="rId42" Type="http://schemas.openxmlformats.org/officeDocument/2006/relationships/hyperlink" Target="https://nimpis.marinepests.gov.au/species/species/146" TargetMode="External"/><Relationship Id="rId84" Type="http://schemas.openxmlformats.org/officeDocument/2006/relationships/hyperlink" Target="https://www.marinepests.gov.au/what-we-do/emergency/biosecurity-incident-management-system" TargetMode="External"/><Relationship Id="rId138" Type="http://schemas.openxmlformats.org/officeDocument/2006/relationships/hyperlink" Target="https://www.agriculture.gov.au/sites/default/files/documents/australian-ballast-water-management-requirements.pdf" TargetMode="External"/><Relationship Id="rId345" Type="http://schemas.openxmlformats.org/officeDocument/2006/relationships/hyperlink" Target="https://link.springer.com/article/10.1007/s10750-014-2012-4" TargetMode="External"/><Relationship Id="rId387" Type="http://schemas.openxmlformats.org/officeDocument/2006/relationships/hyperlink" Target="https://www.agriculture.gov.au/sites/default/files/sitecollectiondocuments/animal-plant/aquatic/aquavetplan/decontamination-manual.pdf" TargetMode="External"/><Relationship Id="rId510" Type="http://schemas.openxmlformats.org/officeDocument/2006/relationships/hyperlink" Target="https://www.semanticscholar.org/paper/The-apparent-demise-of-the-Asian-date-mussel-in-or-McDonald-Wells/fe047510d73674bb3f6844f4ec6b3b273b2d2dc1" TargetMode="External"/><Relationship Id="rId552" Type="http://schemas.openxmlformats.org/officeDocument/2006/relationships/hyperlink" Target="https://www.tandfonline.com/doi/abs/10.1080/08927019509378284" TargetMode="External"/><Relationship Id="rId594" Type="http://schemas.openxmlformats.org/officeDocument/2006/relationships/hyperlink" Target="https://www.int-res.com/abstracts/meps/v221/p135-143/" TargetMode="External"/><Relationship Id="rId608" Type="http://schemas.openxmlformats.org/officeDocument/2006/relationships/hyperlink" Target="https://www.reabic.net/journals/bir/2017/1/BIR_2017_Vallejo_etal.pdf" TargetMode="External"/><Relationship Id="rId191" Type="http://schemas.openxmlformats.org/officeDocument/2006/relationships/hyperlink" Target="https://www.agriculture.gov.au/agriculture-land/animal/aquatic/aquavetplan/destruction" TargetMode="External"/><Relationship Id="rId205" Type="http://schemas.openxmlformats.org/officeDocument/2006/relationships/image" Target="media/image18.png"/><Relationship Id="rId247" Type="http://schemas.openxmlformats.org/officeDocument/2006/relationships/hyperlink" Target="https://doi.org/10.15468/dl.a8jw4u" TargetMode="External"/><Relationship Id="rId412" Type="http://schemas.openxmlformats.org/officeDocument/2006/relationships/hyperlink" Target="https://www.int-res.com/abstracts/dao/v110/n1-2/p5-23/" TargetMode="External"/><Relationship Id="rId107" Type="http://schemas.openxmlformats.org/officeDocument/2006/relationships/hyperlink" Target="https://www.marinepests.gov.au/what-we-do/emergency/biosecurity-incident-management-system" TargetMode="External"/><Relationship Id="rId289" Type="http://schemas.openxmlformats.org/officeDocument/2006/relationships/hyperlink" Target="https://www.agriculture.gov.au/biosecurity-trade/pests-diseases-weeds/marine-pests" TargetMode="External"/><Relationship Id="rId454" Type="http://schemas.openxmlformats.org/officeDocument/2006/relationships/hyperlink" Target="https://www.cbd.int/doc/c/9d85/3bc5/d640f059d03acd717602cd76/sbstta-22-inf-09-en.pdf" TargetMode="External"/><Relationship Id="rId496" Type="http://schemas.openxmlformats.org/officeDocument/2006/relationships/hyperlink" Target="https://www.sciencedirect.com/science/article/abs/pii/S0043135498002693" TargetMode="External"/><Relationship Id="rId11" Type="http://schemas.openxmlformats.org/officeDocument/2006/relationships/image" Target="media/image1.jpeg"/><Relationship Id="rId53" Type="http://schemas.openxmlformats.org/officeDocument/2006/relationships/image" Target="media/image5.png"/><Relationship Id="rId149" Type="http://schemas.openxmlformats.org/officeDocument/2006/relationships/hyperlink" Target="https://www.seasearcher.com/" TargetMode="External"/><Relationship Id="rId314" Type="http://schemas.openxmlformats.org/officeDocument/2006/relationships/hyperlink" Target="https://doi.org/10.1007/s10530-004-3123-z" TargetMode="External"/><Relationship Id="rId356" Type="http://schemas.openxmlformats.org/officeDocument/2006/relationships/hyperlink" Target="https://www.jstor.org/stable/26920844" TargetMode="External"/><Relationship Id="rId398" Type="http://schemas.openxmlformats.org/officeDocument/2006/relationships/hyperlink" Target="https://doi.org/10.1016/j.aquaculture.2016.10.025" TargetMode="External"/><Relationship Id="rId521" Type="http://schemas.openxmlformats.org/officeDocument/2006/relationships/hyperlink" Target="https://onlinelibrary.wiley.com/doi/full/10.1111/avj.13265" TargetMode="External"/><Relationship Id="rId563" Type="http://schemas.openxmlformats.org/officeDocument/2006/relationships/hyperlink" Target="https://www.sciencedirect.com/science/article/pii/S0043135422010405" TargetMode="External"/><Relationship Id="rId619" Type="http://schemas.openxmlformats.org/officeDocument/2006/relationships/hyperlink" Target="https://pubmed.ncbi.nlm.nih.gov/31657513/" TargetMode="External"/><Relationship Id="rId95" Type="http://schemas.openxmlformats.org/officeDocument/2006/relationships/hyperlink" Target="https://www.marinepests.gov.au/commercial/vessels" TargetMode="External"/><Relationship Id="rId160" Type="http://schemas.openxmlformats.org/officeDocument/2006/relationships/hyperlink" Target="https://www.noaa.gov/" TargetMode="External"/><Relationship Id="rId216" Type="http://schemas.openxmlformats.org/officeDocument/2006/relationships/hyperlink" Target="https://www.marinepests.gov.au/pests/identify/black-striped-mussel" TargetMode="External"/><Relationship Id="rId423" Type="http://schemas.openxmlformats.org/officeDocument/2006/relationships/hyperlink" Target="https://www.sciencedirect.com/science/article/pii/S2352485520307040" TargetMode="External"/><Relationship Id="rId258" Type="http://schemas.openxmlformats.org/officeDocument/2006/relationships/image" Target="media/image43.jpeg"/><Relationship Id="rId465" Type="http://schemas.openxmlformats.org/officeDocument/2006/relationships/hyperlink" Target="https://doi.org/10.1080/08927014.2015.1115484" TargetMode="External"/><Relationship Id="rId630" Type="http://schemas.openxmlformats.org/officeDocument/2006/relationships/hyperlink" Target="https://pir.sa.gov.au/__data/assets/pdf_file/0008/363617/Diagnostic_performance_of_molecular_tests_used_to_detect_priority_marine_pests_in_plankton_samples.pdf" TargetMode="External"/><Relationship Id="rId22" Type="http://schemas.openxmlformats.org/officeDocument/2006/relationships/footer" Target="footer2.xml"/><Relationship Id="rId64" Type="http://schemas.openxmlformats.org/officeDocument/2006/relationships/hyperlink" Target="mailto:mpsc@aff.gov.au" TargetMode="External"/><Relationship Id="rId118" Type="http://schemas.openxmlformats.org/officeDocument/2006/relationships/hyperlink" Target="https://www.dcceew.gov.au/sites/default/files/documents/national_policy_guidelines_for_the_translocation_of_live_aquatic_animals.pdf" TargetMode="External"/><Relationship Id="rId325" Type="http://schemas.openxmlformats.org/officeDocument/2006/relationships/hyperlink" Target="https://bioone.org/journals/journal-of-shellfish-research/volume-36/issue-3/035.036.0301/The-Proposed-Dropping-of-the-Genus-Crassostrea-for-All-Pacific/10.2983/035.036.0301.full" TargetMode="External"/><Relationship Id="rId367" Type="http://schemas.openxmlformats.org/officeDocument/2006/relationships/hyperlink" Target="https://www.frontiersin.org/journals/marine-science/articles/10.3389/fmars.2021.609248/full" TargetMode="External"/><Relationship Id="rId532" Type="http://schemas.openxmlformats.org/officeDocument/2006/relationships/hyperlink" Target="https://www.nobanis.org/globalassets/speciesinfo/c/crassostrea-gigas/crassostrea-gigas.pdf" TargetMode="External"/><Relationship Id="rId574" Type="http://schemas.openxmlformats.org/officeDocument/2006/relationships/hyperlink" Target="https://link.springer.com/article/10.1007/s00227-016-2961-4" TargetMode="External"/><Relationship Id="rId171" Type="http://schemas.openxmlformats.org/officeDocument/2006/relationships/hyperlink" Target="https://www.marinepests.gov.au/what-we-do/research/development-validation-assays" TargetMode="External"/><Relationship Id="rId227" Type="http://schemas.openxmlformats.org/officeDocument/2006/relationships/image" Target="media/image29.png"/><Relationship Id="rId269" Type="http://schemas.openxmlformats.org/officeDocument/2006/relationships/image" Target="media/image51.png"/><Relationship Id="rId434" Type="http://schemas.openxmlformats.org/officeDocument/2006/relationships/hyperlink" Target="https://doi.org/10.1111/j.1472-4642.2009.00591.x" TargetMode="External"/><Relationship Id="rId476" Type="http://schemas.openxmlformats.org/officeDocument/2006/relationships/hyperlink" Target="https://oceanrep.geomar.de/id/eprint/56193/" TargetMode="External"/><Relationship Id="rId641" Type="http://schemas.openxmlformats.org/officeDocument/2006/relationships/hyperlink" Target="https://webstatic.niwa.co.nz/static/marine-biosecurity/hull-cleaning-operations-efficacy-2.pdf" TargetMode="External"/><Relationship Id="rId33" Type="http://schemas.openxmlformats.org/officeDocument/2006/relationships/hyperlink" Target="https://www.agriculture.gov.au/biosecurity-trade/policy/environmental/priority-list" TargetMode="External"/><Relationship Id="rId129" Type="http://schemas.openxmlformats.org/officeDocument/2006/relationships/hyperlink" Target="http://www.agriculture.gov.au/biosecurity/avm/vessels/biofouling/anti-fouling-and-inwater-cleaning-guidelines" TargetMode="External"/><Relationship Id="rId280" Type="http://schemas.openxmlformats.org/officeDocument/2006/relationships/image" Target="media/image58.png"/><Relationship Id="rId336" Type="http://schemas.openxmlformats.org/officeDocument/2006/relationships/hyperlink" Target="https://aslopubs.onlinelibrary.wiley.com/doi/abs/10.4319/lo.2011.56.5.1929" TargetMode="External"/><Relationship Id="rId501" Type="http://schemas.openxmlformats.org/officeDocument/2006/relationships/hyperlink" Target="https://pubmed.ncbi.nlm.nih.gov/19919551/" TargetMode="External"/><Relationship Id="rId543" Type="http://schemas.openxmlformats.org/officeDocument/2006/relationships/hyperlink" Target="https://pir.sa.gov.au/biosecurity/aquatics/aquatic_diseases/pacific_oyster_mortality_syndrome/port_river_outbreak_2018_feral_oysters" TargetMode="External"/><Relationship Id="rId75" Type="http://schemas.openxmlformats.org/officeDocument/2006/relationships/hyperlink" Target="https://www.marinepests.gov.au/sites/default/files/Documents/biosecurity-emergency-management-bimg_0.pdf" TargetMode="External"/><Relationship Id="rId140" Type="http://schemas.openxmlformats.org/officeDocument/2006/relationships/hyperlink" Target="http://www.agriculture.gov.au/abwmr" TargetMode="External"/><Relationship Id="rId182" Type="http://schemas.openxmlformats.org/officeDocument/2006/relationships/hyperlink" Target="https://www.agriculture.gov.au/biosecurity-trade/policy/emergency/nebra" TargetMode="External"/><Relationship Id="rId378" Type="http://schemas.openxmlformats.org/officeDocument/2006/relationships/hyperlink" Target="https://www.jstor.org/stable/1352650" TargetMode="External"/><Relationship Id="rId403" Type="http://schemas.openxmlformats.org/officeDocument/2006/relationships/hyperlink" Target="https://www.reabic.net/journals/mbi/2013/2/MBI_2013_2_Dias_etal.pdf" TargetMode="External"/><Relationship Id="rId585" Type="http://schemas.openxmlformats.org/officeDocument/2006/relationships/hyperlink" Target="https://www.reabic.net/journals/mbi/2016/3/MBI_2016_StHilaire_etal.pdf" TargetMode="External"/><Relationship Id="rId6" Type="http://schemas.openxmlformats.org/officeDocument/2006/relationships/styles" Target="styles.xml"/><Relationship Id="rId238" Type="http://schemas.openxmlformats.org/officeDocument/2006/relationships/image" Target="media/image34.png"/><Relationship Id="rId445" Type="http://schemas.openxmlformats.org/officeDocument/2006/relationships/hyperlink" Target="https://www.researchgate.net/publication/328879025_Detection_of_the_invasive_exotic_Japanese_softshell_clam_Mya_japonica_Jay_1857_Bivalvia_Myidae_in_Tasmania" TargetMode="External"/><Relationship Id="rId487" Type="http://schemas.openxmlformats.org/officeDocument/2006/relationships/hyperlink" Target="https://link.springer.com/article/10.1134/S2075111717040051" TargetMode="External"/><Relationship Id="rId610" Type="http://schemas.openxmlformats.org/officeDocument/2006/relationships/hyperlink" Target="https://link.springer.com/article/10.1134/S1063074006050087" TargetMode="External"/><Relationship Id="rId652" Type="http://schemas.openxmlformats.org/officeDocument/2006/relationships/fontTable" Target="fontTable.xml"/><Relationship Id="rId291" Type="http://schemas.openxmlformats.org/officeDocument/2006/relationships/hyperlink" Target="https://agriculture.vic.gov.au/biosecurity/marine-pests" TargetMode="External"/><Relationship Id="rId305" Type="http://schemas.openxmlformats.org/officeDocument/2006/relationships/image" Target="media/image67.emf"/><Relationship Id="rId347" Type="http://schemas.openxmlformats.org/officeDocument/2006/relationships/hyperlink" Target="https://scholarworks.wm.edu/cgi/viewcontent.cgi?article=1475&amp;context=vimsarticles" TargetMode="External"/><Relationship Id="rId512" Type="http://schemas.openxmlformats.org/officeDocument/2006/relationships/hyperlink" Target="https://besjournals.onlinelibrary.wiley.com/doi/10.1111/1365-2664.13557" TargetMode="External"/><Relationship Id="rId44" Type="http://schemas.openxmlformats.org/officeDocument/2006/relationships/hyperlink" Target="https://nimpis.marinepests.gov.au/species/species/148" TargetMode="External"/><Relationship Id="rId86" Type="http://schemas.openxmlformats.org/officeDocument/2006/relationships/hyperlink" Target="mailto:nebra@aff.gov.au" TargetMode="External"/><Relationship Id="rId151" Type="http://schemas.openxmlformats.org/officeDocument/2006/relationships/hyperlink" Target="https://www.afma.gov.au/" TargetMode="External"/><Relationship Id="rId389" Type="http://schemas.openxmlformats.org/officeDocument/2006/relationships/hyperlink" Target="https://www.sciencedirect.com/science/article/pii/S0022201102000265" TargetMode="External"/><Relationship Id="rId554" Type="http://schemas.openxmlformats.org/officeDocument/2006/relationships/hyperlink" Target="https://pubmed.ncbi.nlm.nih.gov/12517421/" TargetMode="External"/><Relationship Id="rId596" Type="http://schemas.openxmlformats.org/officeDocument/2006/relationships/hyperlink" Target="https://www.nature.com/articles/s41598-019-55392-4" TargetMode="External"/><Relationship Id="rId193" Type="http://schemas.openxmlformats.org/officeDocument/2006/relationships/hyperlink" Target="https://www.agriculture.gov.au/agriculture-land/animal/aquatic/aquavetplan/destruction" TargetMode="External"/><Relationship Id="rId207" Type="http://schemas.openxmlformats.org/officeDocument/2006/relationships/hyperlink" Target="https://www.marinepests.gov.au/sites/default/files/Documents/national-control-plan-european-basket-shell-clam-varicorbula-gibba.pdf" TargetMode="External"/><Relationship Id="rId249" Type="http://schemas.openxmlformats.org/officeDocument/2006/relationships/hyperlink" Target="https://www.marinepests.gov.au/what-we-do/apmpl" TargetMode="External"/><Relationship Id="rId414" Type="http://schemas.openxmlformats.org/officeDocument/2006/relationships/hyperlink" Target="https://www.fao.org/figis/pdf/fishery/culturedspecies/Crassostrea_gigas/en?title=FAO%20Fisheries%20%26%20Aquaculture%20-%20Cultured%20Aquatic%20Species%20Information%20Programme%20-%20Crassostrea%20gigas%20(Thunberg%2C%201793)" TargetMode="External"/><Relationship Id="rId456" Type="http://schemas.openxmlformats.org/officeDocument/2006/relationships/hyperlink" Target="https://link.springer.com/article/10.1007/s10530-019-02163-x" TargetMode="External"/><Relationship Id="rId498" Type="http://schemas.openxmlformats.org/officeDocument/2006/relationships/hyperlink" Target="https://royalsocietypublishing.org/doi/10.1098/rspb.2002.2179" TargetMode="External"/><Relationship Id="rId621" Type="http://schemas.openxmlformats.org/officeDocument/2006/relationships/hyperlink" Target="https://biostor.org/reference/279790" TargetMode="External"/><Relationship Id="rId13" Type="http://schemas.openxmlformats.org/officeDocument/2006/relationships/image" Target="media/image2.png"/><Relationship Id="rId109" Type="http://schemas.openxmlformats.org/officeDocument/2006/relationships/hyperlink" Target="https://www.agriculture.gov.au/biosecurity-trade/policy/environmental/acebo" TargetMode="External"/><Relationship Id="rId260" Type="http://schemas.openxmlformats.org/officeDocument/2006/relationships/hyperlink" Target="https://doi.org/10.15468/dl.aeuyf7" TargetMode="External"/><Relationship Id="rId316" Type="http://schemas.openxmlformats.org/officeDocument/2006/relationships/hyperlink" Target="https://animalhealthaustralia.com.au/wp-content/uploads/dlm_uploads/2021/07/BIPIM-_Part-1-Policy-V3.0_2021.pdf" TargetMode="External"/><Relationship Id="rId523" Type="http://schemas.openxmlformats.org/officeDocument/2006/relationships/hyperlink" Target="https://pubmed.ncbi.nlm.nih.gov/26795943/" TargetMode="External"/><Relationship Id="rId55" Type="http://schemas.openxmlformats.org/officeDocument/2006/relationships/hyperlink" Target="https://www.agriculture.gov.au/sites/default/files/documents/field-guide-5th-edition.pdf" TargetMode="External"/><Relationship Id="rId97" Type="http://schemas.openxmlformats.org/officeDocument/2006/relationships/hyperlink" Target="https://www.marinepests.gov.au/commercial/vessels/biofouling-commercial-fishing" TargetMode="External"/><Relationship Id="rId120" Type="http://schemas.openxmlformats.org/officeDocument/2006/relationships/hyperlink" Target="https://www.agriculture.gov.au/sites/default/files/documents/Australian-biofouling-management-requirements.pdf" TargetMode="External"/><Relationship Id="rId358" Type="http://schemas.openxmlformats.org/officeDocument/2006/relationships/hyperlink" Target="https://doi.org/10.1590/S1519-69842012000300002" TargetMode="External"/><Relationship Id="rId565" Type="http://schemas.openxmlformats.org/officeDocument/2006/relationships/hyperlink" Target="https://bioone.org/journals/journal-of-shellfish-research/volume-24/issue-2/0730-8000(2005)24%5B443%3ANPOOCG%5D2.0.CO%3B2/NATURALIZED-POPULATIONS-OF-OYSTERS-CRASSOSTREA-GIGAS-ALONG-THE-SOUTH-AFRICAN/10.2983/0730-8000(2005)24%5b443:NPOOCG%5d2.0.CO;2.short" TargetMode="External"/><Relationship Id="rId162" Type="http://schemas.openxmlformats.org/officeDocument/2006/relationships/hyperlink" Target="https://www.marinepests.gov.au/what-we-do/surveillance/national-marine-pest-surveillance-work-plan" TargetMode="External"/><Relationship Id="rId218" Type="http://schemas.openxmlformats.org/officeDocument/2006/relationships/image" Target="media/image24.png"/><Relationship Id="rId425" Type="http://schemas.openxmlformats.org/officeDocument/2006/relationships/hyperlink" Target="https://www.cambridge.org/core/journals/marine-biodiversity-records/article/abs/mytilopsis-sallei-mollusca-bivalvia-dreissenidae-established-on-the-mediterranean-coast-of-israel/48EB868986160C3D3DE01E6CDD07DA48" TargetMode="External"/><Relationship Id="rId467" Type="http://schemas.openxmlformats.org/officeDocument/2006/relationships/hyperlink" Target="https://www.conchbooks.de/?t=53&amp;u=30186" TargetMode="External"/><Relationship Id="rId632" Type="http://schemas.openxmlformats.org/officeDocument/2006/relationships/hyperlink" Target="https://pir.sa.gov.au/__data/assets/pdf_file/0010/377677/Molecular_surveys_in_2020_of_priority_marine_pests_-_WA_Port_Surveys.pdf" TargetMode="External"/><Relationship Id="rId271" Type="http://schemas.openxmlformats.org/officeDocument/2006/relationships/hyperlink" Target="https://www.marinepests.gov.au/what-we-do/research/compendium-marine-pest-studies" TargetMode="External"/><Relationship Id="rId24" Type="http://schemas.openxmlformats.org/officeDocument/2006/relationships/footer" Target="footer3.xml"/><Relationship Id="rId66" Type="http://schemas.openxmlformats.org/officeDocument/2006/relationships/hyperlink" Target="https://www.marinepests.gov.au/what-we-do/emergency/response-manuals" TargetMode="External"/><Relationship Id="rId131" Type="http://schemas.openxmlformats.org/officeDocument/2006/relationships/hyperlink" Target="http://biobullets.com/" TargetMode="External"/><Relationship Id="rId327" Type="http://schemas.openxmlformats.org/officeDocument/2006/relationships/hyperlink" Target="https://www.int-res.com/articles/meps2006/325/m325p145.pdf" TargetMode="External"/><Relationship Id="rId369" Type="http://schemas.openxmlformats.org/officeDocument/2006/relationships/hyperlink" Target="https://docs.niwa.co.nz/library/public/CRR755.pdf" TargetMode="External"/><Relationship Id="rId534" Type="http://schemas.openxmlformats.org/officeDocument/2006/relationships/hyperlink" Target="https://territorystories.nt.gov.au/10070/520609" TargetMode="External"/><Relationship Id="rId576" Type="http://schemas.openxmlformats.org/officeDocument/2006/relationships/hyperlink" Target="https://ajstd.ubd.edu.bn/journal/vol35/iss1/19/" TargetMode="External"/><Relationship Id="rId173" Type="http://schemas.openxmlformats.org/officeDocument/2006/relationships/hyperlink" Target="https://research.csiro.au/environomics/wp-content/uploads/sites/187/2022/08/Environmental-DNA-protocol-development-guide-for-biomonitoring.pdf" TargetMode="External"/><Relationship Id="rId229" Type="http://schemas.openxmlformats.org/officeDocument/2006/relationships/hyperlink" Target="https://doi.org/10.15468/dl.3hdvqb" TargetMode="External"/><Relationship Id="rId380" Type="http://schemas.openxmlformats.org/officeDocument/2006/relationships/hyperlink" Target="https://link.springer.com/article/10.1007/s11356-015-4360-7" TargetMode="External"/><Relationship Id="rId436" Type="http://schemas.openxmlformats.org/officeDocument/2006/relationships/hyperlink" Target="https://www.cabidigitallibrary.org/doi/full/10.5555/20083301833" TargetMode="External"/><Relationship Id="rId601" Type="http://schemas.openxmlformats.org/officeDocument/2006/relationships/hyperlink" Target="https://onlinelibrary.wiley.com/doi/abs/10.2193/0091-7648%282006%2934%5B897%3ABRROES%5D2.0.CO%3B2" TargetMode="External"/><Relationship Id="rId643" Type="http://schemas.openxmlformats.org/officeDocument/2006/relationships/hyperlink" Target="https://eprints.cmfri.org.in/14902/'" TargetMode="External"/><Relationship Id="rId240" Type="http://schemas.openxmlformats.org/officeDocument/2006/relationships/hyperlink" Target="https://www.agriculture.gov.au/biosecurity-trade/policy/environmental/priority-list" TargetMode="External"/><Relationship Id="rId478" Type="http://schemas.openxmlformats.org/officeDocument/2006/relationships/hyperlink" Target="https://link.springer.com/article/10.1007/s10530-014-0680-7" TargetMode="External"/><Relationship Id="rId35" Type="http://schemas.openxmlformats.org/officeDocument/2006/relationships/hyperlink" Target="https://www.marinepests.gov.au/what-we-do/apmpl" TargetMode="External"/><Relationship Id="rId77" Type="http://schemas.openxmlformats.org/officeDocument/2006/relationships/hyperlink" Target="https://www.agriculture.gov.au/biosecurity-trade/policy/emergency/nebra" TargetMode="External"/><Relationship Id="rId100" Type="http://schemas.openxmlformats.org/officeDocument/2006/relationships/hyperlink" Target="https://www.agriculture.gov.au/biosecurity-trade/aircraft-vessels-military/vessels/marine-pest-biosecurity/ballast/australian-ballast-water-management-requirements" TargetMode="External"/><Relationship Id="rId282" Type="http://schemas.openxmlformats.org/officeDocument/2006/relationships/hyperlink" Target="https://www.marinepests.gov.au/what-we-do/research/compendium-marine-pest-studies" TargetMode="External"/><Relationship Id="rId338" Type="http://schemas.openxmlformats.org/officeDocument/2006/relationships/hyperlink" Target="https://www.sciencedirect.com/science/article/abs/pii/S0378475412002170" TargetMode="External"/><Relationship Id="rId503" Type="http://schemas.openxmlformats.org/officeDocument/2006/relationships/hyperlink" Target="https://www.tandfonline.com/doi/full/10.1080/00222933.2018.1545058" TargetMode="External"/><Relationship Id="rId545" Type="http://schemas.openxmlformats.org/officeDocument/2006/relationships/hyperlink" Target="https://jnsfsl.sljol.info/articles/10.4038/jnsfsr.v40i3.4694" TargetMode="External"/><Relationship Id="rId587" Type="http://schemas.openxmlformats.org/officeDocument/2006/relationships/hyperlink" Target="https://onlinelibrary.wiley.com/doi/abs/10.1111/j.1550-7408.1995.tb01593.x" TargetMode="External"/><Relationship Id="rId8" Type="http://schemas.openxmlformats.org/officeDocument/2006/relationships/webSettings" Target="webSettings.xml"/><Relationship Id="rId142" Type="http://schemas.openxmlformats.org/officeDocument/2006/relationships/hyperlink" Target="https://www.marinepests.gov.au/commercial/aquaculture" TargetMode="External"/><Relationship Id="rId184" Type="http://schemas.openxmlformats.org/officeDocument/2006/relationships/image" Target="media/image12.png"/><Relationship Id="rId391" Type="http://schemas.openxmlformats.org/officeDocument/2006/relationships/hyperlink" Target="https://www.sciencedirect.com/science/article/pii/S0013935111000569?via%3Dihub" TargetMode="External"/><Relationship Id="rId405" Type="http://schemas.openxmlformats.org/officeDocument/2006/relationships/hyperlink" Target="https://www.sciencedirect.com/science/article/pii/S0022098105003266" TargetMode="External"/><Relationship Id="rId447" Type="http://schemas.openxmlformats.org/officeDocument/2006/relationships/hyperlink" Target="https://www.mpi.govt.nz/dmsdocument/11821-literature-review-in-water-systems-to-remove-or-treat-biofouling-in-vessel-sea-chests-and-internal-pipework" TargetMode="External"/><Relationship Id="rId612" Type="http://schemas.openxmlformats.org/officeDocument/2006/relationships/hyperlink" Target="https://www.scopus.com/record/display.uri?eid=2-s2.0-85043983064&amp;origin=inward&amp;txGid=1e56d8429f986d5a48093c59572ba6a5" TargetMode="External"/><Relationship Id="rId251" Type="http://schemas.openxmlformats.org/officeDocument/2006/relationships/image" Target="media/image40.png"/><Relationship Id="rId489" Type="http://schemas.openxmlformats.org/officeDocument/2006/relationships/hyperlink" Target="https://daff.ent.sirsidynix.net.au/client/en_AU/search/asset/1033461/0" TargetMode="External"/><Relationship Id="rId46" Type="http://schemas.openxmlformats.org/officeDocument/2006/relationships/hyperlink" Target="https://nimpis.marinepests.gov.au/species/species/35" TargetMode="External"/><Relationship Id="rId293" Type="http://schemas.openxmlformats.org/officeDocument/2006/relationships/hyperlink" Target="http://www.qld.gov.au/environment/coasts-waterways/marine-pests" TargetMode="External"/><Relationship Id="rId307" Type="http://schemas.openxmlformats.org/officeDocument/2006/relationships/hyperlink" Target="https://www.marinepests.gov.au/sites/default/files/Documents/australian-marine-pest-monitoring-manual.pdf" TargetMode="External"/><Relationship Id="rId349" Type="http://schemas.openxmlformats.org/officeDocument/2006/relationships/hyperlink" Target="https://www.scienceopen.com/document?vid=5c792c03-4169-4b1b-8d66-3607566b5f26" TargetMode="External"/><Relationship Id="rId514" Type="http://schemas.openxmlformats.org/officeDocument/2006/relationships/hyperlink" Target="https://www.jstor.org/stable/44851403" TargetMode="External"/><Relationship Id="rId556" Type="http://schemas.openxmlformats.org/officeDocument/2006/relationships/hyperlink" Target="https://link.springer.com/article/10.1007/s10452-006-9032-8" TargetMode="External"/><Relationship Id="rId88" Type="http://schemas.openxmlformats.org/officeDocument/2006/relationships/image" Target="media/image6.png"/><Relationship Id="rId111" Type="http://schemas.openxmlformats.org/officeDocument/2006/relationships/hyperlink" Target="https://www.marinepests.gov.au/what-we-do/emergency/biosecurity-incident-management-system" TargetMode="External"/><Relationship Id="rId153" Type="http://schemas.openxmlformats.org/officeDocument/2006/relationships/hyperlink" Target="https://www.abf.gov.au/" TargetMode="External"/><Relationship Id="rId195" Type="http://schemas.openxmlformats.org/officeDocument/2006/relationships/hyperlink" Target="https://www.agriculture.gov.au/biosecurity-trade/policy/environmental/priority-list" TargetMode="External"/><Relationship Id="rId209" Type="http://schemas.openxmlformats.org/officeDocument/2006/relationships/hyperlink" Target="https://doi.org/10.15468/dl.gkb79k" TargetMode="External"/><Relationship Id="rId360" Type="http://schemas.openxmlformats.org/officeDocument/2006/relationships/hyperlink" Target="https://bioone.org/journals/journal-of-coastal-research/volume-28/issue-5/JCOASTRES-D-11-00194.1/Distribution-of-Benthic-Macroinvertebrates-in-Relation-to-Environmental-Variables-across/10.2112/JCOASTRES-D-11-00194.1.short?tab=ArticleLink" TargetMode="External"/><Relationship Id="rId416" Type="http://schemas.openxmlformats.org/officeDocument/2006/relationships/hyperlink" Target="https://www.dcceew.gov.au/environment/marine/publications/effectiveness-australias-response-black-striped-mussel-incursion-darwin-australia" TargetMode="External"/><Relationship Id="rId598" Type="http://schemas.openxmlformats.org/officeDocument/2006/relationships/hyperlink" Target="https://pubmed.ncbi.nlm.nih.gov/15012933/" TargetMode="External"/><Relationship Id="rId220" Type="http://schemas.openxmlformats.org/officeDocument/2006/relationships/image" Target="media/image25.png"/><Relationship Id="rId458" Type="http://schemas.openxmlformats.org/officeDocument/2006/relationships/hyperlink" Target="https://link.springer.com/article/10.1007/s00227-003-1173-x" TargetMode="External"/><Relationship Id="rId623" Type="http://schemas.openxmlformats.org/officeDocument/2006/relationships/hyperlink" Target="https://www.tandfonline.com/doi/abs/10.1080/13235818.2000.10673730" TargetMode="External"/><Relationship Id="rId15" Type="http://schemas.openxmlformats.org/officeDocument/2006/relationships/hyperlink" Target="https://animalhealthaustralia.com.au/ausvetplan/" TargetMode="External"/><Relationship Id="rId57" Type="http://schemas.openxmlformats.org/officeDocument/2006/relationships/hyperlink" Target="https://www.agriculture.gov.au/agriculture-land/animal/aquatic/aquatic_animal_diseases_significant_to_australia_identification_field_guide" TargetMode="External"/><Relationship Id="rId262" Type="http://schemas.openxmlformats.org/officeDocument/2006/relationships/image" Target="media/image46.png"/><Relationship Id="rId318" Type="http://schemas.openxmlformats.org/officeDocument/2006/relationships/hyperlink" Target="https://www.sciencedirect.com/science/article/pii/S0025326X17301637?via%3Dihub" TargetMode="External"/><Relationship Id="rId525" Type="http://schemas.openxmlformats.org/officeDocument/2006/relationships/hyperlink" Target="https://zslpublications.onlinelibrary.wiley.com/doi/abs/10.1111/j.1469-7998.1989.tb02594.x" TargetMode="External"/><Relationship Id="rId567" Type="http://schemas.openxmlformats.org/officeDocument/2006/relationships/hyperlink" Target="https://www.cambridge.org/core/journals/journal-of-the-marine-biological-association-of-the-united-kingdom/article/abs/seasonality-in-a-taxocoenosis-of-molluscs-from-soft-bottoms-in-the-bay-of-cadiz-southern-spain/5E8A4589B0CC81924884691AC5575CE4" TargetMode="External"/><Relationship Id="rId99" Type="http://schemas.openxmlformats.org/officeDocument/2006/relationships/hyperlink" Target="https://www.marinepests.gov.au/commercial/vessels/biofouling-recreational" TargetMode="External"/><Relationship Id="rId122" Type="http://schemas.openxmlformats.org/officeDocument/2006/relationships/hyperlink" Target="https://wwwcdn.imo.org/localresources/en/OurWork/Environment/Documents/MEPC.1-Circ.792.pdf" TargetMode="External"/><Relationship Id="rId164" Type="http://schemas.openxmlformats.org/officeDocument/2006/relationships/hyperlink" Target="https://www.marinepests.gov.au/sites/default/files/Documents/australian-marine-pest-monitoring-manual.pdf" TargetMode="External"/><Relationship Id="rId371" Type="http://schemas.openxmlformats.org/officeDocument/2006/relationships/hyperlink" Target="https://www.sciencedirect.com/science/article/pii/S0022098106005855" TargetMode="External"/><Relationship Id="rId427" Type="http://schemas.openxmlformats.org/officeDocument/2006/relationships/hyperlink" Target="https://link.springer.com/article/10.1007/s10530-016-1074-9" TargetMode="External"/><Relationship Id="rId469" Type="http://schemas.openxmlformats.org/officeDocument/2006/relationships/hyperlink" Target="https://esajournals.onlinelibrary.wiley.com/doi/abs/10.1890/1051-0761%282006%29016%5B1377%3AUHSIAP%5D2.0.CO%3B2" TargetMode="External"/><Relationship Id="rId634" Type="http://schemas.openxmlformats.org/officeDocument/2006/relationships/hyperlink" Target="https://www.pir.sa.gov.au/__data/assets/pdf_file/0005/438215/Molecular_surveys_for_priority_marine_pests_in_2021-22_for_of_SA_ports_and_Portland.pdf" TargetMode="External"/><Relationship Id="rId26" Type="http://schemas.openxmlformats.org/officeDocument/2006/relationships/hyperlink" Target="https://www.marinepests.gov.au/what-we-do/emergency/response-manuals" TargetMode="External"/><Relationship Id="rId231" Type="http://schemas.openxmlformats.org/officeDocument/2006/relationships/image" Target="media/image31.jpeg"/><Relationship Id="rId273" Type="http://schemas.openxmlformats.org/officeDocument/2006/relationships/hyperlink" Target="https://doi.org/10.15468/dl.6s48m8" TargetMode="External"/><Relationship Id="rId329" Type="http://schemas.openxmlformats.org/officeDocument/2006/relationships/hyperlink" Target="https://www.sciencedirect.com/science/article/abs/pii/S0734975010000698?via%3Dihub" TargetMode="External"/><Relationship Id="rId480" Type="http://schemas.openxmlformats.org/officeDocument/2006/relationships/hyperlink" Target="https://link.springer.com/article/10.1007/s002270050650" TargetMode="External"/><Relationship Id="rId536" Type="http://schemas.openxmlformats.org/officeDocument/2006/relationships/hyperlink" Target="https://onlinelibrary.wiley.com/doi/abs/10.1111/j.1365-2109.2004.01147.x" TargetMode="External"/><Relationship Id="rId68" Type="http://schemas.openxmlformats.org/officeDocument/2006/relationships/hyperlink" Target="http://www.marinepests.gov.au/what-we-do/emergency/national-control-plans" TargetMode="External"/><Relationship Id="rId133" Type="http://schemas.openxmlformats.org/officeDocument/2006/relationships/hyperlink" Target="https://www.agriculture.gov.au/biosecurity-trade/aircraft-vessels-military/vessels/marine-pest-biosecurity/biofouling/anti-fouling-and-inwater-cleaning-guidelines" TargetMode="External"/><Relationship Id="rId175" Type="http://schemas.openxmlformats.org/officeDocument/2006/relationships/hyperlink" Target="https://sardi-mar-biosec.shinyapps.io/surveydesign/" TargetMode="External"/><Relationship Id="rId340" Type="http://schemas.openxmlformats.org/officeDocument/2006/relationships/hyperlink" Target="https://onlinelibrary.wiley.com/doi/full/10.1111/ddi.12055" TargetMode="External"/><Relationship Id="rId578" Type="http://schemas.openxmlformats.org/officeDocument/2006/relationships/hyperlink" Target="https://link.springer.com/article/10.1007/s12526-021-01203-x" TargetMode="External"/><Relationship Id="rId200" Type="http://schemas.openxmlformats.org/officeDocument/2006/relationships/hyperlink" Target="https://www.marinepests.gov.au/what-we-do/research/compendium-marine-pest-studies" TargetMode="External"/><Relationship Id="rId382" Type="http://schemas.openxmlformats.org/officeDocument/2006/relationships/hyperlink" Target="https://www.agriculture.gov.au/sites/default/files/sitecollectiondocuments/animal-plant-health/aquatic/aquavetplan/aquavetplan-dsm-ostreid-herpes.pdf" TargetMode="External"/><Relationship Id="rId438" Type="http://schemas.openxmlformats.org/officeDocument/2006/relationships/hyperlink" Target="https://link.springer.com/article/10.1007/s10530-020-02318-1" TargetMode="External"/><Relationship Id="rId603" Type="http://schemas.openxmlformats.org/officeDocument/2006/relationships/hyperlink" Target="https://onlinelibrary.wiley.com/doi/abs/10.1111/j.1461-0248.2011.01614.x" TargetMode="External"/><Relationship Id="rId645" Type="http://schemas.openxmlformats.org/officeDocument/2006/relationships/hyperlink" Target="https://www.sciencedirect.com/science/article/pii/S0169534716301732" TargetMode="External"/><Relationship Id="rId242" Type="http://schemas.openxmlformats.org/officeDocument/2006/relationships/image" Target="media/image36.jpeg"/><Relationship Id="rId284" Type="http://schemas.openxmlformats.org/officeDocument/2006/relationships/hyperlink" Target="https://doi.org/10.15468/dl.5xh47f" TargetMode="External"/><Relationship Id="rId491" Type="http://schemas.openxmlformats.org/officeDocument/2006/relationships/hyperlink" Target="https://pubmed.ncbi.nlm.nih.gov/26865235/" TargetMode="External"/><Relationship Id="rId505" Type="http://schemas.openxmlformats.org/officeDocument/2006/relationships/hyperlink" Target="https://scholarworks.wm.edu/cgi/viewcontent.cgi?article=2289&amp;context=vimsarticles" TargetMode="External"/><Relationship Id="rId37" Type="http://schemas.openxmlformats.org/officeDocument/2006/relationships/hyperlink" Target="https://www.marinepests.gov.au/sites/default/files/Documents/national-control-plan-asian-bag-date-mussel-musculista-senhousia.pdf" TargetMode="External"/><Relationship Id="rId79" Type="http://schemas.openxmlformats.org/officeDocument/2006/relationships/hyperlink" Target="https://www.agriculture.gov.au/biosecurity/emergency/nebra" TargetMode="External"/><Relationship Id="rId102" Type="http://schemas.openxmlformats.org/officeDocument/2006/relationships/hyperlink" Target="https://www.dcceew.gov.au/sites/default/files/documents/national_policy_guidelines_for_the_translocation_of_live_aquatic_animals.pdf" TargetMode="External"/><Relationship Id="rId144" Type="http://schemas.openxmlformats.org/officeDocument/2006/relationships/hyperlink" Target="https://www.marinepests.gov.au/commercial/port-marina" TargetMode="External"/><Relationship Id="rId547" Type="http://schemas.openxmlformats.org/officeDocument/2006/relationships/hyperlink" Target="https://www.sciencedirect.com/science/article/pii/S1385110120301544" TargetMode="External"/><Relationship Id="rId589" Type="http://schemas.openxmlformats.org/officeDocument/2006/relationships/hyperlink" Target="https://www.sciencedirect.com/science/article/pii/S0044848619309986?via%3Dihub" TargetMode="External"/><Relationship Id="rId90" Type="http://schemas.openxmlformats.org/officeDocument/2006/relationships/hyperlink" Target="https://www.agriculture.gov.au/biosecurity-trade/aircraft-vessels-military/vessels/marine-pest-biosecurity/biofouling/inwater-cleaning-australia" TargetMode="External"/><Relationship Id="rId186" Type="http://schemas.openxmlformats.org/officeDocument/2006/relationships/image" Target="media/image13.jpeg"/><Relationship Id="rId351" Type="http://schemas.openxmlformats.org/officeDocument/2006/relationships/hyperlink" Target="https://www.science.org/doi/10.1126/science.261.5117.78" TargetMode="External"/><Relationship Id="rId393" Type="http://schemas.openxmlformats.org/officeDocument/2006/relationships/hyperlink" Target="https://www.sciencedirect.com/science/article/pii/S1385110116301873" TargetMode="External"/><Relationship Id="rId407" Type="http://schemas.openxmlformats.org/officeDocument/2006/relationships/hyperlink" Target="https://www.ajol.info/index.php/ajms/article/view/33548" TargetMode="External"/><Relationship Id="rId449" Type="http://schemas.openxmlformats.org/officeDocument/2006/relationships/hyperlink" Target="https://onlinelibrary.wiley.com/doi/10.1111/zsc.12010" TargetMode="External"/><Relationship Id="rId614" Type="http://schemas.openxmlformats.org/officeDocument/2006/relationships/hyperlink" Target="https://www.nature.com/articles/s41598-021-86876-x" TargetMode="External"/><Relationship Id="rId211" Type="http://schemas.openxmlformats.org/officeDocument/2006/relationships/hyperlink" Target="https://www.marinepests.gov.au/what-we-do/apmpl" TargetMode="External"/><Relationship Id="rId253" Type="http://schemas.openxmlformats.org/officeDocument/2006/relationships/image" Target="media/image42.png"/><Relationship Id="rId295" Type="http://schemas.openxmlformats.org/officeDocument/2006/relationships/hyperlink" Target="http://www.fish.wa.gov.au/Sustainability-and-Environment/Aquatic-Biosecurity/Pages/default.aspx" TargetMode="External"/><Relationship Id="rId309" Type="http://schemas.openxmlformats.org/officeDocument/2006/relationships/hyperlink" Target="https://pubmed.ncbi.nlm.nih.gov/25765622/" TargetMode="External"/><Relationship Id="rId460" Type="http://schemas.openxmlformats.org/officeDocument/2006/relationships/hyperlink" Target="https://www.researchgate.net/publication/303484442_Ecological_notes_and_patterns_of_dispersal_in_the_recently_introduced_mussel_Perna_perna_Linne_1758_in_the_Gulf_of_Mexico" TargetMode="External"/><Relationship Id="rId516" Type="http://schemas.openxmlformats.org/officeDocument/2006/relationships/hyperlink" Target="https://www.nature.com/articles/nature18599" TargetMode="External"/><Relationship Id="rId48" Type="http://schemas.openxmlformats.org/officeDocument/2006/relationships/hyperlink" Target="https://www.marinepests.gov.au/sites/default/files/Documents/national-control-plan-european-basket-shell-clam-varicorbula-gibba.pdf" TargetMode="External"/><Relationship Id="rId113" Type="http://schemas.openxmlformats.org/officeDocument/2006/relationships/hyperlink" Target="https://www.agriculture.gov.au/biosecurity-trade/policy/emergency/nebra" TargetMode="External"/><Relationship Id="rId320" Type="http://schemas.openxmlformats.org/officeDocument/2006/relationships/hyperlink" Target="https://pubmed.ncbi.nlm.nih.gov/26919588/" TargetMode="External"/><Relationship Id="rId558" Type="http://schemas.openxmlformats.org/officeDocument/2006/relationships/hyperlink" Target="https://link.springer.com/article/10.1007/BF03050000" TargetMode="External"/><Relationship Id="rId155" Type="http://schemas.openxmlformats.org/officeDocument/2006/relationships/hyperlink" Target="https://connie.csiro.au/" TargetMode="External"/><Relationship Id="rId197" Type="http://schemas.openxmlformats.org/officeDocument/2006/relationships/image" Target="media/image14.png"/><Relationship Id="rId362" Type="http://schemas.openxmlformats.org/officeDocument/2006/relationships/hyperlink" Target="https://scholarworks.wm.edu/vimsarticles/501/" TargetMode="External"/><Relationship Id="rId418" Type="http://schemas.openxmlformats.org/officeDocument/2006/relationships/hyperlink" Target="https://www.publish.csiro.au/mf/MF20148" TargetMode="External"/><Relationship Id="rId625" Type="http://schemas.openxmlformats.org/officeDocument/2006/relationships/hyperlink" Target="https://www.tandfonline.com/doi/full/10.1080/13235818.2020.1865515" TargetMode="External"/><Relationship Id="rId222" Type="http://schemas.openxmlformats.org/officeDocument/2006/relationships/image" Target="media/image26.png"/><Relationship Id="rId264" Type="http://schemas.openxmlformats.org/officeDocument/2006/relationships/image" Target="media/image47.png"/><Relationship Id="rId471" Type="http://schemas.openxmlformats.org/officeDocument/2006/relationships/hyperlink" Target="https://www.sciencedirect.com/science/article/pii/S0924796300000531" TargetMode="External"/><Relationship Id="rId17" Type="http://schemas.openxmlformats.org/officeDocument/2006/relationships/hyperlink" Target="https://www.marinepests.gov.au/what-we-do/publications" TargetMode="External"/><Relationship Id="rId59" Type="http://schemas.openxmlformats.org/officeDocument/2006/relationships/hyperlink" Target="https://www.agriculture.gov.au/agriculture-land/animal/health/laboratories/procedures/anzsdp/bonamiasis" TargetMode="External"/><Relationship Id="rId124" Type="http://schemas.openxmlformats.org/officeDocument/2006/relationships/image" Target="media/image9.png"/><Relationship Id="rId527" Type="http://schemas.openxmlformats.org/officeDocument/2006/relationships/hyperlink" Target="https://www.marinepests.gov.au/sites/default/files/Documents/national-marine-pest-surveillance-strategy_0.pdf" TargetMode="External"/><Relationship Id="rId569" Type="http://schemas.openxmlformats.org/officeDocument/2006/relationships/hyperlink" Target="https://www.reabic.net/journals/bir/2019/2/BIR_2019_Sanpanich_Wells.pdf" TargetMode="External"/><Relationship Id="rId70" Type="http://schemas.openxmlformats.org/officeDocument/2006/relationships/hyperlink" Target="https://invasions.si.edu/nemesis/" TargetMode="External"/><Relationship Id="rId166" Type="http://schemas.openxmlformats.org/officeDocument/2006/relationships/hyperlink" Target="https://www.agriculture.gov.au/abares/research-topics/social-sciences/making-general-surveillance-work/guidelines" TargetMode="External"/><Relationship Id="rId331" Type="http://schemas.openxmlformats.org/officeDocument/2006/relationships/hyperlink" Target="https://pir.sa.gov.au/__data/assets/pdf_file/0016/232216/qPCR_Assay_Pacific_Oyster_Report_-_FINAL_19_7_2012.pdf" TargetMode="External"/><Relationship Id="rId373" Type="http://schemas.openxmlformats.org/officeDocument/2006/relationships/hyperlink" Target="https://www.microbiologyresearch.org/content/journal/mgen/10.1099/mgen.0.001078" TargetMode="External"/><Relationship Id="rId429" Type="http://schemas.openxmlformats.org/officeDocument/2006/relationships/hyperlink" Target="https://www.ncbi.nlm.nih.gov/pmc/articles/PMC6746976/" TargetMode="External"/><Relationship Id="rId580" Type="http://schemas.openxmlformats.org/officeDocument/2006/relationships/hyperlink" Target="https://www.andrewisles.com/pages/books/9801/brian-j-smith/tamar-intertidal-invertebrates-an-atlas-of-the-common-species" TargetMode="External"/><Relationship Id="rId636" Type="http://schemas.openxmlformats.org/officeDocument/2006/relationships/hyperlink" Target="https://www.pir.sa.gov.au/__data/assets/pdf_file/0008/463589/assessment-analytical-field-performance-qpcr-assays-priority-marine-pests.pdf" TargetMode="External"/><Relationship Id="rId1" Type="http://schemas.openxmlformats.org/officeDocument/2006/relationships/customXml" Target="../customXml/item1.xml"/><Relationship Id="rId233" Type="http://schemas.openxmlformats.org/officeDocument/2006/relationships/hyperlink" Target="https://www.marinepests.gov.au/pests/identify/asian-date-bag-mussel" TargetMode="External"/><Relationship Id="rId440" Type="http://schemas.openxmlformats.org/officeDocument/2006/relationships/hyperlink" Target="https://oceanrep.geomar.de/id/eprint/2167/1/Initial%20Risk%20Assessment%20of%20Alien%20Species%20in%20Nordic%20Coastal%20Waters%20I.pdf" TargetMode="External"/><Relationship Id="rId28" Type="http://schemas.openxmlformats.org/officeDocument/2006/relationships/hyperlink" Target="https://www.marinepests.gov.au/what-we-do/emergency/biosecurity-incident-management-system" TargetMode="External"/><Relationship Id="rId275" Type="http://schemas.openxmlformats.org/officeDocument/2006/relationships/image" Target="media/image55.png"/><Relationship Id="rId300" Type="http://schemas.openxmlformats.org/officeDocument/2006/relationships/image" Target="media/image62.png"/><Relationship Id="rId482" Type="http://schemas.openxmlformats.org/officeDocument/2006/relationships/hyperlink" Target="https://pubmed.ncbi.nlm.nih.gov/29886855/" TargetMode="External"/><Relationship Id="rId538" Type="http://schemas.openxmlformats.org/officeDocument/2006/relationships/hyperlink" Target="https://onlinelibrary.wiley.com/doi/full/10.1111/j.1366-9516.2005.00179.x" TargetMode="External"/><Relationship Id="rId81" Type="http://schemas.openxmlformats.org/officeDocument/2006/relationships/hyperlink" Target="https://www.agriculture.gov.au/biosecurity-trade/policy/environmental/priority-list" TargetMode="External"/><Relationship Id="rId135" Type="http://schemas.openxmlformats.org/officeDocument/2006/relationships/hyperlink" Target="https://www.agriculture.gov.au/biosecurity-trade/aircraft-vessels-military/vessels/mars" TargetMode="External"/><Relationship Id="rId177" Type="http://schemas.openxmlformats.org/officeDocument/2006/relationships/hyperlink" Target="https://www.marinepests.gov.au/sites/default/files/Documents/australian-marine-pest-monitoring-manual.pdf" TargetMode="External"/><Relationship Id="rId342" Type="http://schemas.openxmlformats.org/officeDocument/2006/relationships/hyperlink" Target="https://www.mpi.govt.nz/dmsdocument/33606-treatment-agents-forbiofouling-in-internal-pipework-of-recreational-vessels-a-review-ofpipework-configurations-biofouling-risk-and-operational-considerations" TargetMode="External"/><Relationship Id="rId384" Type="http://schemas.openxmlformats.org/officeDocument/2006/relationships/hyperlink" Target="https://www.agriculture.gov.au/sites/default/files/documents/field-guide-5th-edition.pdf" TargetMode="External"/><Relationship Id="rId591" Type="http://schemas.openxmlformats.org/officeDocument/2006/relationships/hyperlink" Target="https://www.mpi.govt.nz/dmsdocument/15136-Optimising-settlement-arrays-for-surveillance-of-non-indigenous-biofouling-species-Results-and-recommendations-following-settlement-array-field-trials" TargetMode="External"/><Relationship Id="rId605" Type="http://schemas.openxmlformats.org/officeDocument/2006/relationships/hyperlink" Target="https://www.waddenacademie.nl/fileadmin/inhoud/pdf/06-wadweten/Proefschriften/Proefschrift_Karin_Troost.pdf" TargetMode="External"/><Relationship Id="rId202" Type="http://schemas.openxmlformats.org/officeDocument/2006/relationships/hyperlink" Target="https://doi.org/10.15468/dl.8uvfps" TargetMode="External"/><Relationship Id="rId244" Type="http://schemas.openxmlformats.org/officeDocument/2006/relationships/hyperlink" Target="https://www.marinepests.gov.au/pests/identify/charru-mussel" TargetMode="External"/><Relationship Id="rId647" Type="http://schemas.openxmlformats.org/officeDocument/2006/relationships/hyperlink" Target="https://biblio.naturalsciences.be/associated_publications/bjz/135-2/volume-135-2-pp-279-286.pdf" TargetMode="External"/><Relationship Id="rId39" Type="http://schemas.openxmlformats.org/officeDocument/2006/relationships/hyperlink" Target="https://nimpis.marinepests.gov.au/species/species/151" TargetMode="External"/><Relationship Id="rId286" Type="http://schemas.openxmlformats.org/officeDocument/2006/relationships/hyperlink" Target="https://www.agriculture.gov.au/biosecurity-trade/policy/partnerships/nbc/intergovernmental-agreement-on-biosecurity" TargetMode="External"/><Relationship Id="rId451" Type="http://schemas.openxmlformats.org/officeDocument/2006/relationships/hyperlink" Target="https://www.int-res.com/articles/ame/10/a010p181.pdf" TargetMode="External"/><Relationship Id="rId493" Type="http://schemas.openxmlformats.org/officeDocument/2006/relationships/hyperlink" Target="https://onlinelibrary.wiley.com/doi/abs/10.1111/rec.13267" TargetMode="External"/><Relationship Id="rId507" Type="http://schemas.openxmlformats.org/officeDocument/2006/relationships/hyperlink" Target="https://www.sciencedirect.com/science/article/pii/S1385110121000903?via%3Dihub" TargetMode="External"/><Relationship Id="rId549" Type="http://schemas.openxmlformats.org/officeDocument/2006/relationships/hyperlink" Target="https://www.business.qld.gov.au/industries/farms-fishing-forestry/agriculture/biosecurity/animals/invasive/prohibited/asian-green-mussel" TargetMode="External"/><Relationship Id="rId50" Type="http://schemas.openxmlformats.org/officeDocument/2006/relationships/hyperlink" Target="https://www.marinepests.gov.au/what-we-do/apmpl" TargetMode="External"/><Relationship Id="rId104" Type="http://schemas.openxmlformats.org/officeDocument/2006/relationships/hyperlink" Target="https://www.outbreak.gov.au/our-role/response-outbreak/national-biosecurity-communication-engagement-network" TargetMode="External"/><Relationship Id="rId146" Type="http://schemas.openxmlformats.org/officeDocument/2006/relationships/hyperlink" Target="https://connie.csiro.au/" TargetMode="External"/><Relationship Id="rId188" Type="http://schemas.openxmlformats.org/officeDocument/2006/relationships/hyperlink" Target="http://biobullets.com/" TargetMode="External"/><Relationship Id="rId311" Type="http://schemas.openxmlformats.org/officeDocument/2006/relationships/hyperlink" Target="https://www.sciencedirect.com/science/article/pii/S0044848605007672?via%3Dihub" TargetMode="External"/><Relationship Id="rId353" Type="http://schemas.openxmlformats.org/officeDocument/2006/relationships/hyperlink" Target="https://link.springer.com/article/10.1007/s11160-009-9108-3" TargetMode="External"/><Relationship Id="rId395" Type="http://schemas.openxmlformats.org/officeDocument/2006/relationships/hyperlink" Target="https://link.springer.com/article/10.1007/s10530-011-0056-1" TargetMode="External"/><Relationship Id="rId409" Type="http://schemas.openxmlformats.org/officeDocument/2006/relationships/hyperlink" Target="https://library.sprep.org/sites/default/files/eldredge-94-IFRP7.pdf" TargetMode="External"/><Relationship Id="rId560" Type="http://schemas.openxmlformats.org/officeDocument/2006/relationships/hyperlink" Target="https://eprints.cmfri.org.in/641/1/KS_Rao.pdf" TargetMode="External"/><Relationship Id="rId92" Type="http://schemas.openxmlformats.org/officeDocument/2006/relationships/hyperlink" Target="https://www.marinepests.gov.au/commercial/aquaculture" TargetMode="External"/><Relationship Id="rId213" Type="http://schemas.openxmlformats.org/officeDocument/2006/relationships/image" Target="media/image21.png"/><Relationship Id="rId420" Type="http://schemas.openxmlformats.org/officeDocument/2006/relationships/hyperlink" Target="https://www.mpi.govt.nz/dmsdocument/4041-the-efficacy-of-settlement-plate-arrays-for-marine-surveillance." TargetMode="External"/><Relationship Id="rId616" Type="http://schemas.openxmlformats.org/officeDocument/2006/relationships/hyperlink" Target="https://www.tandfonline.com/doi/full/10.1080/13235818.2017.1322676" TargetMode="External"/><Relationship Id="rId255" Type="http://schemas.openxmlformats.org/officeDocument/2006/relationships/hyperlink" Target="https://www.marinepests.gov.au/pests/identify/brown-mussel" TargetMode="External"/><Relationship Id="rId297" Type="http://schemas.openxmlformats.org/officeDocument/2006/relationships/hyperlink" Target="https://nt.gov.au/marine/for-all-harbour-and-boat-users/biosecurity/aquatic-pests-marine-and-freshwater" TargetMode="External"/><Relationship Id="rId462" Type="http://schemas.openxmlformats.org/officeDocument/2006/relationships/hyperlink" Target="https://www.int-res.com/articles/dao/12/d012p135.pdf" TargetMode="External"/><Relationship Id="rId518" Type="http://schemas.openxmlformats.org/officeDocument/2006/relationships/hyperlink" Target="https://www.tandfonline.com/doi/abs/10.2989/1814232X.2016.1180323" TargetMode="External"/><Relationship Id="rId115" Type="http://schemas.openxmlformats.org/officeDocument/2006/relationships/image" Target="media/image7.png"/><Relationship Id="rId157" Type="http://schemas.openxmlformats.org/officeDocument/2006/relationships/hyperlink" Target="https://ilp.mit.edu/node/39752" TargetMode="External"/><Relationship Id="rId322" Type="http://schemas.openxmlformats.org/officeDocument/2006/relationships/hyperlink" Target="https://www.sciencedirect.com/science/article/pii/S0022201108000736" TargetMode="External"/><Relationship Id="rId364" Type="http://schemas.openxmlformats.org/officeDocument/2006/relationships/hyperlink" Target="https://www.int-res.com/articles/dao/34/d034p193.pdf" TargetMode="External"/><Relationship Id="rId61" Type="http://schemas.openxmlformats.org/officeDocument/2006/relationships/hyperlink" Target="https://www.agriculture.gov.au/biosecurity-trade/policy/environmental/priority-list" TargetMode="External"/><Relationship Id="rId199" Type="http://schemas.openxmlformats.org/officeDocument/2006/relationships/hyperlink" Target="https://www.marinepests.gov.au/pests/identify/asian-basket-clam" TargetMode="External"/><Relationship Id="rId571" Type="http://schemas.openxmlformats.org/officeDocument/2006/relationships/hyperlink" Target="https://www.tandfonline.com/doi/abs/10.1080/11250000209356463" TargetMode="External"/><Relationship Id="rId627" Type="http://schemas.openxmlformats.org/officeDocument/2006/relationships/hyperlink" Target="https://pir.sa.gov.au/__data/assets/pdf_file/0018/232137/Final_monitoring_report_for_the_2010-2011_marine_pest_survey_of_the_Port_of_Adelaide,_South_Australia_-_FINAL_20_09_2011.pdf" TargetMode="External"/><Relationship Id="rId19" Type="http://schemas.openxmlformats.org/officeDocument/2006/relationships/header" Target="header1.xml"/><Relationship Id="rId224" Type="http://schemas.openxmlformats.org/officeDocument/2006/relationships/image" Target="media/image28.jpeg"/><Relationship Id="rId266" Type="http://schemas.openxmlformats.org/officeDocument/2006/relationships/hyperlink" Target="https://doi.org/10.15468/dl.y2b5sf" TargetMode="External"/><Relationship Id="rId431" Type="http://schemas.openxmlformats.org/officeDocument/2006/relationships/hyperlink" Target="https://pir.sa.gov.au/__data/assets/pdf_file/0005/438368/Mya_and_Maoricolpus_Assay_Development_2022.pdf" TargetMode="External"/><Relationship Id="rId473" Type="http://schemas.openxmlformats.org/officeDocument/2006/relationships/hyperlink" Target="https://www.academia.edu/17375770/Overview_and_bibliography_of_research_on_the_greenshell_mussel_Perna_canaliculus_from_New_Zealand_waters" TargetMode="External"/><Relationship Id="rId529" Type="http://schemas.openxmlformats.org/officeDocument/2006/relationships/hyperlink" Target="https://pubmed.ncbi.nlm.nih.gov/34793819/" TargetMode="External"/><Relationship Id="rId30" Type="http://schemas.openxmlformats.org/officeDocument/2006/relationships/hyperlink" Target="https://www.agriculture.gov.au/agriculture-land/animal/aquatic/aquavetplan" TargetMode="External"/><Relationship Id="rId126" Type="http://schemas.openxmlformats.org/officeDocument/2006/relationships/hyperlink" Target="https://www.agriculture.gov.au/import/industry-advice/2021/143-2021" TargetMode="External"/><Relationship Id="rId168" Type="http://schemas.openxmlformats.org/officeDocument/2006/relationships/hyperlink" Target="https://www.marinepests.gov.au/sites/default/files/Documents/australian-marine-pest-monitoring-manual.pdf" TargetMode="External"/><Relationship Id="rId333" Type="http://schemas.openxmlformats.org/officeDocument/2006/relationships/hyperlink" Target="https://www.mdpi.com/2073-4441/13/8/1113" TargetMode="External"/><Relationship Id="rId540" Type="http://schemas.openxmlformats.org/officeDocument/2006/relationships/hyperlink" Target="https://www.frdc.com.au/sites/default/files/products/1994-164-DLD.pdf" TargetMode="External"/><Relationship Id="rId72" Type="http://schemas.openxmlformats.org/officeDocument/2006/relationships/hyperlink" Target="https://www.marinespecies.org/" TargetMode="External"/><Relationship Id="rId375" Type="http://schemas.openxmlformats.org/officeDocument/2006/relationships/hyperlink" Target="https://www.dpi.nsw.gov.au/__data/assets/pdf_file/0007/545650/FFRS-64_Creese-et-al-2004.pdf" TargetMode="External"/><Relationship Id="rId582" Type="http://schemas.openxmlformats.org/officeDocument/2006/relationships/hyperlink" Target="https://link.springer.com/article/10.1007/s10530-009-9422-7" TargetMode="External"/><Relationship Id="rId638" Type="http://schemas.openxmlformats.org/officeDocument/2006/relationships/hyperlink" Target="https://www.woah.org/fileadmin/Home/eng/Health_standards/aahm/current/chapitre_marteilia_refringens.pdf" TargetMode="External"/><Relationship Id="rId3" Type="http://schemas.openxmlformats.org/officeDocument/2006/relationships/customXml" Target="../customXml/item3.xml"/><Relationship Id="rId235" Type="http://schemas.openxmlformats.org/officeDocument/2006/relationships/hyperlink" Target="https://www.marinepests.gov.au/sites/default/files/Documents/national-control-plan-asian-bag-date-mussel-musculista-senhousia.pdf" TargetMode="External"/><Relationship Id="rId277" Type="http://schemas.openxmlformats.org/officeDocument/2006/relationships/hyperlink" Target="https://www.marinepests.gov.au/what-we-do/research/compendium-marine-pest-studies" TargetMode="External"/><Relationship Id="rId400" Type="http://schemas.openxmlformats.org/officeDocument/2006/relationships/hyperlink" Target="https://www.ncbi.nlm.nih.gov/pmc/articles/PMC7140805/" TargetMode="External"/><Relationship Id="rId442" Type="http://schemas.openxmlformats.org/officeDocument/2006/relationships/hyperlink" Target="https://link.springer.com/chapter/10.1007/978-94-015-9956-6_30" TargetMode="External"/><Relationship Id="rId484" Type="http://schemas.openxmlformats.org/officeDocument/2006/relationships/hyperlink" Target="https://www.marinespecies.org/echinoidea/aphia.php?p=sourcedetails&amp;id=435050" TargetMode="External"/><Relationship Id="rId137" Type="http://schemas.openxmlformats.org/officeDocument/2006/relationships/hyperlink" Target="https://www.agriculture.gov.au/biosecurity-trade/aircraft-vessels-military/vessels/marine-pest-biosecurity/ballast/australian-ballast-water-management-requirements" TargetMode="External"/><Relationship Id="rId302" Type="http://schemas.openxmlformats.org/officeDocument/2006/relationships/image" Target="media/image64.png"/><Relationship Id="rId344" Type="http://schemas.openxmlformats.org/officeDocument/2006/relationships/hyperlink" Target="https://www.mpi.govt.nz/dmsdocument/48580" TargetMode="External"/><Relationship Id="rId41" Type="http://schemas.openxmlformats.org/officeDocument/2006/relationships/hyperlink" Target="https://nimpis.marinepests.gov.au/species/species/9" TargetMode="External"/><Relationship Id="rId83" Type="http://schemas.openxmlformats.org/officeDocument/2006/relationships/hyperlink" Target="mailto:nebra@aff.gov.au" TargetMode="External"/><Relationship Id="rId179" Type="http://schemas.openxmlformats.org/officeDocument/2006/relationships/hyperlink" Target="https://www.smith-root.com/edna" TargetMode="External"/><Relationship Id="rId386" Type="http://schemas.openxmlformats.org/officeDocument/2006/relationships/hyperlink" Target="https://www.agriculture.gov.au/biosecurity-trade/policy/emergency/nebra" TargetMode="External"/><Relationship Id="rId551" Type="http://schemas.openxmlformats.org/officeDocument/2006/relationships/hyperlink" Target="https://www.sciencedirect.com/science/article/pii/S0025326X0700361X" TargetMode="External"/><Relationship Id="rId593" Type="http://schemas.openxmlformats.org/officeDocument/2006/relationships/hyperlink" Target="https://researchdata.edu.au/the-ecology-impacts-bay-australia/680389?source=suggested_datasets" TargetMode="External"/><Relationship Id="rId607" Type="http://schemas.openxmlformats.org/officeDocument/2006/relationships/hyperlink" Target="https://pdf.usaid.gov/pdf_docs/PNABF179.pdf" TargetMode="External"/><Relationship Id="rId649" Type="http://schemas.openxmlformats.org/officeDocument/2006/relationships/hyperlink" Target="https://www.google.com/url?sa=t&amp;rct=j&amp;q=&amp;esrc=s&amp;source=web&amp;cd=&amp;ved=2ahUKEwiUwMSsiruHAxUwk1YBHQgrIu8QFnoECBYQAQ&amp;url=https%3A%2F%2Facademic.oup.com%2Fzoolinnean%2Farticle%2F184%2F3%2F605%2F4815691&amp;usg=AOvVaw3OHsQBHBoPTQ9f-PyQsdcA&amp;opi=89978449" TargetMode="External"/><Relationship Id="rId190" Type="http://schemas.openxmlformats.org/officeDocument/2006/relationships/hyperlink" Target="https://www.agriculture.gov.au/agriculture-land/animal/aquatic/aquavetplan/decontamination" TargetMode="External"/><Relationship Id="rId204" Type="http://schemas.openxmlformats.org/officeDocument/2006/relationships/hyperlink" Target="https://www.marinepests.gov.au/sites/default/files/Documents/national-control-plan-european-basket-shell-clam-varicorbula-gibba.pdf" TargetMode="External"/><Relationship Id="rId246" Type="http://schemas.openxmlformats.org/officeDocument/2006/relationships/image" Target="media/image38.png"/><Relationship Id="rId288" Type="http://schemas.openxmlformats.org/officeDocument/2006/relationships/hyperlink" Target="https://www.marinepests.gov.au/report" TargetMode="External"/><Relationship Id="rId411" Type="http://schemas.openxmlformats.org/officeDocument/2006/relationships/hyperlink" Target="https://www.sciencedirect.com/science/article/pii/S0048969721067425" TargetMode="External"/><Relationship Id="rId453" Type="http://schemas.openxmlformats.org/officeDocument/2006/relationships/hyperlink" Target="https://nanaimoscience.org/wp-content/uploads/2020/08/Crassostrea-gigas_Harris.pdf" TargetMode="External"/><Relationship Id="rId509" Type="http://schemas.openxmlformats.org/officeDocument/2006/relationships/hyperlink" Target="https://www.reabic.net/journals/bir/2022/3/BIR_2022_Masse_etal.pdf" TargetMode="External"/><Relationship Id="rId106" Type="http://schemas.openxmlformats.org/officeDocument/2006/relationships/hyperlink" Target="https://www.outbreak.gov.au/how-we-respond-to-outbreaks" TargetMode="External"/><Relationship Id="rId313" Type="http://schemas.openxmlformats.org/officeDocument/2006/relationships/hyperlink" Target="https://niva.brage.unit.no/niva-xmlui/handle/11250/2573117" TargetMode="External"/><Relationship Id="rId495" Type="http://schemas.openxmlformats.org/officeDocument/2006/relationships/hyperlink" Target="https://www.jaxshells.org/immigran.htm" TargetMode="External"/><Relationship Id="rId10" Type="http://schemas.openxmlformats.org/officeDocument/2006/relationships/endnotes" Target="endnotes.xml"/><Relationship Id="rId52" Type="http://schemas.openxmlformats.org/officeDocument/2006/relationships/image" Target="media/image4.png"/><Relationship Id="rId94" Type="http://schemas.openxmlformats.org/officeDocument/2006/relationships/hyperlink" Target="https://www.marinepests.gov.au/commercial/port-marina" TargetMode="External"/><Relationship Id="rId148" Type="http://schemas.openxmlformats.org/officeDocument/2006/relationships/hyperlink" Target="https://www.agriculture.gov.au/" TargetMode="External"/><Relationship Id="rId355" Type="http://schemas.openxmlformats.org/officeDocument/2006/relationships/hyperlink" Target="https://link.springer.com/article/10.1007/s10530-004-0198-5" TargetMode="External"/><Relationship Id="rId397" Type="http://schemas.openxmlformats.org/officeDocument/2006/relationships/hyperlink" Target="https://www.int-res.com/articles/aei2016/8/q008p419.pdf" TargetMode="External"/><Relationship Id="rId520" Type="http://schemas.openxmlformats.org/officeDocument/2006/relationships/hyperlink" Target="https://acta.izor.hr/acta/pdf/47_1_pdf/47_1_6.pdf" TargetMode="External"/><Relationship Id="rId562" Type="http://schemas.openxmlformats.org/officeDocument/2006/relationships/hyperlink" Target="https://onlinelibrary.wiley.com/doi/abs/10.1111/j.1461-0248.2006.00920.x" TargetMode="External"/><Relationship Id="rId618" Type="http://schemas.openxmlformats.org/officeDocument/2006/relationships/hyperlink" Target="https://www.reabic.net/journals/bir/2024/1/BIR_2024_Wells_etal.pdf" TargetMode="External"/><Relationship Id="rId215" Type="http://schemas.openxmlformats.org/officeDocument/2006/relationships/image" Target="media/image23.png"/><Relationship Id="rId257" Type="http://schemas.openxmlformats.org/officeDocument/2006/relationships/hyperlink" Target="https://www.marinepests.gov.au/what-we-do/research/compendium-marine-pest-studies" TargetMode="External"/><Relationship Id="rId422" Type="http://schemas.openxmlformats.org/officeDocument/2006/relationships/hyperlink" Target="https://www.sciencedirect.com/science/article/pii/S0044848606008684" TargetMode="External"/><Relationship Id="rId464" Type="http://schemas.openxmlformats.org/officeDocument/2006/relationships/hyperlink" Target="https://besjournals.onlinelibrary.wiley.com/doi/full/10.1111/j.1365-2664.2010.01941.x" TargetMode="External"/><Relationship Id="rId299" Type="http://schemas.openxmlformats.org/officeDocument/2006/relationships/image" Target="media/image61.png"/><Relationship Id="rId63" Type="http://schemas.openxmlformats.org/officeDocument/2006/relationships/hyperlink" Target="https://www.agriculture.gov.au/biosecurity-trade/policy/environmental/priority-list" TargetMode="External"/><Relationship Id="rId159" Type="http://schemas.openxmlformats.org/officeDocument/2006/relationships/hyperlink" Target="https://gmed.auckland.ac.nz/" TargetMode="External"/><Relationship Id="rId366" Type="http://schemas.openxmlformats.org/officeDocument/2006/relationships/hyperlink" Target="https://www.reabic.net/journals/mbi/2024/2/MBI_2024_Conry_etal.pdf" TargetMode="External"/><Relationship Id="rId573" Type="http://schemas.openxmlformats.org/officeDocument/2006/relationships/hyperlink" Target="https://www.researchgate.net/profile/Sandra-Shumway/publication/264533388_Considerations_regarding_the_possible_introduction_of_the_Pacific_oyster_Crassostrea_gigas_to_the_Gulf_of_Maine_a_review_of_global_experience/links/53e297a60cf2b9d0d8328594/Considerations-regarding-the-possible-introduction-of-the-Pacific-oyster-Crassostrea-gigas-to-the-Gulf-of-Maine-a-review-of-global-experience.pdf" TargetMode="External"/><Relationship Id="rId226" Type="http://schemas.openxmlformats.org/officeDocument/2006/relationships/hyperlink" Target="https://www.marinepests.gov.au/what-we-do/research/compendium-marine-pest-studies" TargetMode="External"/><Relationship Id="rId433" Type="http://schemas.openxmlformats.org/officeDocument/2006/relationships/hyperlink" Target="https://academic.oup.com/mollus/article/76/4/333/1129812" TargetMode="External"/><Relationship Id="rId640" Type="http://schemas.openxmlformats.org/officeDocument/2006/relationships/hyperlink" Target="https://link.springer.com/book/10.1007/978-3-540-79236-9" TargetMode="External"/><Relationship Id="rId74" Type="http://schemas.openxmlformats.org/officeDocument/2006/relationships/hyperlink" Target="https://www.malsocaus.org/" TargetMode="External"/><Relationship Id="rId377" Type="http://schemas.openxmlformats.org/officeDocument/2006/relationships/hyperlink" Target="https://www.lib.washington.edu/msd/norestriction/b57916214.pdf" TargetMode="External"/><Relationship Id="rId500" Type="http://schemas.openxmlformats.org/officeDocument/2006/relationships/hyperlink" Target="https://apps.dtic.mil/sti/citations/ADA481377" TargetMode="External"/><Relationship Id="rId584" Type="http://schemas.openxmlformats.org/officeDocument/2006/relationships/hyperlink" Target="https://mapress.com/mrs/article/view/mr.27.2.4" TargetMode="External"/><Relationship Id="rId5" Type="http://schemas.openxmlformats.org/officeDocument/2006/relationships/numbering" Target="numbering.xml"/><Relationship Id="rId237" Type="http://schemas.openxmlformats.org/officeDocument/2006/relationships/hyperlink" Target="https://doi.org/10.15468/dl.dd9hjd" TargetMode="External"/><Relationship Id="rId444" Type="http://schemas.openxmlformats.org/officeDocument/2006/relationships/hyperlink" Target="https://esajournals.onlinelibrary.wiley.com/doi/epdf/10.1002/fee.2277" TargetMode="External"/><Relationship Id="rId651" Type="http://schemas.openxmlformats.org/officeDocument/2006/relationships/hyperlink" Target="https://www.reabic.net/journals/bir/2021/1/BIR_2021_Zhulidov_etal.pdf" TargetMode="External"/><Relationship Id="rId290" Type="http://schemas.openxmlformats.org/officeDocument/2006/relationships/hyperlink" Target="https://www.dpi.nsw.gov.au/fishing/pests-diseases" TargetMode="External"/><Relationship Id="rId304" Type="http://schemas.openxmlformats.org/officeDocument/2006/relationships/image" Target="media/image66.emf"/><Relationship Id="rId388" Type="http://schemas.openxmlformats.org/officeDocument/2006/relationships/hyperlink" Target="https://www.agriculture.gov.au/sites/default/files/sitecollectiondocuments/animal-plant/aquatic/aquavetplan/disposal-manual.pdf" TargetMode="External"/><Relationship Id="rId511" Type="http://schemas.openxmlformats.org/officeDocument/2006/relationships/hyperlink" Target="https://www.reabic.net/journals/mbi/2018/2/MBI_2018_McDonald_etal.pdf" TargetMode="External"/><Relationship Id="rId609" Type="http://schemas.openxmlformats.org/officeDocument/2006/relationships/hyperlink" Target="https://www.cabidigitallibrary.org/doi/10.1079/9781780643595.0123" TargetMode="External"/><Relationship Id="rId85" Type="http://schemas.openxmlformats.org/officeDocument/2006/relationships/hyperlink" Target="https://www.agriculture.gov.au/biosecurity-trade/policy/emergency/nebra" TargetMode="External"/><Relationship Id="rId150" Type="http://schemas.openxmlformats.org/officeDocument/2006/relationships/hyperlink" Target="https://www.marinetraffic.com/" TargetMode="External"/><Relationship Id="rId595" Type="http://schemas.openxmlformats.org/officeDocument/2006/relationships/hyperlink" Target="https://lkcnhm.nus.edu.sg/wp-content/uploads/sites/10/app/uploads/2017/06/54rbz429-434.pdf" TargetMode="External"/><Relationship Id="rId248" Type="http://schemas.openxmlformats.org/officeDocument/2006/relationships/image" Target="media/image39.png"/><Relationship Id="rId455" Type="http://schemas.openxmlformats.org/officeDocument/2006/relationships/hyperlink" Target="https://onlinelibrary.wiley.com/doi/full/10.1111/ddi.12388" TargetMode="External"/><Relationship Id="rId12" Type="http://schemas.openxmlformats.org/officeDocument/2006/relationships/hyperlink" Target="https://creativecommons.org/licenses/by/4.0/legalcode" TargetMode="External"/><Relationship Id="rId108" Type="http://schemas.openxmlformats.org/officeDocument/2006/relationships/hyperlink" Target="mailto:CCIMPE@aff.gov.au" TargetMode="External"/><Relationship Id="rId315" Type="http://schemas.openxmlformats.org/officeDocument/2006/relationships/hyperlink" Target="https://link.springer.com/chapter/10.1007/978-3-642-28451-9_12" TargetMode="External"/><Relationship Id="rId522" Type="http://schemas.openxmlformats.org/officeDocument/2006/relationships/hyperlink" Target="https://www.sciencedirect.com/science/article/pii/S0308597X11000492" TargetMode="External"/><Relationship Id="rId96" Type="http://schemas.openxmlformats.org/officeDocument/2006/relationships/hyperlink" Target="https://www.marinepests.gov.au/commercial/vessels/biofouling-commercial-fishing" TargetMode="External"/><Relationship Id="rId161" Type="http://schemas.openxmlformats.org/officeDocument/2006/relationships/hyperlink" Target="https://www.marinepests.gov.au/what-we-do/surveillance/national-marine-pest-surveillance-strategy" TargetMode="External"/><Relationship Id="rId399" Type="http://schemas.openxmlformats.org/officeDocument/2006/relationships/hyperlink" Target="https://www.reabic.net/journals/bir/2019/3/BIR_2019_Messano_etal.pdf" TargetMode="External"/><Relationship Id="rId259" Type="http://schemas.openxmlformats.org/officeDocument/2006/relationships/image" Target="media/image44.png"/><Relationship Id="rId466" Type="http://schemas.openxmlformats.org/officeDocument/2006/relationships/hyperlink" Target="https://www.reabic.net/journals/bir/2021/2/BIR_2021_Huang_etal.pdf" TargetMode="External"/><Relationship Id="rId23" Type="http://schemas.openxmlformats.org/officeDocument/2006/relationships/header" Target="header3.xml"/><Relationship Id="rId119" Type="http://schemas.openxmlformats.org/officeDocument/2006/relationships/hyperlink" Target="https://www.marinepests.gov.au/sites/default/files/Documents/biosecurity-emergency-management-bimg_0.pdf" TargetMode="External"/><Relationship Id="rId326" Type="http://schemas.openxmlformats.org/officeDocument/2006/relationships/hyperlink" Target="http://dx.doi.org/10.6024/jmbai.2019.61.1.2035-06" TargetMode="External"/><Relationship Id="rId533" Type="http://schemas.openxmlformats.org/officeDocument/2006/relationships/hyperlink" Target="https://scholarspace.manoa.hawaii.edu/items/b5e130a3-a8b8-4fb7-af10-a70d8adc47af" TargetMode="External"/><Relationship Id="rId172" Type="http://schemas.openxmlformats.org/officeDocument/2006/relationships/hyperlink" Target="https://research.csiro.au/environomics/wp-content/uploads/sites/187/2022/08/Environmental-DNA-test-validation-guidelines.pdf" TargetMode="External"/><Relationship Id="rId477" Type="http://schemas.openxmlformats.org/officeDocument/2006/relationships/hyperlink" Target="https://www.sciencedirect.com/science/article/pii/007775799090038I" TargetMode="External"/><Relationship Id="rId600" Type="http://schemas.openxmlformats.org/officeDocument/2006/relationships/hyperlink" Target="https://besjournals.onlinelibrary.wiley.com/doi/full/10.1111/2041-210X.12994" TargetMode="External"/><Relationship Id="rId337" Type="http://schemas.openxmlformats.org/officeDocument/2006/relationships/hyperlink" Target="https://link.springer.com/article/10.1007/BF00390542" TargetMode="External"/><Relationship Id="rId34" Type="http://schemas.openxmlformats.org/officeDocument/2006/relationships/hyperlink" Target="https://www.marinepests.gov.au/what-we-do/emergency/national-control-plans" TargetMode="External"/><Relationship Id="rId544" Type="http://schemas.openxmlformats.org/officeDocument/2006/relationships/hyperlink" Target="https://www.sciencedirect.com/science/article/pii/S0025326X12002482" TargetMode="External"/><Relationship Id="rId183" Type="http://schemas.openxmlformats.org/officeDocument/2006/relationships/hyperlink" Target="https://www.agriculture.gov.au/biosecurity-trade/policy/emergency/nebra" TargetMode="External"/><Relationship Id="rId390" Type="http://schemas.openxmlformats.org/officeDocument/2006/relationships/hyperlink" Target="https://www.reabic.net/journals/bir/2020/1/BIR_2020_Dann_etal.pdf" TargetMode="External"/><Relationship Id="rId404" Type="http://schemas.openxmlformats.org/officeDocument/2006/relationships/hyperlink" Target="https://link.springer.com/article/10.1007/s10530-018-1659-6" TargetMode="External"/><Relationship Id="rId611" Type="http://schemas.openxmlformats.org/officeDocument/2006/relationships/hyperlink" Target="https://academic.oup.com/cz/article/62/6/629/2745826" TargetMode="External"/><Relationship Id="rId250" Type="http://schemas.openxmlformats.org/officeDocument/2006/relationships/hyperlink" Target="https://www.agriculture.gov.au/biosecurity-trade/policy/environmental/priority-list" TargetMode="External"/><Relationship Id="rId488" Type="http://schemas.openxmlformats.org/officeDocument/2006/relationships/hyperlink" Target="https://pubmed.ncbi.nlm.nih.gov/18177325/" TargetMode="External"/><Relationship Id="rId45" Type="http://schemas.openxmlformats.org/officeDocument/2006/relationships/hyperlink" Target="https://nimpis.marinepests.gov.au/species/species/17" TargetMode="External"/><Relationship Id="rId110" Type="http://schemas.openxmlformats.org/officeDocument/2006/relationships/hyperlink" Target="https://www.marinepests.gov.au/what-we-do/emergency/response-manuals" TargetMode="External"/><Relationship Id="rId348" Type="http://schemas.openxmlformats.org/officeDocument/2006/relationships/hyperlink" Target="https://www.frontiersin.org/journals/marine-science/articles/10.3389/fmars.2018.00331/full" TargetMode="External"/><Relationship Id="rId555" Type="http://schemas.openxmlformats.org/officeDocument/2006/relationships/hyperlink" Target="https://www.tandfonline.com/doi/abs/10.1080/0892701021000028497" TargetMode="External"/><Relationship Id="rId194" Type="http://schemas.openxmlformats.org/officeDocument/2006/relationships/hyperlink" Target="https://www.agriculture.gov.au/agriculture-land/animal/aquatic/aquavetplan/disposal" TargetMode="External"/><Relationship Id="rId208" Type="http://schemas.openxmlformats.org/officeDocument/2006/relationships/image" Target="media/image19.png"/><Relationship Id="rId415" Type="http://schemas.openxmlformats.org/officeDocument/2006/relationships/hyperlink" Target="https://www.tandfonline.com/doi/abs/10.1080/00785326.1965.10409598" TargetMode="External"/><Relationship Id="rId622" Type="http://schemas.openxmlformats.org/officeDocument/2006/relationships/hyperlink" Target="https://www.ingentaconnect.com/content/umrsmas/bullmar/1987/00000041/00000002/art00032" TargetMode="External"/><Relationship Id="rId261" Type="http://schemas.openxmlformats.org/officeDocument/2006/relationships/image" Target="media/image45.png"/><Relationship Id="rId499" Type="http://schemas.openxmlformats.org/officeDocument/2006/relationships/hyperlink" Target="https://onlinelibrary.wiley.com/doi/epdf/10.1111/j.1472-4642.2010.00653.x" TargetMode="External"/><Relationship Id="rId56" Type="http://schemas.openxmlformats.org/officeDocument/2006/relationships/hyperlink" Target="https://www.agriculture.gov.au/agriculture-land/animal/aquatic/aquavetplan" TargetMode="External"/><Relationship Id="rId359" Type="http://schemas.openxmlformats.org/officeDocument/2006/relationships/hyperlink" Target="https://www.tandfonline.com/doi/abs/10.1080/00288330.1980.9515851" TargetMode="External"/><Relationship Id="rId566" Type="http://schemas.openxmlformats.org/officeDocument/2006/relationships/hyperlink" Target="https://onlinelibrary.wiley.com/doi/full/10.1002/edn3.65" TargetMode="External"/><Relationship Id="rId121" Type="http://schemas.openxmlformats.org/officeDocument/2006/relationships/hyperlink" Target="https://www.agriculture.gov.au/sites/default/files/sitecollectiondocuments/animal-plant/pests-diseases/marine-pests/antifouling-consultation/antifouling-guidelines.pdf" TargetMode="External"/><Relationship Id="rId219" Type="http://schemas.openxmlformats.org/officeDocument/2006/relationships/hyperlink" Target="https://doi.org/10.15468/dl.fn3pxp" TargetMode="External"/><Relationship Id="rId426" Type="http://schemas.openxmlformats.org/officeDocument/2006/relationships/hyperlink" Target="https://www.currentscience.ac.in/Volumes/40/15/0407.pdf" TargetMode="External"/><Relationship Id="rId633" Type="http://schemas.openxmlformats.org/officeDocument/2006/relationships/hyperlink" Target="https://pir.sa.gov.au/__data/assets/pdf_file/0005/398309/mytella-pcr-assay-design.pdf" TargetMode="External"/><Relationship Id="rId67" Type="http://schemas.openxmlformats.org/officeDocument/2006/relationships/hyperlink" Target="https://webarchive.nla.gov.au/awa/20191109235543/http:/www.environment.gov.au/resource/national-priority-pests" TargetMode="External"/><Relationship Id="rId272" Type="http://schemas.openxmlformats.org/officeDocument/2006/relationships/image" Target="media/image53.png"/><Relationship Id="rId577" Type="http://schemas.openxmlformats.org/officeDocument/2006/relationships/hyperlink" Target="https://www.siddall.info/pdfdocs/perna.pdf" TargetMode="External"/><Relationship Id="rId132" Type="http://schemas.openxmlformats.org/officeDocument/2006/relationships/hyperlink" Target="https://www.agriculture.gov.au/sites/default/files/sitecollectiondocuments/animal-plant/pests-diseases/marine-pests/antifouling-consultation/antifouling-guidelines.pdf" TargetMode="External"/><Relationship Id="rId437" Type="http://schemas.openxmlformats.org/officeDocument/2006/relationships/hyperlink" Target="https://www.tandfonline.com/doi/abs/10.1080/17451000.2018.1442579" TargetMode="External"/><Relationship Id="rId644" Type="http://schemas.openxmlformats.org/officeDocument/2006/relationships/hyperlink" Target="https://www.cambridge.org/core/journals/journal-of-the-marine-biological-association-of-the-united-kingdom/article/abs/on-the-habits-and-adaptations-of-aloidis-corbula-gibba/D3793368CB66B50D774C4DC5F7379F32" TargetMode="External"/><Relationship Id="rId283" Type="http://schemas.openxmlformats.org/officeDocument/2006/relationships/image" Target="media/image60.png"/><Relationship Id="rId490" Type="http://schemas.openxmlformats.org/officeDocument/2006/relationships/hyperlink" Target="https://catalogue.nla.gov.au/catalog/367430" TargetMode="External"/><Relationship Id="rId504" Type="http://schemas.openxmlformats.org/officeDocument/2006/relationships/hyperlink" Target="https://pubmed.ncbi.nlm.nih.gov/20388237/" TargetMode="External"/><Relationship Id="rId78" Type="http://schemas.openxmlformats.org/officeDocument/2006/relationships/hyperlink" Target="https://www.agriculture.gov.au/biosecurity-trade/policy/emergency/nebra" TargetMode="External"/><Relationship Id="rId143" Type="http://schemas.openxmlformats.org/officeDocument/2006/relationships/hyperlink" Target="https://www.marinepests.gov.au/commercial/offshore-infrastructure" TargetMode="External"/><Relationship Id="rId350" Type="http://schemas.openxmlformats.org/officeDocument/2006/relationships/hyperlink" Target="https://www.int-res.com/articles/meps/66/m066p081.pdf" TargetMode="External"/><Relationship Id="rId588" Type="http://schemas.openxmlformats.org/officeDocument/2006/relationships/hyperlink" Target="https://ejournals.epublishing.ekt.gr/index.php/hcmr-med-mar-sc/article/view/12152" TargetMode="External"/><Relationship Id="rId9" Type="http://schemas.openxmlformats.org/officeDocument/2006/relationships/footnotes" Target="footnotes.xml"/><Relationship Id="rId210" Type="http://schemas.openxmlformats.org/officeDocument/2006/relationships/image" Target="media/image20.png"/><Relationship Id="rId448" Type="http://schemas.openxmlformats.org/officeDocument/2006/relationships/hyperlink" Target="https://www.china-fishery.com/jfcen/article/abstract/19890301" TargetMode="External"/><Relationship Id="rId294" Type="http://schemas.openxmlformats.org/officeDocument/2006/relationships/hyperlink" Target="http://www.pir.sa.gov.au/biosecurity/aquatics" TargetMode="External"/><Relationship Id="rId308" Type="http://schemas.openxmlformats.org/officeDocument/2006/relationships/hyperlink" Target="https://apps.dtic.mil/sti/tr/pdf/ADA181592.pdf" TargetMode="External"/><Relationship Id="rId515" Type="http://schemas.openxmlformats.org/officeDocument/2006/relationships/hyperlink" Target="https://www.sciencedirect.com/science/article/pii/S030438001930345X" TargetMode="External"/><Relationship Id="rId89" Type="http://schemas.openxmlformats.org/officeDocument/2006/relationships/hyperlink" Target="http://www.agriculture.gov.au/biosecurity/avm/vessels/biofouling/anti-fouling-and-inwater-cleaning-guidelines" TargetMode="External"/><Relationship Id="rId154" Type="http://schemas.openxmlformats.org/officeDocument/2006/relationships/hyperlink" Target="https://www.amsa.gov.au/" TargetMode="External"/><Relationship Id="rId361" Type="http://schemas.openxmlformats.org/officeDocument/2006/relationships/hyperlink" Target="https://www.nature.com/articles/s41598-023-36224-y" TargetMode="External"/><Relationship Id="rId599" Type="http://schemas.openxmlformats.org/officeDocument/2006/relationships/hyperlink" Target="https://www.sciencedirect.com/science/article/pii/S0025326X17310962" TargetMode="External"/><Relationship Id="rId459" Type="http://schemas.openxmlformats.org/officeDocument/2006/relationships/hyperlink" Target="https://link.springer.com/chapter/10.1007/978-3-540-79236-9_6" TargetMode="External"/><Relationship Id="rId16" Type="http://schemas.openxmlformats.org/officeDocument/2006/relationships/hyperlink" Target="https://www.agriculture.gov.au/agriculture-land/animal/aquatic/aquavetplan" TargetMode="External"/><Relationship Id="rId221" Type="http://schemas.openxmlformats.org/officeDocument/2006/relationships/hyperlink" Target="https://www.awe.gov.au/biosecurity-trade/policy/environmental/priority-list" TargetMode="External"/><Relationship Id="rId319" Type="http://schemas.openxmlformats.org/officeDocument/2006/relationships/hyperlink" Target="https://journals.plos.org/plosone/article?id=10.1371/journal.pone.0196578" TargetMode="External"/><Relationship Id="rId526" Type="http://schemas.openxmlformats.org/officeDocument/2006/relationships/hyperlink" Target="https://www.marinepests.gov.au/sites/default/files/Documents/apmpl-process-outcomes.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ardi-mar-biosec.shinyapps.io/surveydesign/" TargetMode="External"/><Relationship Id="rId1" Type="http://schemas.openxmlformats.org/officeDocument/2006/relationships/hyperlink" Target="https://epitools.ausvet.com.au/riskbasedsstwosta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5cc98ce-8475-4d50-88df-3b858a054348">
      <UserInfo>
        <DisplayName>Melissa Walker</DisplayName>
        <AccountId>41</AccountId>
        <AccountType/>
      </UserInfo>
      <UserInfo>
        <DisplayName>Cian Foster-Thorpe</DisplayName>
        <AccountId>19</AccountId>
        <AccountType/>
      </UserInfo>
      <UserInfo>
        <DisplayName>Richard Stafford-Bell</DisplayName>
        <AccountId>20</AccountId>
        <AccountType/>
      </UserInfo>
      <UserInfo>
        <DisplayName>Claire Wellington</DisplayName>
        <AccountId>47</AccountId>
        <AccountType/>
      </UserInfo>
      <UserInfo>
        <DisplayName>Brett Herbert</DisplayName>
        <AccountId>62</AccountId>
        <AccountType/>
      </UserInfo>
    </SharedWithUsers>
    <_activity xmlns="b0f25646-5ed4-4276-b4ce-b881a3c01cb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0335E3D59739145A04E17101AD76AE9" ma:contentTypeVersion="15" ma:contentTypeDescription="Create a new document." ma:contentTypeScope="" ma:versionID="585d825f2e7310f3ae4223a897e0d416">
  <xsd:schema xmlns:xsd="http://www.w3.org/2001/XMLSchema" xmlns:xs="http://www.w3.org/2001/XMLSchema" xmlns:p="http://schemas.microsoft.com/office/2006/metadata/properties" xmlns:ns3="65cc98ce-8475-4d50-88df-3b858a054348" xmlns:ns4="b0f25646-5ed4-4276-b4ce-b881a3c01cb6" targetNamespace="http://schemas.microsoft.com/office/2006/metadata/properties" ma:root="true" ma:fieldsID="b0c33a027f14b905315c4508e7d91cf4" ns3:_="" ns4:_="">
    <xsd:import namespace="65cc98ce-8475-4d50-88df-3b858a054348"/>
    <xsd:import namespace="b0f25646-5ed4-4276-b4ce-b881a3c01c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c98ce-8475-4d50-88df-3b858a0543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f25646-5ed4-4276-b4ce-b881a3c01cb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7D8EC4-E206-4325-A85C-796B424FE77E}">
  <ds:schemaRefs>
    <ds:schemaRef ds:uri="http://schemas.microsoft.com/sharepoint/v3/contenttype/forms"/>
  </ds:schemaRefs>
</ds:datastoreItem>
</file>

<file path=customXml/itemProps2.xml><?xml version="1.0" encoding="utf-8"?>
<ds:datastoreItem xmlns:ds="http://schemas.openxmlformats.org/officeDocument/2006/customXml" ds:itemID="{30E8151F-92D4-456B-AA2C-E17887635750}">
  <ds:schemaRefs>
    <ds:schemaRef ds:uri="b0f25646-5ed4-4276-b4ce-b881a3c01cb6"/>
    <ds:schemaRef ds:uri="http://schemas.microsoft.com/office/2006/documentManagement/types"/>
    <ds:schemaRef ds:uri="http://purl.org/dc/terms/"/>
    <ds:schemaRef ds:uri="http://purl.org/dc/elements/1.1/"/>
    <ds:schemaRef ds:uri="http://schemas.microsoft.com/office/infopath/2007/PartnerControls"/>
    <ds:schemaRef ds:uri="65cc98ce-8475-4d50-88df-3b858a054348"/>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7692DD3-345F-4D76-8C0F-AF9509D32E92}">
  <ds:schemaRefs>
    <ds:schemaRef ds:uri="http://schemas.openxmlformats.org/officeDocument/2006/bibliography"/>
  </ds:schemaRefs>
</ds:datastoreItem>
</file>

<file path=customXml/itemProps4.xml><?xml version="1.0" encoding="utf-8"?>
<ds:datastoreItem xmlns:ds="http://schemas.openxmlformats.org/officeDocument/2006/customXml" ds:itemID="{69B8B93E-BFF5-4944-8FE3-49CA1A95C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c98ce-8475-4d50-88df-3b858a054348"/>
    <ds:schemaRef ds:uri="b0f25646-5ed4-4276-b4ce-b881a3c01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217</Pages>
  <Words>91753</Words>
  <Characters>522997</Characters>
  <Application>Microsoft Office Word</Application>
  <DocSecurity>0</DocSecurity>
  <Lines>8573</Lines>
  <Paragraphs>3748</Paragraphs>
  <ScaleCrop>false</ScaleCrop>
  <HeadingPairs>
    <vt:vector size="2" baseType="variant">
      <vt:variant>
        <vt:lpstr>Title</vt:lpstr>
      </vt:variant>
      <vt:variant>
        <vt:i4>1</vt:i4>
      </vt:variant>
    </vt:vector>
  </HeadingPairs>
  <TitlesOfParts>
    <vt:vector size="1" baseType="lpstr">
      <vt:lpstr>Response manual for invasive marine bivalves</vt:lpstr>
    </vt:vector>
  </TitlesOfParts>
  <Company/>
  <LinksUpToDate>false</LinksUpToDate>
  <CharactersWithSpaces>611002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manual for invasive marine bivalves</dc:title>
  <dc:subject/>
  <dc:creator>Department of Agriculture, Fisheries and Forestry</dc:creator>
  <cp:keywords/>
  <dc:description/>
  <cp:lastModifiedBy>Campbell, Rene</cp:lastModifiedBy>
  <cp:revision>5</cp:revision>
  <dcterms:created xsi:type="dcterms:W3CDTF">2025-03-05T02:14:00Z</dcterms:created>
  <dcterms:modified xsi:type="dcterms:W3CDTF">2025-04-02T04:24:00Z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0x01010010335E3D59739145A04E17101AD76AE9</vt:lpwstr>
  </property>
  <property fmtid="{D5CDD505-2E9C-101B-9397-08002B2CF9AE}" pid="3" name="MSIP_Label_d00a4df9-c942-4b09-b23a-6c1023f6de27_Enabled">
    <vt:lpwstr>true</vt:lpwstr>
  </property>
  <property fmtid="{D5CDD505-2E9C-101B-9397-08002B2CF9AE}" pid="4" name="MSIP_Label_d00a4df9-c942-4b09-b23a-6c1023f6de27_SetDate">
    <vt:lpwstr>2022-12-12T01:00:54Z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9ef5402c-ba9d-4952-b3ca-cb0e12a10686</vt:lpwstr>
  </property>
  <property fmtid="{D5CDD505-2E9C-101B-9397-08002B2CF9AE}" pid="9" name="MSIP_Label_d00a4df9-c942-4b09-b23a-6c1023f6de27_ContentBits">
    <vt:lpwstr>3</vt:lpwstr>
  </property>
  <property fmtid="{D5CDD505-2E9C-101B-9397-08002B2CF9AE}" pid="10" name="ClassificationContentMarkingHeaderShapeIds">
    <vt:lpwstr>271bf601,21582a22,1d6f2724</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5bd81fbd,3fd6fb53,59aea027</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y fmtid="{D5CDD505-2E9C-101B-9397-08002B2CF9AE}" pid="16" name="MSIP_Label_933d8be6-3c40-4052-87a2-9c2adcba8759_Enabled">
    <vt:lpwstr>true</vt:lpwstr>
  </property>
  <property fmtid="{D5CDD505-2E9C-101B-9397-08002B2CF9AE}" pid="17" name="MSIP_Label_933d8be6-3c40-4052-87a2-9c2adcba8759_SetDate">
    <vt:lpwstr>2024-08-28T07:33:27Z</vt:lpwstr>
  </property>
  <property fmtid="{D5CDD505-2E9C-101B-9397-08002B2CF9AE}" pid="18" name="MSIP_Label_933d8be6-3c40-4052-87a2-9c2adcba8759_Method">
    <vt:lpwstr>Privileged</vt:lpwstr>
  </property>
  <property fmtid="{D5CDD505-2E9C-101B-9397-08002B2CF9AE}" pid="19" name="MSIP_Label_933d8be6-3c40-4052-87a2-9c2adcba8759_Name">
    <vt:lpwstr>OFFICIAL</vt:lpwstr>
  </property>
  <property fmtid="{D5CDD505-2E9C-101B-9397-08002B2CF9AE}" pid="20" name="MSIP_Label_933d8be6-3c40-4052-87a2-9c2adcba8759_SiteId">
    <vt:lpwstr>2be67eb7-400c-4b3f-a5a1-1258c0da0696</vt:lpwstr>
  </property>
  <property fmtid="{D5CDD505-2E9C-101B-9397-08002B2CF9AE}" pid="21" name="MSIP_Label_933d8be6-3c40-4052-87a2-9c2adcba8759_ActionId">
    <vt:lpwstr>4578c0f3-653c-4d34-ae1c-19677525483e</vt:lpwstr>
  </property>
  <property fmtid="{D5CDD505-2E9C-101B-9397-08002B2CF9AE}" pid="22" name="MSIP_Label_933d8be6-3c40-4052-87a2-9c2adcba8759_ContentBits">
    <vt:lpwstr>3</vt:lpwstr>
  </property>
</Properties>
</file>